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Heading"/>
        <w:spacing w:after="360"/>
        <w:rPr>
          <w:u w:val="none"/>
        </w:rPr>
      </w:pPr>
      <w:r>
        <w:rPr>
          <w:u w:val="none"/>
          <w:rtl w:val="0"/>
          <w:lang w:val="en-US"/>
        </w:rPr>
        <w:t>Dangerous Plants Policy</w:t>
      </w:r>
    </w:p>
    <w:p>
      <w:pPr>
        <w:pStyle w:val="Body"/>
        <w:spacing w:before="240"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recognises that many plants are poisonous if eaten or capable of causing allergic reactions if handled. Accordingly, no plants on the list of the dangerous plants shown below are allowed on the premises without first conducting a risk assessment to review the degree of risk posed to the children.</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The outside play area at the Club has also been checked for the dangerous plants listed below. Where a potentially dangerous plant exists and we are unable to remove it, we have conducted a risk assessment </w:t>
      </w:r>
      <w:r>
        <w:rPr>
          <w:rFonts w:ascii="Trebuchet MS" w:hAnsi="Trebuchet MS"/>
          <w:outline w:val="0"/>
          <w:color w:val="231f20"/>
          <w:sz w:val="22"/>
          <w:szCs w:val="22"/>
          <w:u w:color="231f20"/>
          <w:rtl w:val="0"/>
          <w:lang w:val="en-US"/>
          <w14:textFill>
            <w14:solidFill>
              <w14:srgbClr w14:val="231F20"/>
            </w14:solidFill>
          </w14:textFill>
        </w:rPr>
        <w:t>which takes into account:</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231f20"/>
          <w:sz w:val="22"/>
          <w:szCs w:val="22"/>
          <w:u w:color="231f20"/>
          <w:rtl w:val="0"/>
          <w:lang w:val="en-US"/>
          <w14:textFill>
            <w14:solidFill>
              <w14:srgbClr w14:val="231F20"/>
            </w14:solidFill>
          </w14:textFill>
        </w:rPr>
        <w:t>the ages and maturity of the children</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231f20"/>
          <w:sz w:val="22"/>
          <w:szCs w:val="22"/>
          <w:u w:color="231f20"/>
          <w:rtl w:val="0"/>
          <w:lang w:val="en-US"/>
          <w14:textFill>
            <w14:solidFill>
              <w14:srgbClr w14:val="231F20"/>
            </w14:solidFill>
          </w14:textFill>
        </w:rPr>
        <w:t>the degree of supervision required</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231f20"/>
          <w:sz w:val="22"/>
          <w:szCs w:val="22"/>
          <w:u w:color="231f20"/>
          <w:rtl w:val="0"/>
          <w:lang w:val="en-US"/>
          <w14:textFill>
            <w14:solidFill>
              <w14:srgbClr w14:val="231F20"/>
            </w14:solidFill>
          </w14:textFill>
        </w:rPr>
        <w:t>whether we need to restrict access to affected areas</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231f20"/>
          <w:sz w:val="22"/>
          <w:szCs w:val="22"/>
          <w:u w:color="231f20"/>
          <w:rtl w:val="0"/>
          <w:lang w:val="en-US"/>
          <w14:textFill>
            <w14:solidFill>
              <w14:srgbClr w14:val="231F20"/>
            </w14:solidFill>
          </w14:textFill>
        </w:rPr>
        <w:t>how children with allergies might be affected.</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The following is a list of the most commonly found plants that staff should be aware of as posing a possible hazard. Note that this list is </w:t>
      </w:r>
      <w:r>
        <w:rPr>
          <w:rFonts w:ascii="Trebuchet MS" w:hAnsi="Trebuchet MS"/>
          <w:i w:val="1"/>
          <w:iCs w:val="1"/>
          <w:sz w:val="22"/>
          <w:szCs w:val="22"/>
          <w:rtl w:val="0"/>
          <w:lang w:val="en-US"/>
        </w:rPr>
        <w:t>not</w:t>
      </w:r>
      <w:r>
        <w:rPr>
          <w:rFonts w:ascii="Trebuchet MS" w:hAnsi="Trebuchet MS"/>
          <w:sz w:val="22"/>
          <w:szCs w:val="22"/>
          <w:rtl w:val="0"/>
          <w:lang w:val="en-US"/>
        </w:rPr>
        <w:t xml:space="preserve"> fully</w:t>
      </w:r>
      <w:r>
        <w:rPr>
          <w:rFonts w:ascii="Trebuchet MS" w:hAnsi="Trebuchet MS"/>
          <w:i w:val="1"/>
          <w:iCs w:val="1"/>
          <w:sz w:val="22"/>
          <w:szCs w:val="22"/>
          <w:rtl w:val="0"/>
          <w:lang w:val="en-US"/>
        </w:rPr>
        <w:t xml:space="preserve"> </w:t>
      </w:r>
      <w:r>
        <w:rPr>
          <w:rFonts w:ascii="Trebuchet MS" w:hAnsi="Trebuchet MS"/>
          <w:sz w:val="22"/>
          <w:szCs w:val="22"/>
          <w:rtl w:val="0"/>
          <w:lang w:val="en-US"/>
        </w:rPr>
        <w:t>comprehensive.</w:t>
      </w:r>
    </w:p>
    <w:p>
      <w:pPr>
        <w:pStyle w:val="Body"/>
        <w:rPr>
          <w:rFonts w:ascii="Trebuchet MS" w:cs="Trebuchet MS" w:hAnsi="Trebuchet MS" w:eastAsia="Trebuchet MS"/>
          <w:b w:val="1"/>
          <w:bCs w:val="1"/>
          <w:sz w:val="22"/>
          <w:szCs w:val="22"/>
          <w:lang w:val="en-US"/>
        </w:rPr>
      </w:pPr>
    </w:p>
    <w:tbl>
      <w:tblPr>
        <w:tblW w:w="96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970"/>
        <w:gridCol w:w="4157"/>
        <w:gridCol w:w="1473"/>
      </w:tblGrid>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pPr>
            <w:r>
              <w:rPr>
                <w:rFonts w:ascii="Trebuchet MS" w:hAnsi="Trebuchet MS"/>
                <w:b w:val="1"/>
                <w:bCs w:val="1"/>
                <w:sz w:val="20"/>
                <w:szCs w:val="20"/>
                <w:shd w:val="nil" w:color="auto" w:fill="auto"/>
                <w:rtl w:val="0"/>
                <w:lang w:val="en-US"/>
              </w:rPr>
              <w:t>Common name</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pPr>
            <w:r>
              <w:rPr>
                <w:rFonts w:ascii="Trebuchet MS" w:hAnsi="Trebuchet MS"/>
                <w:b w:val="1"/>
                <w:bCs w:val="1"/>
                <w:sz w:val="20"/>
                <w:szCs w:val="20"/>
                <w:shd w:val="nil" w:color="auto" w:fill="auto"/>
                <w:rtl w:val="0"/>
                <w:lang w:val="en-US"/>
              </w:rPr>
              <w:t>Latin name</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jc w:val="center"/>
            </w:pPr>
            <w:r>
              <w:rPr>
                <w:rFonts w:ascii="Trebuchet MS" w:hAnsi="Trebuchet MS"/>
                <w:b w:val="1"/>
                <w:bCs w:val="1"/>
                <w:sz w:val="20"/>
                <w:szCs w:val="20"/>
                <w:shd w:val="nil" w:color="auto" w:fill="auto"/>
                <w:rtl w:val="0"/>
                <w:lang w:val="en-US"/>
              </w:rPr>
              <w:t>Harmful</w:t>
            </w:r>
          </w:p>
        </w:tc>
      </w:tr>
      <w:tr>
        <w:tblPrEx>
          <w:shd w:val="clear" w:color="auto" w:fill="cdd4e9"/>
        </w:tblPrEx>
        <w:trPr>
          <w:trHeight w:val="230" w:hRule="atLeast"/>
        </w:trPr>
        <w:tc>
          <w:tcPr>
            <w:tcW w:type="dxa" w:w="96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hAnsi="Trebuchet MS"/>
                <w:b w:val="1"/>
                <w:bCs w:val="1"/>
                <w:i w:val="1"/>
                <w:iCs w:val="1"/>
                <w:sz w:val="20"/>
                <w:szCs w:val="20"/>
                <w:shd w:val="nil" w:color="auto" w:fill="auto"/>
                <w:rtl w:val="0"/>
                <w:lang w:val="en-US"/>
              </w:rPr>
              <w:t xml:space="preserve">Indoor Plants </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Angels' Trumpets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(Brugmansia or Datura)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German Primula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(Primula Obconica)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Lantana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(Lantana)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Leopard Lily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(Dieffenbachia)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Oleander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(Nerium Oleander)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Rosy Periwinkle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(Catharanthus Roseus)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Umbrella Tree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pPr>
            <w:r>
              <w:rPr>
                <w:rFonts w:ascii="Trebuchet MS" w:hAnsi="Trebuchet MS"/>
                <w:sz w:val="20"/>
                <w:szCs w:val="20"/>
                <w:shd w:val="nil" w:color="auto" w:fill="auto"/>
                <w:rtl w:val="0"/>
                <w:lang w:val="en-US"/>
              </w:rPr>
              <w:t xml:space="preserve">(Schefflera)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jc w:val="center"/>
            </w:pPr>
            <w:r>
              <w:rPr>
                <w:rFonts w:ascii="Trebuchet MS" w:hAnsi="Trebuchet MS"/>
                <w:sz w:val="20"/>
                <w:szCs w:val="20"/>
                <w:shd w:val="nil" w:color="auto" w:fill="auto"/>
                <w:rtl w:val="0"/>
                <w:lang w:val="en-US"/>
              </w:rPr>
              <w:t>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Trebuchet MS" w:hAnsi="Trebuchet MS"/>
                <w:sz w:val="20"/>
                <w:szCs w:val="20"/>
                <w:shd w:val="nil" w:color="auto" w:fill="auto"/>
                <w:rtl w:val="0"/>
                <w:lang w:val="en-US"/>
              </w:rPr>
              <w:t xml:space="preserve">Bulbs eg Daffodils &amp; Hyacinths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Trebuchet MS" w:hAnsi="Trebuchet MS"/>
                <w:sz w:val="20"/>
                <w:szCs w:val="20"/>
                <w:shd w:val="nil" w:color="auto" w:fill="auto"/>
                <w:rtl w:val="0"/>
                <w:lang w:val="en-US"/>
              </w:rPr>
              <w:t xml:space="preserve">(Narcissus) (Hyacinthus)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jc w:val="center"/>
            </w:pPr>
            <w:r>
              <w:rPr>
                <w:rFonts w:ascii="Trebuchet MS" w:hAnsi="Trebuchet MS"/>
                <w:sz w:val="20"/>
                <w:szCs w:val="20"/>
                <w:shd w:val="nil" w:color="auto" w:fill="auto"/>
                <w:rtl w:val="0"/>
                <w:lang w:val="en-US"/>
              </w:rPr>
              <w:t>E / T</w:t>
            </w:r>
          </w:p>
        </w:tc>
      </w:tr>
      <w:tr>
        <w:tblPrEx>
          <w:shd w:val="clear" w:color="auto" w:fill="cdd4e9"/>
        </w:tblPrEx>
        <w:trPr>
          <w:trHeight w:val="45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Trebuchet MS" w:hAnsi="Trebuchet MS"/>
                <w:sz w:val="20"/>
                <w:szCs w:val="20"/>
                <w:shd w:val="nil" w:color="auto" w:fill="auto"/>
                <w:rtl w:val="0"/>
                <w:lang w:val="en-US"/>
              </w:rPr>
              <w:t xml:space="preserve">Cut flowers eg Daffodils, Monkshood, Mistletoe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Trebuchet MS" w:hAnsi="Trebuchet MS"/>
                <w:sz w:val="20"/>
                <w:szCs w:val="20"/>
                <w:shd w:val="nil" w:color="auto" w:fill="auto"/>
                <w:rtl w:val="0"/>
                <w:lang w:val="en-US"/>
              </w:rPr>
              <w:t>(Narcissus) (Aconitum) (Viscum Album)</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96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b w:val="1"/>
                <w:bCs w:val="1"/>
                <w:i w:val="1"/>
                <w:iCs w:val="1"/>
                <w:sz w:val="20"/>
                <w:szCs w:val="20"/>
                <w:shd w:val="nil" w:color="auto" w:fill="auto"/>
                <w:rtl w:val="0"/>
                <w:lang w:val="en-US"/>
              </w:rPr>
              <w:t xml:space="preserve">Garden Plants </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Autumn Crocus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(Colchicum Autumnale)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Castor Oil Plant</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(Ricinus Communis)</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Foxglove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(Digitalis Purpurea)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Freemontodendron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(Fremontodendron)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Ivy</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(Hedera Helix)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Laburnum</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(Laburnum Anagyroides)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Leyland Cypress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(X Cupressocyparis)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Lily-of-the-Valley</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(Convallaria Majalis)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Lupins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(Lupinus)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Mezereon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(Daphne Mezereum)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Monkshood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(Aconitum Napellus)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Pokeweed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(Phytolacca)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Rue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(Ruta Graveolens)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Spurge</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(Euphorbia)</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 / 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Yew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(Taxus Baccata)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96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b w:val="1"/>
                <w:bCs w:val="1"/>
                <w:i w:val="1"/>
                <w:iCs w:val="1"/>
                <w:sz w:val="20"/>
                <w:szCs w:val="20"/>
                <w:shd w:val="nil" w:color="auto" w:fill="auto"/>
                <w:rtl w:val="0"/>
                <w:lang w:val="en-US"/>
              </w:rPr>
              <w:t>Wild and native plants</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Black Bryony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(Tamus Communis)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Black Nightshade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(Solamum Nigrum)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Cherry Laurel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(Prunus Laurocerasus)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Deadly Nightshade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(Atropa Belladonna)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Giant Hogweed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(Heracleum Mantegazzianum)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T</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Hemlock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(Conium Maculatum)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Hemlock Water Dropwort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(Oenanthe Crocata)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Horse Chestnut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(Aesculus Hippocastanum)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Lords-and-Ladies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(Arum Maculatum)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Mistletoe</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(Viscum Album)</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Snowberry</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(Symphoricarpos Albus)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Wild Privet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(Ligustrum Vulgare)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r>
        <w:tblPrEx>
          <w:shd w:val="clear" w:color="auto" w:fill="cdd4e9"/>
        </w:tblPrEx>
        <w:trPr>
          <w:trHeight w:val="230" w:hRule="atLeast"/>
        </w:trPr>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Woody Nightshade </w:t>
            </w:r>
          </w:p>
        </w:tc>
        <w:tc>
          <w:tcPr>
            <w:tcW w:type="dxa" w:w="4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rebuchet MS" w:hAnsi="Trebuchet MS"/>
                <w:sz w:val="20"/>
                <w:szCs w:val="20"/>
                <w:shd w:val="nil" w:color="auto" w:fill="auto"/>
                <w:rtl w:val="0"/>
                <w:lang w:val="en-US"/>
              </w:rPr>
              <w:t xml:space="preserve">(Solanum Dulcamara) </w:t>
            </w:r>
          </w:p>
        </w:tc>
        <w:tc>
          <w:tcPr>
            <w:tcW w:type="dxa" w:w="14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Fonts w:ascii="Trebuchet MS" w:hAnsi="Trebuchet MS"/>
                <w:sz w:val="20"/>
                <w:szCs w:val="20"/>
                <w:shd w:val="nil" w:color="auto" w:fill="auto"/>
                <w:rtl w:val="0"/>
                <w:lang w:val="en-US"/>
              </w:rPr>
              <w:t>E</w:t>
            </w:r>
          </w:p>
        </w:tc>
      </w:tr>
    </w:tbl>
    <w:p>
      <w:pPr>
        <w:pStyle w:val="Body"/>
        <w:widowControl w:val="0"/>
        <w:rPr>
          <w:rFonts w:ascii="Trebuchet MS" w:cs="Trebuchet MS" w:hAnsi="Trebuchet MS" w:eastAsia="Trebuchet MS"/>
          <w:b w:val="1"/>
          <w:bCs w:val="1"/>
          <w:sz w:val="22"/>
          <w:szCs w:val="22"/>
          <w:lang w:val="en-US"/>
        </w:rPr>
      </w:pPr>
    </w:p>
    <w:p>
      <w:pPr>
        <w:pStyle w:val="Body"/>
        <w:rPr>
          <w:rFonts w:ascii="Trebuchet MS" w:cs="Trebuchet MS" w:hAnsi="Trebuchet MS" w:eastAsia="Trebuchet MS"/>
          <w:b w:val="1"/>
          <w:bCs w:val="1"/>
          <w:sz w:val="20"/>
          <w:szCs w:val="20"/>
          <w:lang w:val="en-US"/>
        </w:rPr>
      </w:pPr>
    </w:p>
    <w:p>
      <w:pPr>
        <w:pStyle w:val="Body"/>
        <w:rPr>
          <w:rFonts w:ascii="Trebuchet MS" w:cs="Trebuchet MS" w:hAnsi="Trebuchet MS" w:eastAsia="Trebuchet MS"/>
          <w:b w:val="1"/>
          <w:bCs w:val="1"/>
          <w:sz w:val="20"/>
          <w:szCs w:val="20"/>
        </w:rPr>
      </w:pPr>
      <w:r>
        <w:rPr>
          <w:rFonts w:ascii="Trebuchet MS" w:hAnsi="Trebuchet MS"/>
          <w:b w:val="1"/>
          <w:bCs w:val="1"/>
          <w:sz w:val="20"/>
          <w:szCs w:val="20"/>
          <w:rtl w:val="0"/>
          <w:lang w:val="en-US"/>
        </w:rPr>
        <w:t>Key: E = Harmful if eaten, T = Harmful if touched</w:t>
      </w:r>
    </w:p>
    <w:p>
      <w:pPr>
        <w:pStyle w:val="Default"/>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spacing w:before="160" w:line="288" w:lineRule="auto"/>
              <w:ind w:left="0" w:right="0" w:firstLine="0"/>
              <w:jc w:val="left"/>
              <w:rPr>
                <w:rFonts w:ascii="Helvetica Neue" w:cs="Helvetica Neue" w:hAnsi="Helvetica Neue" w:eastAsia="Helvetica Neue"/>
                <w:rtl w:val="0"/>
              </w:rPr>
            </w:pPr>
            <w:r>
              <w:rPr>
                <w:rFonts w:ascii="Helvetica Neue" w:hAnsi="Helvetica Neue"/>
                <w:rtl w:val="0"/>
                <w:lang w:val="en-US"/>
              </w:rPr>
              <w:t>Signed:</w:t>
            </w:r>
          </w:p>
          <w:p>
            <w:pPr>
              <w:pStyle w:val="Default"/>
              <w:bidi w:val="0"/>
              <w:spacing w:before="160" w:line="288" w:lineRule="auto"/>
              <w:ind w:left="0" w:right="0" w:firstLine="0"/>
              <w:jc w:val="left"/>
              <w:rPr>
                <w:rtl w:val="0"/>
              </w:rPr>
            </w:pPr>
            <w:r>
              <w:rPr>
                <w:rFonts w:ascii="Helvetica Neue" w:cs="Helvetica Neue" w:hAnsi="Helvetica Neue" w:eastAsia="Helvetica Neue"/>
              </w:rPr>
              <w:drawing xmlns:a="http://schemas.openxmlformats.org/drawingml/2006/main">
                <wp:inline distT="0" distB="0" distL="0" distR="0">
                  <wp:extent cx="2091705" cy="14610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91705" cy="1461040"/>
                          </a:xfrm>
                          <a:prstGeom prst="rect">
                            <a:avLst/>
                          </a:prstGeom>
                          <a:ln w="12700" cap="flat">
                            <a:noFill/>
                            <a:miter lim="400000"/>
                          </a:ln>
                          <a:effectLst/>
                        </pic:spPr>
                      </pic:pic>
                    </a:graphicData>
                  </a:graphic>
                </wp:inline>
              </w:drawing>
            </w:r>
          </w:p>
        </w:tc>
      </w:tr>
    </w:tbl>
    <w:p>
      <w:pPr>
        <w:pStyle w:val="Default"/>
      </w:pPr>
    </w:p>
    <w:p>
      <w:pPr>
        <w:pStyle w:val="Default"/>
        <w:widowControl w:val="0"/>
      </w:pPr>
    </w:p>
    <w:p>
      <w:pPr>
        <w:pStyle w:val="Body"/>
        <w:spacing w:before="24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Safety and Suitability of Premises, Environment and Equipment [3.53, 3.63]</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