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A690" w14:textId="77777777" w:rsidR="008F7534" w:rsidRDefault="008F7534" w:rsidP="008F7534">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7</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Exercise Prescription and Scope of Practice</w:t>
      </w:r>
    </w:p>
    <w:p w14:paraId="3353BEDA" w14:textId="77777777" w:rsidR="008F7534" w:rsidRPr="00612CE6" w:rsidRDefault="008F7534" w:rsidP="008F7534">
      <w:pPr>
        <w:spacing w:after="0" w:line="240" w:lineRule="auto"/>
        <w:rPr>
          <w:rFonts w:ascii="Times New Roman" w:eastAsia="Times New Roman" w:hAnsi="Times New Roman" w:cs="Times New Roman"/>
          <w:b/>
          <w:color w:val="0070C0"/>
          <w:sz w:val="16"/>
          <w:szCs w:val="16"/>
        </w:rPr>
      </w:pPr>
    </w:p>
    <w:p w14:paraId="2ECD712F" w14:textId="77777777" w:rsidR="008F7534" w:rsidRDefault="008F7534" w:rsidP="008F7534">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Designing and delivering exercise prescriptions within an exercise professional’s scope of practice is essential from a legal perspective. Failure to do so can result in harming fitness participants and negligence lawsuits as demonstrated in the cases described in this chapter. In addition, crossing over the line into a licensed practice can lead to violations of state licensing statutes. To minimize these types of claims, it is essential that fitness managers and exercise professionals develop and implement risk management strategies associated with exercise prescription and scope of practice. </w:t>
      </w:r>
    </w:p>
    <w:p w14:paraId="1A7BF690" w14:textId="77777777" w:rsidR="008F7534" w:rsidRPr="00612CE6" w:rsidRDefault="008F7534" w:rsidP="008F7534">
      <w:pPr>
        <w:spacing w:after="0" w:line="240" w:lineRule="auto"/>
        <w:rPr>
          <w:rFonts w:ascii="Times New Roman" w:eastAsia="Times New Roman" w:hAnsi="Times New Roman" w:cs="Times New Roman"/>
          <w:b/>
          <w:bCs/>
          <w:color w:val="FF0000"/>
          <w:sz w:val="24"/>
          <w:szCs w:val="24"/>
        </w:rPr>
      </w:pPr>
    </w:p>
    <w:p w14:paraId="20AEA7AA" w14:textId="77777777" w:rsidR="008F7534" w:rsidRPr="00533C21" w:rsidRDefault="008F7534" w:rsidP="008F7534">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249</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6762E4D2" w14:textId="77777777" w:rsidR="008F7534" w:rsidRPr="001B5E17" w:rsidRDefault="008F7534" w:rsidP="008F7534">
      <w:pPr>
        <w:spacing w:after="0" w:line="240" w:lineRule="auto"/>
        <w:rPr>
          <w:rFonts w:ascii="Times New Roman" w:eastAsia="Times New Roman" w:hAnsi="Times New Roman" w:cs="Times New Roman"/>
          <w:b/>
          <w:sz w:val="16"/>
          <w:szCs w:val="16"/>
        </w:rPr>
      </w:pPr>
    </w:p>
    <w:p w14:paraId="57F131BE" w14:textId="77777777" w:rsidR="008F7534" w:rsidRDefault="008F7534" w:rsidP="008F7534">
      <w:pPr>
        <w:spacing w:after="0" w:line="240" w:lineRule="auto"/>
        <w:rPr>
          <w:rFonts w:ascii="Times New Roman" w:eastAsia="Times New Roman" w:hAnsi="Times New Roman" w:cs="Times New Roman"/>
          <w:b/>
          <w:sz w:val="28"/>
          <w:szCs w:val="28"/>
        </w:rPr>
      </w:pPr>
      <w:r w:rsidRPr="009E0FE5">
        <w:rPr>
          <w:rFonts w:ascii="Times New Roman" w:eastAsia="Times New Roman" w:hAnsi="Times New Roman" w:cs="Times New Roman"/>
          <w:b/>
          <w:sz w:val="28"/>
          <w:szCs w:val="28"/>
        </w:rPr>
        <w:t>Study Questions</w:t>
      </w:r>
    </w:p>
    <w:p w14:paraId="5B0E1D9D" w14:textId="77777777" w:rsidR="008F7534" w:rsidRDefault="008F7534" w:rsidP="008F7534">
      <w:pPr>
        <w:spacing w:after="0" w:line="240" w:lineRule="auto"/>
        <w:rPr>
          <w:rFonts w:ascii="Times New Roman" w:eastAsia="Times New Roman" w:hAnsi="Times New Roman" w:cs="Times New Roman"/>
          <w:bCs/>
          <w:sz w:val="24"/>
          <w:szCs w:val="24"/>
        </w:rPr>
      </w:pPr>
    </w:p>
    <w:p w14:paraId="4792F6D6" w14:textId="77777777" w:rsidR="008F7534" w:rsidRPr="00C414A9" w:rsidRDefault="008F7534" w:rsidP="008F7534">
      <w:pPr>
        <w:pStyle w:val="ListParagraph"/>
        <w:numPr>
          <w:ilvl w:val="0"/>
          <w:numId w:val="2"/>
        </w:numPr>
        <w:rPr>
          <w:bCs/>
        </w:rPr>
      </w:pPr>
      <w:r>
        <w:rPr>
          <w:bCs/>
        </w:rPr>
        <w:t xml:space="preserve">Many initiatives have encouraged Americans to increase their physical activity (PA) such as the </w:t>
      </w:r>
      <w:r w:rsidRPr="006A6A4A">
        <w:rPr>
          <w:bCs/>
          <w:i/>
          <w:iCs/>
        </w:rPr>
        <w:t>2018 PA Guidelines for Americans</w:t>
      </w:r>
      <w:r>
        <w:rPr>
          <w:bCs/>
          <w:i/>
          <w:iCs/>
        </w:rPr>
        <w:t xml:space="preserve"> </w:t>
      </w:r>
      <w:r>
        <w:rPr>
          <w:bCs/>
        </w:rPr>
        <w:t xml:space="preserve">(see Exhibit 7-1 on p. 252) and </w:t>
      </w:r>
      <w:r w:rsidRPr="006A6A4A">
        <w:rPr>
          <w:bCs/>
          <w:i/>
          <w:iCs/>
        </w:rPr>
        <w:t>Healthy People 2020</w:t>
      </w:r>
      <w:r>
        <w:rPr>
          <w:bCs/>
        </w:rPr>
        <w:t xml:space="preserve">. </w:t>
      </w:r>
      <w:r w:rsidRPr="006A6A4A">
        <w:rPr>
          <w:b/>
          <w:u w:val="single"/>
        </w:rPr>
        <w:t>Note:</w:t>
      </w:r>
      <w:r>
        <w:rPr>
          <w:bCs/>
        </w:rPr>
        <w:t xml:space="preserve"> The </w:t>
      </w:r>
      <w:r w:rsidRPr="006A6A4A">
        <w:rPr>
          <w:bCs/>
          <w:i/>
          <w:iCs/>
        </w:rPr>
        <w:t xml:space="preserve">Healthy People 2030 </w:t>
      </w:r>
      <w:r w:rsidRPr="006A6A4A">
        <w:rPr>
          <w:bCs/>
        </w:rPr>
        <w:t>PA Objectives</w:t>
      </w:r>
      <w:r>
        <w:rPr>
          <w:bCs/>
        </w:rPr>
        <w:t xml:space="preserve"> and Resources are now available at:</w:t>
      </w:r>
    </w:p>
    <w:p w14:paraId="6C1451AC" w14:textId="77777777" w:rsidR="008F7534" w:rsidRPr="00CE224F" w:rsidRDefault="008F7534" w:rsidP="008F7534">
      <w:pPr>
        <w:spacing w:after="0" w:line="240" w:lineRule="auto"/>
        <w:rPr>
          <w:rFonts w:ascii="Times New Roman" w:eastAsia="Times New Roman" w:hAnsi="Times New Roman" w:cs="Times New Roman"/>
          <w:bCs/>
          <w:sz w:val="16"/>
          <w:szCs w:val="16"/>
        </w:rPr>
      </w:pPr>
    </w:p>
    <w:p w14:paraId="628E1CD5" w14:textId="77777777" w:rsidR="008F7534" w:rsidRPr="00C414A9" w:rsidRDefault="008F7534" w:rsidP="008F7534">
      <w:pPr>
        <w:spacing w:after="0" w:line="240" w:lineRule="auto"/>
        <w:rPr>
          <w:rFonts w:ascii="Times New Roman" w:hAnsi="Times New Roman" w:cs="Times New Roman"/>
          <w:bCs/>
          <w:sz w:val="20"/>
          <w:szCs w:val="20"/>
        </w:rPr>
      </w:pPr>
      <w:r>
        <w:rPr>
          <w:bCs/>
        </w:rPr>
        <w:tab/>
      </w:r>
      <w:r w:rsidRPr="006A6A4A">
        <w:rPr>
          <w:rFonts w:ascii="Times New Roman" w:hAnsi="Times New Roman" w:cs="Times New Roman"/>
          <w:bCs/>
          <w:sz w:val="24"/>
          <w:szCs w:val="24"/>
        </w:rPr>
        <w:t>Healthy People 2030</w:t>
      </w:r>
      <w:r w:rsidRPr="00C414A9">
        <w:rPr>
          <w:rFonts w:ascii="Times New Roman" w:hAnsi="Times New Roman" w:cs="Times New Roman"/>
          <w:bCs/>
          <w:sz w:val="24"/>
          <w:szCs w:val="24"/>
        </w:rPr>
        <w:t xml:space="preserve"> PA Objectives: </w:t>
      </w:r>
      <w:hyperlink r:id="rId7" w:history="1">
        <w:r w:rsidRPr="00C414A9">
          <w:rPr>
            <w:rFonts w:ascii="Times New Roman" w:hAnsi="Times New Roman" w:cs="Times New Roman"/>
            <w:color w:val="0000FF"/>
            <w:sz w:val="20"/>
            <w:szCs w:val="20"/>
            <w:u w:val="single"/>
          </w:rPr>
          <w:t>Physical Activity - Healthy People 2030 | health.gov</w:t>
        </w:r>
      </w:hyperlink>
    </w:p>
    <w:p w14:paraId="00F50035" w14:textId="77777777" w:rsidR="008F7534" w:rsidRDefault="008F7534" w:rsidP="008F7534">
      <w:pPr>
        <w:spacing w:after="0" w:line="240" w:lineRule="auto"/>
        <w:rPr>
          <w:rFonts w:ascii="Times New Roman" w:hAnsi="Times New Roman" w:cs="Times New Roman"/>
          <w:sz w:val="20"/>
          <w:szCs w:val="20"/>
        </w:rPr>
      </w:pPr>
      <w:r>
        <w:rPr>
          <w:rFonts w:ascii="Times New Roman" w:hAnsi="Times New Roman" w:cs="Times New Roman"/>
          <w:sz w:val="24"/>
          <w:szCs w:val="24"/>
        </w:rPr>
        <w:tab/>
      </w:r>
      <w:r w:rsidRPr="00C414A9">
        <w:rPr>
          <w:rFonts w:ascii="Times New Roman" w:hAnsi="Times New Roman" w:cs="Times New Roman"/>
          <w:sz w:val="24"/>
          <w:szCs w:val="24"/>
        </w:rPr>
        <w:t xml:space="preserve">PA Resources: </w:t>
      </w:r>
      <w:hyperlink r:id="rId8" w:history="1">
        <w:r w:rsidRPr="00C414A9">
          <w:rPr>
            <w:rFonts w:ascii="Times New Roman" w:hAnsi="Times New Roman" w:cs="Times New Roman"/>
            <w:color w:val="0000FF"/>
            <w:sz w:val="20"/>
            <w:szCs w:val="20"/>
            <w:u w:val="single"/>
          </w:rPr>
          <w:t>Physical Activity — Evidence-Based Resources - Healthy People 2030 | health.gov</w:t>
        </w:r>
      </w:hyperlink>
    </w:p>
    <w:p w14:paraId="5215A926" w14:textId="77777777" w:rsidR="008F7534" w:rsidRPr="00CE224F" w:rsidRDefault="008F7534" w:rsidP="008F7534">
      <w:pPr>
        <w:spacing w:after="0" w:line="240" w:lineRule="auto"/>
        <w:rPr>
          <w:rFonts w:ascii="Times New Roman" w:hAnsi="Times New Roman" w:cs="Times New Roman"/>
          <w:sz w:val="16"/>
          <w:szCs w:val="16"/>
        </w:rPr>
      </w:pPr>
    </w:p>
    <w:p w14:paraId="240703FA" w14:textId="77777777" w:rsidR="008F7534" w:rsidRDefault="008F7534" w:rsidP="008F7534">
      <w:pPr>
        <w:spacing w:after="0"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According to </w:t>
      </w:r>
      <w:r w:rsidRPr="0072340F">
        <w:rPr>
          <w:rFonts w:ascii="Times New Roman" w:hAnsi="Times New Roman" w:cs="Times New Roman"/>
          <w:i/>
          <w:iCs/>
          <w:sz w:val="24"/>
          <w:szCs w:val="24"/>
        </w:rPr>
        <w:t>Healthy People 2030</w:t>
      </w:r>
      <w:r>
        <w:rPr>
          <w:rFonts w:ascii="Times New Roman" w:hAnsi="Times New Roman" w:cs="Times New Roman"/>
          <w:sz w:val="24"/>
          <w:szCs w:val="24"/>
        </w:rPr>
        <w:t>, little</w:t>
      </w:r>
      <w:r w:rsidRPr="006A6A4A">
        <w:rPr>
          <w:rFonts w:ascii="Times New Roman" w:hAnsi="Times New Roman" w:cs="Times New Roman"/>
          <w:sz w:val="24"/>
          <w:szCs w:val="24"/>
        </w:rPr>
        <w:t xml:space="preserve"> improvement has been made over the last </w:t>
      </w:r>
      <w:r>
        <w:rPr>
          <w:rFonts w:ascii="Times New Roman" w:hAnsi="Times New Roman" w:cs="Times New Roman"/>
          <w:sz w:val="24"/>
          <w:szCs w:val="24"/>
        </w:rPr>
        <w:tab/>
      </w:r>
      <w:r w:rsidRPr="006A6A4A">
        <w:rPr>
          <w:rFonts w:ascii="Times New Roman" w:hAnsi="Times New Roman" w:cs="Times New Roman"/>
          <w:sz w:val="24"/>
          <w:szCs w:val="24"/>
        </w:rPr>
        <w:t xml:space="preserve">decade. </w:t>
      </w:r>
      <w:r w:rsidRPr="00377C72">
        <w:rPr>
          <w:rFonts w:ascii="Times New Roman" w:hAnsi="Times New Roman" w:cs="Times New Roman"/>
          <w:sz w:val="24"/>
          <w:szCs w:val="24"/>
        </w:rPr>
        <w:t xml:space="preserve">Only 1 in 4 adults and 1 in 5 </w:t>
      </w:r>
      <w:r w:rsidRPr="00377C72">
        <w:rPr>
          <w:rFonts w:ascii="Times New Roman" w:hAnsi="Times New Roman" w:cs="Times New Roman"/>
          <w:sz w:val="24"/>
          <w:szCs w:val="24"/>
        </w:rPr>
        <w:tab/>
        <w:t xml:space="preserve">adolescents in the United States meet physical </w:t>
      </w:r>
      <w:r w:rsidRPr="00377C72">
        <w:rPr>
          <w:rFonts w:ascii="Times New Roman" w:hAnsi="Times New Roman" w:cs="Times New Roman"/>
          <w:sz w:val="24"/>
          <w:szCs w:val="24"/>
        </w:rPr>
        <w:tab/>
        <w:t>activity guidelines for aerobic and muscle-strengthening activities</w:t>
      </w:r>
      <w:r w:rsidRPr="006A6A4A">
        <w:rPr>
          <w:rFonts w:ascii="Times New Roman" w:hAnsi="Times New Roman" w:cs="Times New Roman"/>
          <w:color w:val="0D1941"/>
          <w:sz w:val="24"/>
          <w:szCs w:val="24"/>
        </w:rPr>
        <w:t>.</w:t>
      </w:r>
      <w:r w:rsidRPr="006A6A4A">
        <w:rPr>
          <w:rFonts w:ascii="Times New Roman" w:hAnsi="Times New Roman" w:cs="Times New Roman"/>
          <w:sz w:val="24"/>
          <w:szCs w:val="24"/>
        </w:rPr>
        <w:t xml:space="preserve"> </w:t>
      </w:r>
    </w:p>
    <w:p w14:paraId="3C3065B6" w14:textId="77777777" w:rsidR="008F7534" w:rsidRPr="00CE224F" w:rsidRDefault="008F7534" w:rsidP="008F7534">
      <w:pPr>
        <w:spacing w:after="0" w:line="240" w:lineRule="auto"/>
        <w:rPr>
          <w:rFonts w:ascii="Times New Roman" w:hAnsi="Times New Roman" w:cs="Times New Roman"/>
          <w:sz w:val="16"/>
          <w:szCs w:val="16"/>
        </w:rPr>
      </w:pPr>
    </w:p>
    <w:p w14:paraId="27BAD36E"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Describe how inactivity is a major public health problem and how it leads to many </w:t>
      </w:r>
      <w:r>
        <w:rPr>
          <w:rFonts w:ascii="Times New Roman" w:hAnsi="Times New Roman" w:cs="Times New Roman"/>
          <w:sz w:val="24"/>
          <w:szCs w:val="24"/>
        </w:rPr>
        <w:tab/>
        <w:t xml:space="preserve">negative health outcomes. </w:t>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p>
    <w:p w14:paraId="454DF468" w14:textId="77777777" w:rsidR="008F7534" w:rsidRDefault="008F7534" w:rsidP="008F7534">
      <w:pPr>
        <w:spacing w:after="0" w:line="240" w:lineRule="auto"/>
        <w:rPr>
          <w:rFonts w:ascii="Times New Roman" w:eastAsia="Times New Roman" w:hAnsi="Times New Roman" w:cs="Times New Roman"/>
          <w:sz w:val="24"/>
          <w:szCs w:val="24"/>
        </w:rPr>
      </w:pPr>
    </w:p>
    <w:p w14:paraId="5AA624A1" w14:textId="77777777" w:rsidR="008F7534" w:rsidRDefault="008F7534" w:rsidP="008F7534">
      <w:pPr>
        <w:pStyle w:val="ListParagraph"/>
        <w:numPr>
          <w:ilvl w:val="0"/>
          <w:numId w:val="2"/>
        </w:numPr>
      </w:pPr>
      <w:r>
        <w:t xml:space="preserve">A “one-size fits all” approach to exercise prescription is not feasible given the health/fitness status of Americans can vary tremendously as shown in Figure 7-2. List the steps an exercise professional needs to take prior to preparing an exercise prescription for an individual?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32D80F14" w14:textId="77777777" w:rsidR="008F7534" w:rsidRDefault="008F7534" w:rsidP="008F7534">
      <w:pPr>
        <w:pStyle w:val="ListParagraph"/>
      </w:pPr>
    </w:p>
    <w:p w14:paraId="25C73CE5" w14:textId="77777777" w:rsidR="008F7534" w:rsidRDefault="008F7534" w:rsidP="008F7534">
      <w:pPr>
        <w:pStyle w:val="ListParagraph"/>
        <w:numPr>
          <w:ilvl w:val="0"/>
          <w:numId w:val="2"/>
        </w:numPr>
      </w:pPr>
      <w:r>
        <w:t xml:space="preserve">Describe the FITT-VP principle and then explain why, from a legal perspective, it is important for exercise professionals to apply this principle when establishing exercise prescriptions.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6777F3BB" w14:textId="77777777" w:rsidR="008F7534" w:rsidRDefault="008F7534" w:rsidP="008F7534">
      <w:pPr>
        <w:pStyle w:val="ListParagraph"/>
      </w:pPr>
    </w:p>
    <w:p w14:paraId="7FCE4544" w14:textId="77777777" w:rsidR="008F7534" w:rsidRDefault="008F7534" w:rsidP="008F7534">
      <w:pPr>
        <w:pStyle w:val="ListParagraph"/>
        <w:numPr>
          <w:ilvl w:val="0"/>
          <w:numId w:val="2"/>
        </w:numPr>
      </w:pPr>
      <w:r>
        <w:t xml:space="preserve">The </w:t>
      </w:r>
      <w:r w:rsidRPr="00BA7783">
        <w:rPr>
          <w:u w:val="single"/>
        </w:rPr>
        <w:fldChar w:fldCharType="begin">
          <w:ffData>
            <w:name w:val=""/>
            <w:enabled/>
            <w:calcOnExit w:val="0"/>
            <w:textInput/>
          </w:ffData>
        </w:fldChar>
      </w:r>
      <w:r w:rsidRPr="00BA7783">
        <w:rPr>
          <w:u w:val="single"/>
        </w:rPr>
        <w:instrText xml:space="preserve"> FORMTEXT </w:instrText>
      </w:r>
      <w:r w:rsidRPr="00BA7783">
        <w:rPr>
          <w:u w:val="single"/>
        </w:rPr>
      </w:r>
      <w:r w:rsidRPr="00BA7783">
        <w:rPr>
          <w:u w:val="single"/>
        </w:rPr>
        <w:fldChar w:fldCharType="separate"/>
      </w:r>
      <w:r w:rsidRPr="00BA7783">
        <w:rPr>
          <w:noProof/>
          <w:u w:val="single"/>
        </w:rPr>
        <w:t> </w:t>
      </w:r>
      <w:r w:rsidRPr="00BA7783">
        <w:rPr>
          <w:noProof/>
          <w:u w:val="single"/>
        </w:rPr>
        <w:t> </w:t>
      </w:r>
      <w:r w:rsidRPr="00BA7783">
        <w:rPr>
          <w:noProof/>
          <w:u w:val="single"/>
        </w:rPr>
        <w:t> </w:t>
      </w:r>
      <w:r w:rsidRPr="00BA7783">
        <w:rPr>
          <w:noProof/>
          <w:u w:val="single"/>
        </w:rPr>
        <w:t> </w:t>
      </w:r>
      <w:r w:rsidRPr="00BA7783">
        <w:rPr>
          <w:noProof/>
          <w:u w:val="single"/>
        </w:rPr>
        <w:t> </w:t>
      </w:r>
      <w:r w:rsidRPr="00BA7783">
        <w:rPr>
          <w:u w:val="single"/>
        </w:rPr>
        <w:fldChar w:fldCharType="end"/>
      </w:r>
      <w:r>
        <w:t xml:space="preserve"> scope of practice is defined within the context of licensed professionals and the </w:t>
      </w:r>
      <w:r w:rsidRPr="00BA7783">
        <w:rPr>
          <w:u w:val="single"/>
        </w:rPr>
        <w:fldChar w:fldCharType="begin">
          <w:ffData>
            <w:name w:val=""/>
            <w:enabled/>
            <w:calcOnExit w:val="0"/>
            <w:textInput/>
          </w:ffData>
        </w:fldChar>
      </w:r>
      <w:r w:rsidRPr="00BA7783">
        <w:rPr>
          <w:u w:val="single"/>
        </w:rPr>
        <w:instrText xml:space="preserve"> FORMTEXT </w:instrText>
      </w:r>
      <w:r w:rsidRPr="00BA7783">
        <w:rPr>
          <w:u w:val="single"/>
        </w:rPr>
      </w:r>
      <w:r w:rsidRPr="00BA7783">
        <w:rPr>
          <w:u w:val="single"/>
        </w:rPr>
        <w:fldChar w:fldCharType="separate"/>
      </w:r>
      <w:r w:rsidRPr="00BA7783">
        <w:rPr>
          <w:noProof/>
          <w:u w:val="single"/>
        </w:rPr>
        <w:t> </w:t>
      </w:r>
      <w:r w:rsidRPr="00BA7783">
        <w:rPr>
          <w:noProof/>
          <w:u w:val="single"/>
        </w:rPr>
        <w:t> </w:t>
      </w:r>
      <w:r w:rsidRPr="00BA7783">
        <w:rPr>
          <w:noProof/>
          <w:u w:val="single"/>
        </w:rPr>
        <w:t> </w:t>
      </w:r>
      <w:r w:rsidRPr="00BA7783">
        <w:rPr>
          <w:noProof/>
          <w:u w:val="single"/>
        </w:rPr>
        <w:t> </w:t>
      </w:r>
      <w:r w:rsidRPr="00BA7783">
        <w:rPr>
          <w:noProof/>
          <w:u w:val="single"/>
        </w:rPr>
        <w:t> </w:t>
      </w:r>
      <w:r w:rsidRPr="00BA7783">
        <w:rPr>
          <w:u w:val="single"/>
        </w:rPr>
        <w:fldChar w:fldCharType="end"/>
      </w:r>
      <w:r>
        <w:t xml:space="preserve"> scope of practice is applicable to all professionals who require special knowledge, skills, and training. </w:t>
      </w:r>
    </w:p>
    <w:p w14:paraId="274436F8" w14:textId="77777777" w:rsidR="008F7534" w:rsidRDefault="008F7534" w:rsidP="008F7534">
      <w:pPr>
        <w:pStyle w:val="ListParagraph"/>
      </w:pPr>
    </w:p>
    <w:p w14:paraId="7EFD85E8" w14:textId="77777777" w:rsidR="008F7534" w:rsidRDefault="008F7534" w:rsidP="008F7534">
      <w:pPr>
        <w:pStyle w:val="ListParagraph"/>
        <w:numPr>
          <w:ilvl w:val="0"/>
          <w:numId w:val="2"/>
        </w:numPr>
      </w:pPr>
      <w:r>
        <w:t>What source provided the following statement?</w:t>
      </w:r>
      <w:r w:rsidRPr="001A167F">
        <w:t xml:space="preserve"> </w:t>
      </w:r>
      <w:bookmarkStart w:id="0" w:name="_Hlk60907588"/>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bookmarkEnd w:id="0"/>
    </w:p>
    <w:p w14:paraId="5F070FDD" w14:textId="77777777" w:rsidR="008F7534" w:rsidRPr="001A167F" w:rsidRDefault="008F7534" w:rsidP="008F7534">
      <w:pPr>
        <w:pStyle w:val="ListParagraph"/>
        <w:rPr>
          <w:sz w:val="16"/>
          <w:szCs w:val="16"/>
        </w:rPr>
      </w:pPr>
    </w:p>
    <w:p w14:paraId="2CF8716B" w14:textId="77777777" w:rsidR="008F7534" w:rsidRDefault="008F7534" w:rsidP="008F7534">
      <w:pPr>
        <w:rPr>
          <w:rFonts w:ascii="Times New Roman" w:hAnsi="Times New Roman" w:cs="Times New Roman"/>
          <w:sz w:val="24"/>
          <w:szCs w:val="24"/>
        </w:rPr>
      </w:pPr>
      <w:r>
        <w:tab/>
      </w:r>
      <w:r>
        <w:rPr>
          <w:rFonts w:ascii="Times New Roman" w:hAnsi="Times New Roman" w:cs="Times New Roman"/>
          <w:sz w:val="24"/>
          <w:szCs w:val="24"/>
        </w:rPr>
        <w:t xml:space="preserve">“If an actor has skills or knowledge that exceed those possessed by most others, these </w:t>
      </w:r>
      <w:r>
        <w:rPr>
          <w:rFonts w:ascii="Times New Roman" w:hAnsi="Times New Roman" w:cs="Times New Roman"/>
          <w:sz w:val="24"/>
          <w:szCs w:val="24"/>
        </w:rPr>
        <w:tab/>
        <w:t xml:space="preserve">skills or knowledge are circumstances to be taken into account in determining whether </w:t>
      </w:r>
      <w:r>
        <w:rPr>
          <w:rFonts w:ascii="Times New Roman" w:hAnsi="Times New Roman" w:cs="Times New Roman"/>
          <w:sz w:val="24"/>
          <w:szCs w:val="24"/>
        </w:rPr>
        <w:tab/>
        <w:t>the actor has behaved as a reasonably careful person.”</w:t>
      </w:r>
    </w:p>
    <w:p w14:paraId="5223F16F" w14:textId="77777777" w:rsidR="008F7534" w:rsidRDefault="008F7534" w:rsidP="008F7534">
      <w:pPr>
        <w:pStyle w:val="ListParagraph"/>
        <w:numPr>
          <w:ilvl w:val="0"/>
          <w:numId w:val="2"/>
        </w:numPr>
      </w:pPr>
      <w:r>
        <w:lastRenderedPageBreak/>
        <w:t>Referring to the following three situational factors that help determine the standard of care, describe the standard of care of an exercise professional in the context of exercise prescription and scope of practice.</w:t>
      </w:r>
    </w:p>
    <w:p w14:paraId="47F207D0" w14:textId="77777777" w:rsidR="008F7534" w:rsidRPr="001F3791" w:rsidRDefault="008F7534" w:rsidP="008F7534">
      <w:pPr>
        <w:pStyle w:val="ListParagraph"/>
        <w:rPr>
          <w:sz w:val="16"/>
          <w:szCs w:val="16"/>
        </w:rPr>
      </w:pPr>
    </w:p>
    <w:p w14:paraId="2B22A442" w14:textId="77777777" w:rsidR="008F7534" w:rsidRDefault="008F7534" w:rsidP="008F7534">
      <w:pPr>
        <w:pStyle w:val="ListParagraph"/>
        <w:numPr>
          <w:ilvl w:val="0"/>
          <w:numId w:val="3"/>
        </w:numPr>
      </w:pPr>
      <w:r>
        <w:t xml:space="preserve">Nature of the activity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6B044ED1" w14:textId="77777777" w:rsidR="008F7534" w:rsidRPr="001F3791" w:rsidRDefault="008F7534" w:rsidP="008F7534">
      <w:pPr>
        <w:pStyle w:val="ListParagraph"/>
        <w:ind w:left="1080"/>
        <w:rPr>
          <w:sz w:val="16"/>
          <w:szCs w:val="16"/>
        </w:rPr>
      </w:pPr>
    </w:p>
    <w:p w14:paraId="1F5095C6" w14:textId="77777777" w:rsidR="008F7534" w:rsidRDefault="008F7534" w:rsidP="008F7534">
      <w:pPr>
        <w:pStyle w:val="ListParagraph"/>
        <w:numPr>
          <w:ilvl w:val="0"/>
          <w:numId w:val="3"/>
        </w:numPr>
      </w:pPr>
      <w:r>
        <w:t xml:space="preserve">Types of participants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718E8B7E" w14:textId="77777777" w:rsidR="008F7534" w:rsidRPr="001F3791" w:rsidRDefault="008F7534" w:rsidP="008F7534">
      <w:pPr>
        <w:pStyle w:val="ListParagraph"/>
        <w:ind w:left="1080"/>
        <w:rPr>
          <w:sz w:val="16"/>
          <w:szCs w:val="16"/>
        </w:rPr>
      </w:pPr>
    </w:p>
    <w:p w14:paraId="048A5451" w14:textId="77777777" w:rsidR="008F7534" w:rsidRDefault="008F7534" w:rsidP="008F7534">
      <w:pPr>
        <w:pStyle w:val="ListParagraph"/>
        <w:numPr>
          <w:ilvl w:val="0"/>
          <w:numId w:val="3"/>
        </w:numPr>
      </w:pPr>
      <w:r>
        <w:t xml:space="preserve">Environmental conditions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9D15E7F" w14:textId="77777777" w:rsidR="008F7534" w:rsidRDefault="008F7534" w:rsidP="008F7534">
      <w:pPr>
        <w:pStyle w:val="ListParagraph"/>
      </w:pPr>
    </w:p>
    <w:p w14:paraId="00231B63" w14:textId="77777777" w:rsidR="008F7534" w:rsidRDefault="008F7534" w:rsidP="008F7534">
      <w:pPr>
        <w:pStyle w:val="ListParagraph"/>
        <w:numPr>
          <w:ilvl w:val="0"/>
          <w:numId w:val="2"/>
        </w:numPr>
      </w:pPr>
      <w:r>
        <w:t>As described in Figure 7-3, there are three scenarios that can lead to conduct outside the scope of practice of an exercise professional. What are the potential legal consequences of each?</w:t>
      </w:r>
    </w:p>
    <w:p w14:paraId="5DDE51FF" w14:textId="77777777" w:rsidR="008F7534" w:rsidRPr="005A2E86" w:rsidRDefault="008F7534" w:rsidP="008F7534">
      <w:pPr>
        <w:pStyle w:val="ListParagraph"/>
        <w:rPr>
          <w:sz w:val="16"/>
          <w:szCs w:val="16"/>
        </w:rPr>
      </w:pPr>
    </w:p>
    <w:p w14:paraId="34FC83D9" w14:textId="77777777" w:rsidR="008F7534" w:rsidRDefault="008F7534" w:rsidP="008F7534">
      <w:pPr>
        <w:pStyle w:val="ListParagraph"/>
        <w:numPr>
          <w:ilvl w:val="0"/>
          <w:numId w:val="4"/>
        </w:numPr>
      </w:pPr>
      <w:r>
        <w:t xml:space="preserve">Scenario #1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65AE662" w14:textId="77777777" w:rsidR="008F7534" w:rsidRPr="005A2E86" w:rsidRDefault="008F7534" w:rsidP="008F7534">
      <w:pPr>
        <w:pStyle w:val="ListParagraph"/>
        <w:ind w:left="1080"/>
        <w:rPr>
          <w:sz w:val="16"/>
          <w:szCs w:val="16"/>
        </w:rPr>
      </w:pPr>
    </w:p>
    <w:p w14:paraId="78453389" w14:textId="77777777" w:rsidR="008F7534" w:rsidRDefault="008F7534" w:rsidP="008F7534">
      <w:pPr>
        <w:pStyle w:val="ListParagraph"/>
        <w:numPr>
          <w:ilvl w:val="0"/>
          <w:numId w:val="4"/>
        </w:numPr>
      </w:pPr>
      <w:r>
        <w:t xml:space="preserve">Scenario #2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11D70B3B" w14:textId="77777777" w:rsidR="008F7534" w:rsidRPr="005A2E86" w:rsidRDefault="008F7534" w:rsidP="008F7534">
      <w:pPr>
        <w:pStyle w:val="ListParagraph"/>
        <w:ind w:left="1080"/>
        <w:rPr>
          <w:sz w:val="16"/>
          <w:szCs w:val="16"/>
        </w:rPr>
      </w:pPr>
    </w:p>
    <w:p w14:paraId="01D67EAD" w14:textId="77777777" w:rsidR="008F7534" w:rsidRDefault="008F7534" w:rsidP="008F7534">
      <w:pPr>
        <w:pStyle w:val="ListParagraph"/>
        <w:numPr>
          <w:ilvl w:val="0"/>
          <w:numId w:val="4"/>
        </w:numPr>
      </w:pPr>
      <w:r>
        <w:t xml:space="preserve">Scenario #3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1CC654B8" w14:textId="77777777" w:rsidR="008F7534" w:rsidRDefault="008F7534" w:rsidP="008F7534">
      <w:pPr>
        <w:pStyle w:val="ListParagraph"/>
      </w:pPr>
    </w:p>
    <w:p w14:paraId="7FACCE37" w14:textId="77777777" w:rsidR="008F7534" w:rsidRDefault="008F7534" w:rsidP="008F7534">
      <w:pPr>
        <w:pStyle w:val="ListParagraph"/>
        <w:numPr>
          <w:ilvl w:val="0"/>
          <w:numId w:val="2"/>
        </w:numPr>
      </w:pPr>
      <w:r>
        <w:t xml:space="preserve">Several negligence cases in this chapter described injuries that occurred to apparently healthy adults in which the exercise professional designed/delivered an </w:t>
      </w:r>
      <w:r w:rsidRPr="00C57AD7">
        <w:rPr>
          <w:b/>
          <w:bCs/>
        </w:rPr>
        <w:t xml:space="preserve">improper exercise prescription </w:t>
      </w:r>
      <w:r>
        <w:t xml:space="preserve">that was unsafe or at an intensity level that was too high (Scenario #1). After reviewing two of these cases, </w:t>
      </w:r>
      <w:r w:rsidRPr="008826C5">
        <w:rPr>
          <w:i/>
          <w:iCs/>
        </w:rPr>
        <w:t>Mellon</w:t>
      </w:r>
      <w:r>
        <w:t xml:space="preserve"> and </w:t>
      </w:r>
      <w:r w:rsidRPr="008826C5">
        <w:rPr>
          <w:i/>
          <w:iCs/>
        </w:rPr>
        <w:t>Proffitt</w:t>
      </w:r>
      <w:r>
        <w:t xml:space="preserve"> (p. 258), answer the following questions:</w:t>
      </w:r>
    </w:p>
    <w:p w14:paraId="23700DBE" w14:textId="77777777" w:rsidR="008F7534" w:rsidRPr="00C57AD7" w:rsidRDefault="008F7534" w:rsidP="008F7534">
      <w:pPr>
        <w:pStyle w:val="ListParagraph"/>
        <w:rPr>
          <w:sz w:val="16"/>
          <w:szCs w:val="16"/>
        </w:rPr>
      </w:pPr>
    </w:p>
    <w:p w14:paraId="1CCBEBF2" w14:textId="77777777" w:rsidR="008F7534" w:rsidRDefault="008F7534" w:rsidP="008F7534">
      <w:pPr>
        <w:pStyle w:val="ListParagraph"/>
        <w:numPr>
          <w:ilvl w:val="0"/>
          <w:numId w:val="5"/>
        </w:numPr>
      </w:pPr>
      <w:r>
        <w:t xml:space="preserve">The personal fitness trainer in </w:t>
      </w:r>
      <w:r w:rsidRPr="008826C5">
        <w:rPr>
          <w:i/>
          <w:iCs/>
        </w:rPr>
        <w:t>Mellon</w:t>
      </w:r>
      <w:r>
        <w:t xml:space="preserve"> testified he possessed several credentials (e.g., ACE certification, completed training programs offered by Equinox, and continuing education as required by Crunch). Given these credentials, why do you think this personal trainer had his client perform an “unsafe” exercise that led to her falling and fracturing both wrists?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627660C" w14:textId="77777777" w:rsidR="008F7534" w:rsidRPr="00C57AD7" w:rsidRDefault="008F7534" w:rsidP="008F7534">
      <w:pPr>
        <w:pStyle w:val="ListParagraph"/>
        <w:ind w:left="1080"/>
        <w:rPr>
          <w:sz w:val="16"/>
          <w:szCs w:val="16"/>
        </w:rPr>
      </w:pPr>
    </w:p>
    <w:p w14:paraId="4082D0F9" w14:textId="77777777" w:rsidR="008F7534" w:rsidRDefault="008F7534" w:rsidP="008F7534">
      <w:pPr>
        <w:pStyle w:val="ListParagraph"/>
        <w:numPr>
          <w:ilvl w:val="0"/>
          <w:numId w:val="5"/>
        </w:numPr>
      </w:pPr>
      <w:r>
        <w:t xml:space="preserve">What was the opinion of the expert witness in </w:t>
      </w:r>
      <w:r w:rsidRPr="000225A4">
        <w:rPr>
          <w:i/>
          <w:iCs/>
        </w:rPr>
        <w:t>Mellon</w:t>
      </w:r>
      <w:r>
        <w:t xml:space="preserve"> regarding the trainer’s departure of the standard of care?</w:t>
      </w:r>
      <w:r w:rsidRPr="000225A4">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7597A889" w14:textId="77777777" w:rsidR="008F7534" w:rsidRPr="00C57AD7" w:rsidRDefault="008F7534" w:rsidP="008F7534">
      <w:pPr>
        <w:pStyle w:val="ListParagraph"/>
        <w:ind w:left="1080"/>
        <w:rPr>
          <w:sz w:val="16"/>
          <w:szCs w:val="16"/>
        </w:rPr>
      </w:pPr>
    </w:p>
    <w:p w14:paraId="562985EE" w14:textId="77777777" w:rsidR="008F7534" w:rsidRPr="00C57AD7" w:rsidRDefault="008F7534" w:rsidP="008F7534">
      <w:pPr>
        <w:pStyle w:val="ListParagraph"/>
        <w:numPr>
          <w:ilvl w:val="0"/>
          <w:numId w:val="5"/>
        </w:numPr>
        <w:rPr>
          <w:i/>
          <w:iCs/>
        </w:rPr>
      </w:pPr>
      <w:r>
        <w:t xml:space="preserve">Why do you believe the personal fitness trainer in </w:t>
      </w:r>
      <w:r w:rsidRPr="000225A4">
        <w:rPr>
          <w:i/>
          <w:iCs/>
        </w:rPr>
        <w:t>Proffitt</w:t>
      </w:r>
      <w:r>
        <w:rPr>
          <w:i/>
          <w:iCs/>
        </w:rPr>
        <w:t xml:space="preserve"> </w:t>
      </w:r>
      <w:r w:rsidRPr="000225A4">
        <w:t>had his client continue</w:t>
      </w:r>
      <w:r>
        <w:t xml:space="preserve"> with high intensity exercise even after his client experienced signs/symptoms of overexertion and made requests to stop?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1203E689" w14:textId="77777777" w:rsidR="008F7534" w:rsidRPr="00C57AD7" w:rsidRDefault="008F7534" w:rsidP="008F7534">
      <w:pPr>
        <w:pStyle w:val="ListParagraph"/>
        <w:rPr>
          <w:i/>
          <w:iCs/>
          <w:sz w:val="16"/>
          <w:szCs w:val="16"/>
        </w:rPr>
      </w:pPr>
    </w:p>
    <w:p w14:paraId="3AAFDEE6" w14:textId="77777777" w:rsidR="008F7534" w:rsidRPr="00C57AD7" w:rsidRDefault="008F7534" w:rsidP="008F7534">
      <w:pPr>
        <w:pStyle w:val="ListParagraph"/>
        <w:numPr>
          <w:ilvl w:val="0"/>
          <w:numId w:val="5"/>
        </w:numPr>
        <w:rPr>
          <w:i/>
          <w:iCs/>
        </w:rPr>
      </w:pPr>
      <w:r>
        <w:t xml:space="preserve">Why should exercise professionals avoid having beginners, like Vince Proffitt, participate in high intensity exercise programs? </w:t>
      </w:r>
      <w:r w:rsidRPr="00C57AD7">
        <w:fldChar w:fldCharType="begin">
          <w:ffData>
            <w:name w:val=""/>
            <w:enabled/>
            <w:calcOnExit w:val="0"/>
            <w:textInput/>
          </w:ffData>
        </w:fldChar>
      </w:r>
      <w:r w:rsidRPr="00C57AD7">
        <w:instrText xml:space="preserve"> FORMTEXT </w:instrText>
      </w:r>
      <w:r w:rsidRPr="00C57AD7">
        <w:fldChar w:fldCharType="separate"/>
      </w:r>
      <w:r w:rsidRPr="00C57AD7">
        <w:rPr>
          <w:noProof/>
        </w:rPr>
        <w:t> </w:t>
      </w:r>
      <w:r w:rsidRPr="00C57AD7">
        <w:rPr>
          <w:noProof/>
        </w:rPr>
        <w:t> </w:t>
      </w:r>
      <w:r w:rsidRPr="00C57AD7">
        <w:rPr>
          <w:noProof/>
        </w:rPr>
        <w:t> </w:t>
      </w:r>
      <w:r w:rsidRPr="00C57AD7">
        <w:rPr>
          <w:noProof/>
        </w:rPr>
        <w:t> </w:t>
      </w:r>
      <w:r w:rsidRPr="00C57AD7">
        <w:rPr>
          <w:noProof/>
        </w:rPr>
        <w:t> </w:t>
      </w:r>
      <w:r w:rsidRPr="00C57AD7">
        <w:fldChar w:fldCharType="end"/>
      </w:r>
      <w:r w:rsidRPr="00C57AD7">
        <w:t xml:space="preserve"> </w:t>
      </w:r>
    </w:p>
    <w:p w14:paraId="08070230" w14:textId="77777777" w:rsidR="008F7534" w:rsidRPr="00C57AD7" w:rsidRDefault="008F7534" w:rsidP="008F7534">
      <w:pPr>
        <w:pStyle w:val="ListParagraph"/>
        <w:ind w:left="1080"/>
        <w:rPr>
          <w:b/>
          <w:bCs/>
          <w:sz w:val="16"/>
          <w:szCs w:val="16"/>
        </w:rPr>
      </w:pPr>
    </w:p>
    <w:p w14:paraId="0FEB9CBE" w14:textId="77777777" w:rsidR="008F7534" w:rsidRDefault="008F7534" w:rsidP="008F7534">
      <w:pPr>
        <w:pStyle w:val="ListParagraph"/>
        <w:ind w:left="1080"/>
      </w:pPr>
      <w:r w:rsidRPr="00C57AD7">
        <w:rPr>
          <w:b/>
          <w:bCs/>
        </w:rPr>
        <w:t>Note:</w:t>
      </w:r>
      <w:r>
        <w:t xml:space="preserve"> Additional negligence cases involving exertional rhabdomyolysis are described in Chapter 8. </w:t>
      </w:r>
    </w:p>
    <w:p w14:paraId="5CE8EC6E" w14:textId="77777777" w:rsidR="008F7534" w:rsidRPr="008827F0" w:rsidRDefault="008F7534" w:rsidP="008F7534">
      <w:pPr>
        <w:pStyle w:val="ListParagraph"/>
        <w:ind w:left="1080"/>
        <w:rPr>
          <w:sz w:val="16"/>
          <w:szCs w:val="16"/>
        </w:rPr>
      </w:pPr>
    </w:p>
    <w:p w14:paraId="6EC315C5" w14:textId="77777777" w:rsidR="008F7534" w:rsidRDefault="008F7534" w:rsidP="008F7534">
      <w:pPr>
        <w:pStyle w:val="ListParagraph"/>
        <w:numPr>
          <w:ilvl w:val="0"/>
          <w:numId w:val="2"/>
        </w:numPr>
      </w:pPr>
      <w:r>
        <w:t xml:space="preserve">(1) Describe what fitness managers can do to comply with the ADA which requires fitness facilities to serve individuals with disabilities including those with chronic diseases? (See Exhibit 3-1 on p. 75 for definition of disability). Hint: See Risk Management Strategy #1.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4D27104A" w14:textId="77777777" w:rsidR="008F7534" w:rsidRPr="00356B2F" w:rsidRDefault="008F7534" w:rsidP="008F7534">
      <w:pPr>
        <w:pStyle w:val="ListParagraph"/>
        <w:rPr>
          <w:sz w:val="16"/>
          <w:szCs w:val="16"/>
        </w:rPr>
      </w:pPr>
    </w:p>
    <w:p w14:paraId="6EA8CC1C" w14:textId="77777777" w:rsidR="008F7534" w:rsidRDefault="008F7534" w:rsidP="008F7534">
      <w:pPr>
        <w:pStyle w:val="ListParagraph"/>
      </w:pPr>
      <w:r>
        <w:t xml:space="preserve">(2) What does a plaintiff have to prove in an ADA discrimination lawsuit?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CAB3738" w14:textId="77777777" w:rsidR="008F7534" w:rsidRDefault="008F7534" w:rsidP="008F7534">
      <w:pPr>
        <w:pStyle w:val="ListParagraph"/>
        <w:numPr>
          <w:ilvl w:val="0"/>
          <w:numId w:val="2"/>
        </w:numPr>
      </w:pPr>
      <w:r>
        <w:t>For each of the three spotlight cases described under Scenario #2, answer the following questions.</w:t>
      </w:r>
    </w:p>
    <w:p w14:paraId="2F7252A9" w14:textId="77777777" w:rsidR="008F7534" w:rsidRPr="00943DC1" w:rsidRDefault="008F7534" w:rsidP="008F7534">
      <w:pPr>
        <w:pStyle w:val="ListParagraph"/>
        <w:rPr>
          <w:sz w:val="16"/>
          <w:szCs w:val="16"/>
        </w:rPr>
      </w:pPr>
    </w:p>
    <w:p w14:paraId="4FD9E5C6" w14:textId="77777777" w:rsidR="008F7534" w:rsidRDefault="008F7534" w:rsidP="008F7534">
      <w:pPr>
        <w:pStyle w:val="ListParagraph"/>
        <w:numPr>
          <w:ilvl w:val="0"/>
          <w:numId w:val="6"/>
        </w:numPr>
      </w:pPr>
      <w:r w:rsidRPr="00837BB2">
        <w:rPr>
          <w:i/>
          <w:iCs/>
        </w:rPr>
        <w:t>Levy</w:t>
      </w:r>
      <w:r>
        <w:t xml:space="preserve">: Why did the appellate court reverse the trial court’s ruling that the plaintiff assumed the risk?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7550C899" w14:textId="77777777" w:rsidR="008F7534" w:rsidRPr="00943DC1" w:rsidRDefault="008F7534" w:rsidP="008F7534">
      <w:pPr>
        <w:pStyle w:val="ListParagraph"/>
        <w:ind w:left="1080"/>
        <w:rPr>
          <w:sz w:val="16"/>
          <w:szCs w:val="16"/>
        </w:rPr>
      </w:pPr>
    </w:p>
    <w:p w14:paraId="372C9676" w14:textId="77777777" w:rsidR="008F7534" w:rsidRPr="00943DC1" w:rsidRDefault="008F7534" w:rsidP="008F7534">
      <w:pPr>
        <w:pStyle w:val="ListParagraph"/>
        <w:numPr>
          <w:ilvl w:val="0"/>
          <w:numId w:val="6"/>
        </w:numPr>
        <w:rPr>
          <w:i/>
          <w:iCs/>
        </w:rPr>
      </w:pPr>
      <w:r w:rsidRPr="00837BB2">
        <w:rPr>
          <w:i/>
          <w:iCs/>
        </w:rPr>
        <w:t>Bartlett:</w:t>
      </w:r>
      <w:r>
        <w:t xml:space="preserve"> The personal trainer in the case had a degree in exercise science and ACSM certification. Yet, the court found the trainer grossly negligent when she prescribed an exercise that led to Bartlett’s injury. Why was her conduct grossly negligent?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494F087" w14:textId="77777777" w:rsidR="008F7534" w:rsidRPr="00943DC1" w:rsidRDefault="008F7534" w:rsidP="008F7534">
      <w:pPr>
        <w:pStyle w:val="ListParagraph"/>
        <w:ind w:left="1080"/>
        <w:rPr>
          <w:i/>
          <w:iCs/>
          <w:sz w:val="16"/>
          <w:szCs w:val="16"/>
        </w:rPr>
      </w:pPr>
    </w:p>
    <w:p w14:paraId="20DC45B5" w14:textId="77777777" w:rsidR="008F7534" w:rsidRPr="00837BB2" w:rsidRDefault="008F7534" w:rsidP="008F7534">
      <w:pPr>
        <w:pStyle w:val="ListParagraph"/>
        <w:numPr>
          <w:ilvl w:val="0"/>
          <w:numId w:val="6"/>
        </w:numPr>
        <w:rPr>
          <w:i/>
          <w:iCs/>
        </w:rPr>
      </w:pPr>
      <w:r w:rsidRPr="00563526">
        <w:rPr>
          <w:i/>
          <w:iCs/>
        </w:rPr>
        <w:t>Bartlett:</w:t>
      </w:r>
      <w:r>
        <w:t xml:space="preserve"> What lessons can fitness managers and exercise professionals learn from the following statement made by the court?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3D6B025A" w14:textId="77777777" w:rsidR="008F7534" w:rsidRPr="00B56E2D" w:rsidRDefault="008F7534" w:rsidP="008F7534">
      <w:pPr>
        <w:spacing w:after="0" w:line="240" w:lineRule="auto"/>
        <w:rPr>
          <w:rFonts w:ascii="Times New Roman" w:hAnsi="Times New Roman" w:cs="Times New Roman"/>
          <w:sz w:val="16"/>
          <w:szCs w:val="16"/>
        </w:rPr>
      </w:pPr>
    </w:p>
    <w:p w14:paraId="4D46091E" w14:textId="77777777" w:rsidR="008F7534" w:rsidRDefault="008F7534" w:rsidP="008F7534">
      <w:pPr>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56E2D">
        <w:rPr>
          <w:rFonts w:ascii="Times New Roman" w:hAnsi="Times New Roman" w:cs="Times New Roman"/>
          <w:i/>
          <w:iCs/>
          <w:sz w:val="24"/>
          <w:szCs w:val="24"/>
        </w:rPr>
        <w:t>Programs like Push to Walk that serve injured individuals</w:t>
      </w:r>
      <w:r>
        <w:rPr>
          <w:rFonts w:ascii="Times New Roman" w:hAnsi="Times New Roman" w:cs="Times New Roman"/>
          <w:i/>
          <w:iCs/>
          <w:sz w:val="24"/>
          <w:szCs w:val="24"/>
        </w:rPr>
        <w:t xml:space="preserve"> </w:t>
      </w:r>
      <w:r w:rsidRPr="00B56E2D">
        <w:rPr>
          <w:rFonts w:ascii="Times New Roman" w:hAnsi="Times New Roman" w:cs="Times New Roman"/>
          <w:i/>
          <w:iCs/>
          <w:sz w:val="24"/>
          <w:szCs w:val="24"/>
        </w:rPr>
        <w:t xml:space="preserve">“may impose </w:t>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t xml:space="preserve">particular duties that an ordinary health club would not have…What would </w:t>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t xml:space="preserve">constitute ordinary negligence would differ as between an ordinary health club </w:t>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r>
      <w:r w:rsidRPr="00B56E2D">
        <w:rPr>
          <w:rFonts w:ascii="Times New Roman" w:hAnsi="Times New Roman" w:cs="Times New Roman"/>
          <w:i/>
          <w:iCs/>
          <w:sz w:val="24"/>
          <w:szCs w:val="24"/>
        </w:rPr>
        <w:tab/>
        <w:t>and a facility like Push to Walk.”</w:t>
      </w:r>
    </w:p>
    <w:p w14:paraId="12D8963F" w14:textId="77777777" w:rsidR="008F7534" w:rsidRPr="00943DC1" w:rsidRDefault="008F7534" w:rsidP="008F7534">
      <w:pPr>
        <w:spacing w:after="0" w:line="240" w:lineRule="auto"/>
        <w:rPr>
          <w:rFonts w:ascii="Times New Roman" w:hAnsi="Times New Roman" w:cs="Times New Roman"/>
          <w:i/>
          <w:iCs/>
          <w:sz w:val="16"/>
          <w:szCs w:val="16"/>
        </w:rPr>
      </w:pPr>
    </w:p>
    <w:p w14:paraId="1A08BA44" w14:textId="77777777" w:rsidR="008F7534" w:rsidRPr="00943DC1" w:rsidRDefault="008F7534" w:rsidP="008F7534">
      <w:pPr>
        <w:pStyle w:val="ListParagraph"/>
        <w:numPr>
          <w:ilvl w:val="0"/>
          <w:numId w:val="6"/>
        </w:numPr>
        <w:rPr>
          <w:i/>
          <w:iCs/>
        </w:rPr>
      </w:pPr>
      <w:proofErr w:type="spellStart"/>
      <w:r w:rsidRPr="00B56E2D">
        <w:rPr>
          <w:i/>
          <w:iCs/>
        </w:rPr>
        <w:t>L</w:t>
      </w:r>
      <w:r>
        <w:rPr>
          <w:i/>
          <w:iCs/>
        </w:rPr>
        <w:t>ayden</w:t>
      </w:r>
      <w:proofErr w:type="spellEnd"/>
      <w:r>
        <w:rPr>
          <w:i/>
          <w:iCs/>
        </w:rPr>
        <w:t xml:space="preserve">: </w:t>
      </w:r>
      <w:r>
        <w:t xml:space="preserve">Why did the appellate court reverse the trial court’s ruling that the plaintiff assumed the risks, i.e., “knew of the risks, appreciated their nature and voluntarily assumed them”?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BDE9233" w14:textId="77777777" w:rsidR="008F7534" w:rsidRPr="00943DC1" w:rsidRDefault="008F7534" w:rsidP="008F7534">
      <w:pPr>
        <w:pStyle w:val="ListParagraph"/>
        <w:ind w:left="1080"/>
        <w:rPr>
          <w:i/>
          <w:iCs/>
          <w:sz w:val="16"/>
          <w:szCs w:val="16"/>
        </w:rPr>
      </w:pPr>
    </w:p>
    <w:p w14:paraId="049BA405" w14:textId="77777777" w:rsidR="008F7534" w:rsidRPr="00943DC1" w:rsidRDefault="008F7534" w:rsidP="008F7534">
      <w:pPr>
        <w:pStyle w:val="ListParagraph"/>
        <w:numPr>
          <w:ilvl w:val="0"/>
          <w:numId w:val="6"/>
        </w:numPr>
        <w:rPr>
          <w:i/>
          <w:iCs/>
        </w:rPr>
      </w:pPr>
      <w:proofErr w:type="spellStart"/>
      <w:r>
        <w:rPr>
          <w:i/>
          <w:iCs/>
        </w:rPr>
        <w:t>Layden</w:t>
      </w:r>
      <w:proofErr w:type="spellEnd"/>
      <w:r>
        <w:rPr>
          <w:i/>
          <w:iCs/>
        </w:rPr>
        <w:t xml:space="preserve">: </w:t>
      </w:r>
      <w:r>
        <w:t xml:space="preserve">How could the injury been prevented in this case if the certified personal trainer had obtained medical clearance after learning about her client’s history of back problems?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61F00019" w14:textId="77777777" w:rsidR="008F7534" w:rsidRPr="00943DC1" w:rsidRDefault="008F7534" w:rsidP="008F7534">
      <w:pPr>
        <w:pStyle w:val="ListParagraph"/>
        <w:ind w:left="1080"/>
        <w:rPr>
          <w:i/>
          <w:iCs/>
          <w:sz w:val="16"/>
          <w:szCs w:val="16"/>
        </w:rPr>
      </w:pPr>
    </w:p>
    <w:p w14:paraId="4F40A655" w14:textId="77777777" w:rsidR="008F7534" w:rsidRDefault="008F7534" w:rsidP="008F7534">
      <w:pPr>
        <w:pStyle w:val="ListParagraph"/>
        <w:numPr>
          <w:ilvl w:val="0"/>
          <w:numId w:val="6"/>
        </w:numPr>
        <w:rPr>
          <w:i/>
          <w:iCs/>
        </w:rPr>
      </w:pPr>
      <w:proofErr w:type="spellStart"/>
      <w:r w:rsidRPr="00DF7240">
        <w:rPr>
          <w:i/>
          <w:iCs/>
        </w:rPr>
        <w:t>L</w:t>
      </w:r>
      <w:r>
        <w:rPr>
          <w:i/>
          <w:iCs/>
        </w:rPr>
        <w:t>ayden</w:t>
      </w:r>
      <w:proofErr w:type="spellEnd"/>
      <w:r>
        <w:t>: Why did the court indicate regarding the owner’s defense that she could not be liable because the trainer was an independent contractor,</w:t>
      </w:r>
      <w:r w:rsidRPr="00943DC1">
        <w:t xml:space="preserve"> </w:t>
      </w:r>
      <w:r>
        <w:t xml:space="preserve">based on the theory of </w:t>
      </w:r>
      <w:proofErr w:type="spellStart"/>
      <w:r>
        <w:t>respondeat</w:t>
      </w:r>
      <w:proofErr w:type="spellEnd"/>
      <w:r>
        <w:t xml:space="preserve"> superior?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7E39F041" w14:textId="77777777" w:rsidR="008F7534" w:rsidRPr="00377C72" w:rsidRDefault="008F7534" w:rsidP="008F7534">
      <w:pPr>
        <w:pStyle w:val="ListParagraph"/>
        <w:ind w:left="1080"/>
        <w:rPr>
          <w:i/>
          <w:iCs/>
        </w:rPr>
      </w:pPr>
    </w:p>
    <w:p w14:paraId="0FC2E49A" w14:textId="77777777" w:rsidR="008F7534" w:rsidRPr="00296869" w:rsidRDefault="008F7534" w:rsidP="008F7534">
      <w:pPr>
        <w:pStyle w:val="ListParagraph"/>
        <w:numPr>
          <w:ilvl w:val="0"/>
          <w:numId w:val="2"/>
        </w:numPr>
        <w:rPr>
          <w:i/>
          <w:iCs/>
        </w:rPr>
      </w:pPr>
      <w:r>
        <w:t>The EIM initiative, a collaborative effort between the ACSM and AHA, recommends that physicians and other health care providers refer their patients to a credentialed exercise professional or to a community fitness facility or program that employs credentialed exercise professionals. Explain why, from a legal perspective, they may be hesitant to make such referrals.</w:t>
      </w:r>
      <w:r w:rsidRPr="00296869">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2C8AC81" w14:textId="77777777" w:rsidR="008F7534" w:rsidRPr="00296869" w:rsidRDefault="008F7534" w:rsidP="008F7534">
      <w:pPr>
        <w:pStyle w:val="ListParagraph"/>
        <w:rPr>
          <w:i/>
          <w:iCs/>
        </w:rPr>
      </w:pPr>
    </w:p>
    <w:p w14:paraId="278EB26C" w14:textId="77777777" w:rsidR="008F7534" w:rsidRPr="00377C72" w:rsidRDefault="008F7534" w:rsidP="008F7534">
      <w:pPr>
        <w:pStyle w:val="ListParagraph"/>
        <w:numPr>
          <w:ilvl w:val="0"/>
          <w:numId w:val="2"/>
        </w:numPr>
        <w:rPr>
          <w:i/>
          <w:iCs/>
        </w:rPr>
      </w:pPr>
      <w:r>
        <w:t xml:space="preserve">Medical fitness facilities, directly affiliated with a health care system, receive referrals from health care providers on a continual basis. What steps should a typical fitness facility and/or community fitness program take to also obtain such referrals?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285F9FBE" w14:textId="77777777" w:rsidR="008F7534" w:rsidRDefault="008F7534" w:rsidP="008F7534">
      <w:pPr>
        <w:pStyle w:val="ListParagraph"/>
        <w:rPr>
          <w:i/>
          <w:iCs/>
        </w:rPr>
      </w:pPr>
    </w:p>
    <w:p w14:paraId="778012F0" w14:textId="77777777" w:rsidR="008F7534" w:rsidRPr="00AA4B98" w:rsidRDefault="008F7534" w:rsidP="008F7534">
      <w:pPr>
        <w:pStyle w:val="ListParagraph"/>
        <w:numPr>
          <w:ilvl w:val="0"/>
          <w:numId w:val="2"/>
        </w:numPr>
        <w:rPr>
          <w:i/>
          <w:iCs/>
        </w:rPr>
      </w:pPr>
      <w:r>
        <w:t>An article (systematic review) by Warburton et al. and an article by Dr. William Herbert were briefly summarized in this chapter. They both describe the credentials and competence that exercise professionals who will be working with clinical populations should possess.</w:t>
      </w:r>
    </w:p>
    <w:p w14:paraId="07637601" w14:textId="77777777" w:rsidR="008F7534" w:rsidRPr="00AA4B98" w:rsidRDefault="008F7534" w:rsidP="008F7534">
      <w:pPr>
        <w:pStyle w:val="ListParagraph"/>
        <w:rPr>
          <w:i/>
          <w:iCs/>
          <w:sz w:val="16"/>
          <w:szCs w:val="16"/>
        </w:rPr>
      </w:pPr>
    </w:p>
    <w:p w14:paraId="0DB2BEBC" w14:textId="77777777" w:rsidR="008F7534" w:rsidRPr="00AA4B98" w:rsidRDefault="008F7534" w:rsidP="008F7534">
      <w:pPr>
        <w:pStyle w:val="ListParagraph"/>
        <w:numPr>
          <w:ilvl w:val="0"/>
          <w:numId w:val="7"/>
        </w:numPr>
        <w:rPr>
          <w:i/>
          <w:iCs/>
        </w:rPr>
      </w:pPr>
      <w:r>
        <w:t>What did Warburton, et al. mean when they stated:</w:t>
      </w:r>
    </w:p>
    <w:p w14:paraId="1D4BF8E2" w14:textId="77777777" w:rsidR="008F7534" w:rsidRDefault="008F7534" w:rsidP="008F7534">
      <w:r>
        <w:rPr>
          <w:i/>
          <w:iCs/>
        </w:rPr>
        <w:tab/>
      </w:r>
      <w:r>
        <w:rPr>
          <w:i/>
          <w:iCs/>
        </w:rPr>
        <w:tab/>
      </w:r>
      <w:r>
        <w:rPr>
          <w:rFonts w:ascii="Times New Roman" w:eastAsiaTheme="minorEastAsia" w:hAnsi="Times New Roman" w:cs="Times New Roman"/>
          <w:color w:val="000000" w:themeColor="text1"/>
          <w:sz w:val="24"/>
          <w:szCs w:val="24"/>
        </w:rPr>
        <w:t xml:space="preserve">“simply completing a general undergraduate degree in exercise science is an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insufficient qualification for work with clinical populations.”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0697ADA1" w14:textId="77777777" w:rsidR="008F7534" w:rsidRDefault="008F7534" w:rsidP="008F7534">
      <w:pPr>
        <w:rPr>
          <w:rFonts w:ascii="Times New Roman" w:hAnsi="Times New Roman" w:cs="Times New Roman"/>
          <w:sz w:val="24"/>
          <w:szCs w:val="24"/>
        </w:rPr>
      </w:pPr>
      <w:r>
        <w:tab/>
      </w:r>
      <w:r w:rsidRPr="00AA4B98">
        <w:rPr>
          <w:rFonts w:ascii="Times New Roman" w:hAnsi="Times New Roman" w:cs="Times New Roman"/>
          <w:b/>
          <w:bCs/>
          <w:sz w:val="24"/>
          <w:szCs w:val="24"/>
          <w:u w:val="single"/>
        </w:rPr>
        <w:t>Note:</w:t>
      </w:r>
      <w:r w:rsidRPr="00AA4B98">
        <w:rPr>
          <w:rFonts w:ascii="Times New Roman" w:hAnsi="Times New Roman" w:cs="Times New Roman"/>
          <w:sz w:val="24"/>
          <w:szCs w:val="24"/>
        </w:rPr>
        <w:t xml:space="preserve"> To </w:t>
      </w:r>
      <w:r>
        <w:rPr>
          <w:rFonts w:ascii="Times New Roman" w:hAnsi="Times New Roman" w:cs="Times New Roman"/>
          <w:sz w:val="24"/>
          <w:szCs w:val="24"/>
        </w:rPr>
        <w:t>access</w:t>
      </w:r>
      <w:r w:rsidRPr="00AA4B98">
        <w:rPr>
          <w:rFonts w:ascii="Times New Roman" w:hAnsi="Times New Roman" w:cs="Times New Roman"/>
          <w:sz w:val="24"/>
          <w:szCs w:val="24"/>
        </w:rPr>
        <w:t xml:space="preserve"> the Warburton et al. article and</w:t>
      </w:r>
      <w:r>
        <w:rPr>
          <w:rFonts w:ascii="Times New Roman" w:hAnsi="Times New Roman" w:cs="Times New Roman"/>
          <w:sz w:val="24"/>
          <w:szCs w:val="24"/>
        </w:rPr>
        <w:t xml:space="preserve"> </w:t>
      </w:r>
      <w:r w:rsidRPr="00AA4B98">
        <w:rPr>
          <w:rFonts w:ascii="Times New Roman" w:hAnsi="Times New Roman" w:cs="Times New Roman"/>
          <w:sz w:val="24"/>
          <w:szCs w:val="24"/>
        </w:rPr>
        <w:t xml:space="preserve">review all seven recommendations and </w:t>
      </w:r>
      <w:r>
        <w:rPr>
          <w:rFonts w:ascii="Times New Roman" w:hAnsi="Times New Roman" w:cs="Times New Roman"/>
          <w:sz w:val="24"/>
          <w:szCs w:val="24"/>
        </w:rPr>
        <w:tab/>
      </w:r>
      <w:r w:rsidRPr="00AA4B98">
        <w:rPr>
          <w:rFonts w:ascii="Times New Roman" w:hAnsi="Times New Roman" w:cs="Times New Roman"/>
          <w:sz w:val="24"/>
          <w:szCs w:val="24"/>
        </w:rPr>
        <w:t xml:space="preserve">the 15 core competencies (listed in Recommendation #3), go to: </w:t>
      </w:r>
      <w:hyperlink r:id="rId9" w:history="1">
        <w:r w:rsidRPr="00AA4B98">
          <w:rPr>
            <w:rStyle w:val="Hyperlink"/>
            <w:rFonts w:ascii="Times New Roman" w:hAnsi="Times New Roman" w:cs="Times New Roman"/>
            <w:sz w:val="24"/>
            <w:szCs w:val="24"/>
          </w:rPr>
          <w:t xml:space="preserve">Evidenced-Based Risk </w:t>
        </w:r>
        <w:r w:rsidRPr="008F7534">
          <w:rPr>
            <w:rStyle w:val="Hyperlink"/>
            <w:rFonts w:ascii="Times New Roman" w:hAnsi="Times New Roman" w:cs="Times New Roman"/>
            <w:sz w:val="24"/>
            <w:szCs w:val="24"/>
            <w:u w:val="none"/>
          </w:rPr>
          <w:tab/>
        </w:r>
        <w:r w:rsidRPr="00AA4B98">
          <w:rPr>
            <w:rStyle w:val="Hyperlink"/>
            <w:rFonts w:ascii="Times New Roman" w:hAnsi="Times New Roman" w:cs="Times New Roman"/>
            <w:sz w:val="24"/>
            <w:szCs w:val="24"/>
          </w:rPr>
          <w:t xml:space="preserve">Recommendations... Warburton et al. </w:t>
        </w:r>
      </w:hyperlink>
    </w:p>
    <w:p w14:paraId="03EC9D75" w14:textId="77777777" w:rsidR="008F7534" w:rsidRPr="00AA4B98" w:rsidRDefault="008F7534" w:rsidP="008F7534">
      <w:pPr>
        <w:pStyle w:val="ListParagraph"/>
        <w:numPr>
          <w:ilvl w:val="0"/>
          <w:numId w:val="7"/>
        </w:numPr>
        <w:rPr>
          <w:i/>
          <w:iCs/>
        </w:rPr>
      </w:pPr>
      <w:r>
        <w:t>What did Herbert mean when he stated there is an:</w:t>
      </w:r>
    </w:p>
    <w:p w14:paraId="27614C2D" w14:textId="77777777" w:rsidR="008F7534" w:rsidRDefault="008F7534" w:rsidP="008F7534">
      <w:r>
        <w:tab/>
      </w:r>
      <w:r>
        <w:tab/>
      </w:r>
      <w:r>
        <w:rPr>
          <w:rFonts w:ascii="Times New Roman" w:eastAsiaTheme="minorEastAsia" w:hAnsi="Times New Roman" w:cs="Times New Roman"/>
          <w:color w:val="000000" w:themeColor="text1"/>
          <w:sz w:val="24"/>
          <w:szCs w:val="24"/>
        </w:rPr>
        <w:t xml:space="preserve">“increased exposure of the ‘medicalized’ exercise client to greater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chances of physical activity related injury and death. And, such events inevitably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would increase risks of personal injury litigation affecting not only exercise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providers, but also legal actions against referring physicians and community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health care systems.”</w:t>
      </w:r>
      <w:r w:rsidRPr="00DB2DF5">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5AB41670" w14:textId="77777777" w:rsidR="008F7534" w:rsidRDefault="008F7534" w:rsidP="008F7534">
      <w:pPr>
        <w:pStyle w:val="ListParagraph"/>
        <w:numPr>
          <w:ilvl w:val="0"/>
          <w:numId w:val="7"/>
        </w:numPr>
      </w:pPr>
      <w:r>
        <w:t xml:space="preserve">The above comments by leading experts explain why facilities should consider hiring a clinical exercise physiologist. Describe additional reasons. </w:t>
      </w:r>
      <w:r w:rsidRPr="00D2532D">
        <w:rPr>
          <w:u w:val="single"/>
        </w:rPr>
        <w:t>Hint:</w:t>
      </w:r>
      <w:r>
        <w:t xml:space="preserve"> See Risk Management Strategies #3, #4, and #5.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9CDBA74" w14:textId="77777777" w:rsidR="008F7534" w:rsidRDefault="008F7534" w:rsidP="008F7534">
      <w:pPr>
        <w:pStyle w:val="ListParagraph"/>
        <w:ind w:left="1080"/>
      </w:pPr>
    </w:p>
    <w:p w14:paraId="7476BFF7" w14:textId="77777777" w:rsidR="008F7534" w:rsidRDefault="008F7534" w:rsidP="008F7534">
      <w:pPr>
        <w:pStyle w:val="ListParagraph"/>
        <w:numPr>
          <w:ilvl w:val="0"/>
          <w:numId w:val="2"/>
        </w:numPr>
      </w:pPr>
      <w:r>
        <w:t xml:space="preserve">As shown in Figure 7-5, exercise prescriptions can be designed to prevent and treat chronic diseases. What can exercise professionals do to help prevent crossing over the line into the practice of medicine when they prescribe exercise that helps prevent further progression of a disease and/or serves as part of the treatment for a disease?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0AAF600B" w14:textId="77777777" w:rsidR="008F7534" w:rsidRDefault="008F7534" w:rsidP="008F7534">
      <w:pPr>
        <w:pStyle w:val="ListParagraph"/>
      </w:pPr>
    </w:p>
    <w:p w14:paraId="05043C79" w14:textId="77777777" w:rsidR="008F7534" w:rsidRDefault="008F7534" w:rsidP="008F7534">
      <w:pPr>
        <w:pStyle w:val="ListParagraph"/>
        <w:numPr>
          <w:ilvl w:val="0"/>
          <w:numId w:val="2"/>
        </w:numPr>
      </w:pPr>
      <w:r>
        <w:t xml:space="preserve">Scenario #3 addresses conduct that crosses over the line into a licensed profession. Such conduct can result in criminal penalties, as shown in Exhibit 7-4, as well as </w:t>
      </w:r>
      <w:r w:rsidRPr="00F91142">
        <w:rPr>
          <w:u w:val="single"/>
        </w:rPr>
        <w:fldChar w:fldCharType="begin">
          <w:ffData>
            <w:name w:val=""/>
            <w:enabled/>
            <w:calcOnExit w:val="0"/>
            <w:textInput/>
          </w:ffData>
        </w:fldChar>
      </w:r>
      <w:r w:rsidRPr="00F91142">
        <w:rPr>
          <w:u w:val="single"/>
        </w:rPr>
        <w:instrText xml:space="preserve"> FORMTEXT </w:instrText>
      </w:r>
      <w:r w:rsidRPr="00F91142">
        <w:rPr>
          <w:u w:val="single"/>
        </w:rPr>
      </w:r>
      <w:r w:rsidRPr="00F91142">
        <w:rPr>
          <w:u w:val="single"/>
        </w:rPr>
        <w:fldChar w:fldCharType="separate"/>
      </w:r>
      <w:r w:rsidRPr="00F91142">
        <w:rPr>
          <w:noProof/>
          <w:u w:val="single"/>
        </w:rPr>
        <w:t> </w:t>
      </w:r>
      <w:r w:rsidRPr="00F91142">
        <w:rPr>
          <w:noProof/>
          <w:u w:val="single"/>
        </w:rPr>
        <w:t> </w:t>
      </w:r>
      <w:r w:rsidRPr="00F91142">
        <w:rPr>
          <w:noProof/>
          <w:u w:val="single"/>
        </w:rPr>
        <w:t> </w:t>
      </w:r>
      <w:r w:rsidRPr="00F91142">
        <w:rPr>
          <w:noProof/>
          <w:u w:val="single"/>
        </w:rPr>
        <w:t> </w:t>
      </w:r>
      <w:r w:rsidRPr="00F91142">
        <w:rPr>
          <w:noProof/>
          <w:u w:val="single"/>
        </w:rPr>
        <w:t> </w:t>
      </w:r>
      <w:r w:rsidRPr="00F91142">
        <w:rPr>
          <w:u w:val="single"/>
        </w:rPr>
        <w:fldChar w:fldCharType="end"/>
      </w:r>
      <w:r>
        <w:t xml:space="preserve"> if the conduct causes harm.</w:t>
      </w:r>
    </w:p>
    <w:p w14:paraId="0E90A376" w14:textId="77777777" w:rsidR="008F7534" w:rsidRDefault="008F7534" w:rsidP="008F7534">
      <w:pPr>
        <w:pStyle w:val="ListParagraph"/>
      </w:pPr>
    </w:p>
    <w:p w14:paraId="5DDB8D81" w14:textId="77777777" w:rsidR="008F7534" w:rsidRDefault="008F7534" w:rsidP="008F7534">
      <w:pPr>
        <w:pStyle w:val="ListParagraph"/>
        <w:numPr>
          <w:ilvl w:val="0"/>
          <w:numId w:val="2"/>
        </w:numPr>
      </w:pPr>
      <w:r>
        <w:t xml:space="preserve">(1) Although many exercise professionals have a background in nutrition, why should they avoid giving “individualized” nutritional advice and only provide “general nonmedical nutrition education” as specified in an Ohio statute as shown in Exhibit 7-5?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AD06B13" w14:textId="77777777" w:rsidR="008F7534" w:rsidRPr="00935E46" w:rsidRDefault="008F7534" w:rsidP="008F7534">
      <w:pPr>
        <w:pStyle w:val="ListParagraph"/>
        <w:rPr>
          <w:sz w:val="16"/>
          <w:szCs w:val="16"/>
        </w:rPr>
      </w:pPr>
    </w:p>
    <w:p w14:paraId="38A8903E" w14:textId="77777777" w:rsidR="008F7534" w:rsidRDefault="008F7534" w:rsidP="008F7534">
      <w:pPr>
        <w:pStyle w:val="ListParagraph"/>
      </w:pPr>
      <w:r>
        <w:t xml:space="preserve">(2) In 2020, the state of Florida enacted a licensing reform bill that helped clarify the nutrition advice that non-licensed individuals can provide without violating the state’s licensing statute that defines the scope of practice of licensed dietitians. Although this broadens the scope of practice somewhat for exercise professionals and health/wellness coaches, describe the major provisions they must follow.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35B27A48" w14:textId="77777777" w:rsidR="008F7534" w:rsidRPr="00F37F07" w:rsidRDefault="008F7534" w:rsidP="008F7534">
      <w:pPr>
        <w:pStyle w:val="ListParagraph"/>
        <w:rPr>
          <w:b/>
          <w:bCs/>
          <w:sz w:val="16"/>
          <w:szCs w:val="16"/>
        </w:rPr>
      </w:pPr>
    </w:p>
    <w:p w14:paraId="1B09FB3E" w14:textId="77777777" w:rsidR="008F7534" w:rsidRPr="00F37F07" w:rsidRDefault="008F7534" w:rsidP="008F7534">
      <w:pPr>
        <w:pStyle w:val="ListParagraph"/>
      </w:pPr>
      <w:r w:rsidRPr="004D70B6">
        <w:rPr>
          <w:b/>
          <w:bCs/>
          <w:u w:val="single"/>
        </w:rPr>
        <w:t>Note:</w:t>
      </w:r>
      <w:r>
        <w:t xml:space="preserve"> Since the </w:t>
      </w:r>
      <w:r w:rsidRPr="004D70B6">
        <w:rPr>
          <w:i/>
          <w:iCs/>
        </w:rPr>
        <w:t>Cooksey</w:t>
      </w:r>
      <w:r>
        <w:t xml:space="preserve"> case (described on pp. 277-278), North Carolina also amended its Nutrition/Dietetics Practice Act. To review, go to</w:t>
      </w:r>
      <w:r w:rsidRPr="00F37F07">
        <w:t xml:space="preserve">: </w:t>
      </w:r>
      <w:hyperlink r:id="rId10" w:history="1">
        <w:r w:rsidRPr="00F37F07">
          <w:rPr>
            <w:rFonts w:eastAsiaTheme="minorHAnsi"/>
            <w:color w:val="0000FF"/>
            <w:u w:val="single"/>
          </w:rPr>
          <w:t>North Carolina Board of Dietetics/Nutrition | What areas of nutrition and dietetics require licensure (ncbdn.org)</w:t>
        </w:r>
      </w:hyperlink>
      <w:r w:rsidRPr="00F37F07">
        <w:rPr>
          <w:rFonts w:eastAsiaTheme="minorHAnsi"/>
        </w:rPr>
        <w:t>.</w:t>
      </w:r>
    </w:p>
    <w:p w14:paraId="68F84041" w14:textId="77777777" w:rsidR="008F7534" w:rsidRDefault="008F7534" w:rsidP="008F7534">
      <w:pPr>
        <w:pStyle w:val="ListParagraph"/>
        <w:ind w:left="1080"/>
      </w:pPr>
    </w:p>
    <w:p w14:paraId="16C5E970" w14:textId="77777777" w:rsidR="008F7534" w:rsidRDefault="008F7534" w:rsidP="008F7534">
      <w:pPr>
        <w:pStyle w:val="ListParagraph"/>
        <w:numPr>
          <w:ilvl w:val="0"/>
          <w:numId w:val="2"/>
        </w:numPr>
      </w:pPr>
      <w:r>
        <w:t xml:space="preserve">Answer the following questions regarding the case examples involving legal scope of practice. </w:t>
      </w:r>
    </w:p>
    <w:p w14:paraId="41992FC6" w14:textId="77777777" w:rsidR="008F7534" w:rsidRPr="00622419" w:rsidRDefault="008F7534" w:rsidP="008F7534">
      <w:pPr>
        <w:pStyle w:val="ListParagraph"/>
        <w:rPr>
          <w:sz w:val="16"/>
          <w:szCs w:val="16"/>
        </w:rPr>
      </w:pPr>
    </w:p>
    <w:p w14:paraId="2CCAA0B6" w14:textId="77777777" w:rsidR="008F7534" w:rsidRDefault="008F7534" w:rsidP="008F7534">
      <w:pPr>
        <w:pStyle w:val="ListParagraph"/>
        <w:numPr>
          <w:ilvl w:val="0"/>
          <w:numId w:val="8"/>
        </w:numPr>
        <w:rPr>
          <w:i/>
          <w:iCs/>
        </w:rPr>
      </w:pPr>
      <w:r w:rsidRPr="00935E46">
        <w:rPr>
          <w:i/>
          <w:iCs/>
        </w:rPr>
        <w:t>Ohio Board of Dietetics</w:t>
      </w:r>
      <w:r>
        <w:rPr>
          <w:i/>
          <w:iCs/>
        </w:rPr>
        <w:t xml:space="preserve">: </w:t>
      </w:r>
      <w:r w:rsidRPr="00622419">
        <w:t>What did the court mean when it stated:</w:t>
      </w:r>
      <w:r>
        <w:rPr>
          <w:i/>
          <w:iCs/>
        </w:rPr>
        <w:t xml:space="preserve"> </w:t>
      </w:r>
    </w:p>
    <w:p w14:paraId="74844187" w14:textId="77777777" w:rsidR="008F7534" w:rsidRPr="00622419" w:rsidRDefault="008F7534" w:rsidP="008F753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181C26">
        <w:rPr>
          <w:rFonts w:ascii="Times New Roman" w:eastAsia="Times New Roman" w:hAnsi="Times New Roman" w:cs="Times New Roman"/>
          <w:sz w:val="24"/>
          <w:szCs w:val="24"/>
        </w:rPr>
        <w:t xml:space="preserve">the acts defendant performs are more important than his title and since he does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C26">
        <w:rPr>
          <w:rFonts w:ascii="Times New Roman" w:eastAsia="Times New Roman" w:hAnsi="Times New Roman" w:cs="Times New Roman"/>
          <w:sz w:val="24"/>
          <w:szCs w:val="24"/>
        </w:rPr>
        <w:t xml:space="preserve">not possess a license to provide nutritional counseling and assessments,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C26">
        <w:rPr>
          <w:rFonts w:ascii="Times New Roman" w:eastAsia="Times New Roman" w:hAnsi="Times New Roman" w:cs="Times New Roman"/>
          <w:sz w:val="24"/>
          <w:szCs w:val="24"/>
        </w:rPr>
        <w:t>defendant</w:t>
      </w:r>
      <w:r>
        <w:rPr>
          <w:rFonts w:ascii="Times New Roman" w:eastAsia="Times New Roman" w:hAnsi="Times New Roman" w:cs="Times New Roman"/>
          <w:sz w:val="24"/>
          <w:szCs w:val="24"/>
        </w:rPr>
        <w:t>’s</w:t>
      </w:r>
      <w:r w:rsidRPr="00181C26">
        <w:rPr>
          <w:rFonts w:ascii="Times New Roman" w:eastAsia="Times New Roman" w:hAnsi="Times New Roman" w:cs="Times New Roman"/>
          <w:sz w:val="24"/>
          <w:szCs w:val="24"/>
        </w:rPr>
        <w:t xml:space="preserve"> acts are in violation of R.C. 4759.02(A)”</w:t>
      </w:r>
      <w:r w:rsidRPr="001443F7">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10D2C8F7" w14:textId="77777777" w:rsidR="008F7534" w:rsidRPr="00F37F07" w:rsidRDefault="008F7534" w:rsidP="008F7534">
      <w:pPr>
        <w:pStyle w:val="ListParagraph"/>
        <w:numPr>
          <w:ilvl w:val="0"/>
          <w:numId w:val="8"/>
        </w:numPr>
        <w:rPr>
          <w:i/>
          <w:iCs/>
        </w:rPr>
      </w:pPr>
      <w:r w:rsidRPr="00935E46">
        <w:rPr>
          <w:i/>
          <w:iCs/>
        </w:rPr>
        <w:t>Cooksey</w:t>
      </w:r>
      <w:r>
        <w:rPr>
          <w:i/>
          <w:iCs/>
        </w:rPr>
        <w:t xml:space="preserve">: </w:t>
      </w:r>
      <w:r>
        <w:t xml:space="preserve">Cooksey was informed by the Executive Director of the North Carolina’s State Board that he needed to take down a fee-based nutritional program he offered on his website because it violated the NC Dietetics/Nutrition Practice Act and a state administrative code regarding such programs/services provided over the Internet. What should fitness managers, exercise professionals and health/wellness coaches do to prevent similar violations of statutes and administrative codes?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01745505" w14:textId="77777777" w:rsidR="008F7534" w:rsidRPr="00F37F07" w:rsidRDefault="008F7534" w:rsidP="008F7534">
      <w:pPr>
        <w:pStyle w:val="ListParagraph"/>
        <w:ind w:left="1080"/>
        <w:rPr>
          <w:sz w:val="16"/>
          <w:szCs w:val="16"/>
        </w:rPr>
      </w:pPr>
    </w:p>
    <w:p w14:paraId="66EE5783" w14:textId="77777777" w:rsidR="008F7534" w:rsidRDefault="008F7534" w:rsidP="008F7534">
      <w:pPr>
        <w:rPr>
          <w:rFonts w:ascii="Times New Roman" w:hAnsi="Times New Roman" w:cs="Times New Roman"/>
          <w:sz w:val="24"/>
          <w:szCs w:val="24"/>
        </w:rPr>
      </w:pPr>
      <w:r>
        <w:rPr>
          <w:i/>
          <w:iCs/>
        </w:rPr>
        <w:tab/>
      </w:r>
      <w:r w:rsidRPr="002757A8">
        <w:rPr>
          <w:rFonts w:ascii="Times New Roman" w:hAnsi="Times New Roman" w:cs="Times New Roman"/>
          <w:b/>
          <w:bCs/>
          <w:sz w:val="24"/>
          <w:szCs w:val="24"/>
          <w:u w:val="single"/>
        </w:rPr>
        <w:t>Note:</w:t>
      </w:r>
      <w:r>
        <w:rPr>
          <w:rFonts w:ascii="Times New Roman" w:hAnsi="Times New Roman" w:cs="Times New Roman"/>
          <w:sz w:val="24"/>
          <w:szCs w:val="24"/>
        </w:rPr>
        <w:t xml:space="preserve"> Go to the Cooksey website (</w:t>
      </w:r>
      <w:hyperlink r:id="rId11" w:history="1">
        <w:r w:rsidRPr="0048718F">
          <w:rPr>
            <w:rStyle w:val="Hyperlink"/>
            <w:rFonts w:ascii="Times New Roman" w:hAnsi="Times New Roman" w:cs="Times New Roman"/>
            <w:sz w:val="24"/>
            <w:szCs w:val="24"/>
          </w:rPr>
          <w:t>www.diabetes-warrior.net</w:t>
        </w:r>
      </w:hyperlink>
      <w:r>
        <w:rPr>
          <w:rFonts w:ascii="Times New Roman" w:hAnsi="Times New Roman" w:cs="Times New Roman"/>
          <w:sz w:val="24"/>
          <w:szCs w:val="24"/>
        </w:rPr>
        <w:t xml:space="preserve">) and note his “disclaimer” </w:t>
      </w:r>
      <w:r>
        <w:rPr>
          <w:rFonts w:ascii="Times New Roman" w:hAnsi="Times New Roman" w:cs="Times New Roman"/>
          <w:sz w:val="24"/>
          <w:szCs w:val="24"/>
        </w:rPr>
        <w:tab/>
      </w:r>
      <w:r>
        <w:rPr>
          <w:rFonts w:ascii="Times New Roman" w:hAnsi="Times New Roman" w:cs="Times New Roman"/>
          <w:sz w:val="24"/>
          <w:szCs w:val="24"/>
        </w:rPr>
        <w:tab/>
        <w:t xml:space="preserve">at the bottom of the page. </w:t>
      </w:r>
    </w:p>
    <w:p w14:paraId="60A02D5B" w14:textId="77777777" w:rsidR="008F7534" w:rsidRPr="003C7470" w:rsidRDefault="008F7534" w:rsidP="008F753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To review a similar case (Ref. #58), go to </w:t>
      </w:r>
      <w:hyperlink r:id="rId12" w:history="1">
        <w:r w:rsidRPr="00E21B62">
          <w:rPr>
            <w:rFonts w:ascii="Times New Roman" w:hAnsi="Times New Roman" w:cs="Times New Roman"/>
            <w:color w:val="0000FF"/>
            <w:u w:val="single"/>
          </w:rPr>
          <w:t xml:space="preserve">CrossFit | Florida Enacts Occupational Freedom </w:t>
        </w:r>
        <w:r w:rsidRPr="00E21B62">
          <w:rPr>
            <w:rFonts w:ascii="Times New Roman" w:hAnsi="Times New Roman" w:cs="Times New Roman"/>
            <w:color w:val="0000FF"/>
          </w:rPr>
          <w:tab/>
        </w:r>
        <w:r w:rsidRPr="00E21B62">
          <w:rPr>
            <w:rFonts w:ascii="Times New Roman" w:hAnsi="Times New Roman" w:cs="Times New Roman"/>
            <w:color w:val="0000FF"/>
            <w:u w:val="single"/>
          </w:rPr>
          <w:t>and Opportunity Act</w:t>
        </w:r>
      </w:hyperlink>
      <w:r w:rsidRPr="00E21B62">
        <w:rPr>
          <w:rFonts w:ascii="Times New Roman" w:hAnsi="Times New Roman" w:cs="Times New Roman"/>
        </w:rPr>
        <w:t xml:space="preserve">. </w:t>
      </w:r>
      <w:r w:rsidRPr="00E21B62">
        <w:rPr>
          <w:rFonts w:ascii="Times New Roman" w:hAnsi="Times New Roman" w:cs="Times New Roman"/>
          <w:sz w:val="24"/>
          <w:szCs w:val="24"/>
        </w:rPr>
        <w:t xml:space="preserve">The plaintiff in this case also appealed claiming her free speech </w:t>
      </w:r>
      <w:r>
        <w:rPr>
          <w:rFonts w:ascii="Times New Roman" w:hAnsi="Times New Roman" w:cs="Times New Roman"/>
          <w:sz w:val="24"/>
          <w:szCs w:val="24"/>
        </w:rPr>
        <w:tab/>
      </w:r>
      <w:r w:rsidRPr="00E21B62">
        <w:rPr>
          <w:rFonts w:ascii="Times New Roman" w:hAnsi="Times New Roman" w:cs="Times New Roman"/>
          <w:sz w:val="24"/>
          <w:szCs w:val="24"/>
        </w:rPr>
        <w:t>right</w:t>
      </w:r>
      <w:r>
        <w:rPr>
          <w:rFonts w:ascii="Times New Roman" w:hAnsi="Times New Roman" w:cs="Times New Roman"/>
          <w:sz w:val="24"/>
          <w:szCs w:val="24"/>
        </w:rPr>
        <w:t>s were violated. Listen to the oral arguments, US Court of Appeals, 11</w:t>
      </w:r>
      <w:r w:rsidRPr="00E21B62">
        <w:rPr>
          <w:rFonts w:ascii="Times New Roman" w:hAnsi="Times New Roman" w:cs="Times New Roman"/>
          <w:sz w:val="24"/>
          <w:szCs w:val="24"/>
          <w:vertAlign w:val="superscript"/>
        </w:rPr>
        <w:t>th</w:t>
      </w:r>
      <w:r>
        <w:rPr>
          <w:rFonts w:ascii="Times New Roman" w:hAnsi="Times New Roman" w:cs="Times New Roman"/>
          <w:sz w:val="24"/>
          <w:szCs w:val="24"/>
        </w:rPr>
        <w:t xml:space="preserve"> circuit on </w:t>
      </w:r>
      <w:r>
        <w:rPr>
          <w:rFonts w:ascii="Times New Roman" w:hAnsi="Times New Roman" w:cs="Times New Roman"/>
          <w:sz w:val="24"/>
          <w:szCs w:val="24"/>
        </w:rPr>
        <w:tab/>
        <w:t xml:space="preserve">June 11, 2020 at:  </w:t>
      </w:r>
      <w:r w:rsidRPr="00E21B62">
        <w:rPr>
          <w:rFonts w:ascii="Times New Roman" w:hAnsi="Times New Roman" w:cs="Times New Roman"/>
          <w:sz w:val="24"/>
          <w:szCs w:val="24"/>
        </w:rPr>
        <w:tab/>
      </w:r>
      <w:r>
        <w:rPr>
          <w:rFonts w:eastAsia="Calibri"/>
          <w:color w:val="000000" w:themeColor="text1"/>
          <w:kern w:val="24"/>
        </w:rPr>
        <w:tab/>
        <w:t xml:space="preserve"> </w:t>
      </w:r>
    </w:p>
    <w:p w14:paraId="7BF8EF85" w14:textId="77777777" w:rsidR="008F7534" w:rsidRPr="0029010C" w:rsidRDefault="008F7534" w:rsidP="008F7534">
      <w:pPr>
        <w:spacing w:line="256" w:lineRule="auto"/>
        <w:rPr>
          <w:rFonts w:ascii="Times New Roman" w:eastAsia="Calibri" w:hAnsi="Times New Roman" w:cs="Times New Roman"/>
          <w:color w:val="0000FF"/>
          <w:kern w:val="24"/>
          <w:sz w:val="20"/>
          <w:szCs w:val="20"/>
        </w:rPr>
      </w:pPr>
      <w:r>
        <w:rPr>
          <w:rFonts w:ascii="Times New Roman" w:eastAsia="Calibri" w:hAnsi="Times New Roman" w:cs="Times New Roman"/>
          <w:color w:val="000000" w:themeColor="text1"/>
          <w:kern w:val="24"/>
          <w:sz w:val="20"/>
          <w:szCs w:val="20"/>
        </w:rPr>
        <w:tab/>
      </w:r>
      <w:hyperlink r:id="rId13" w:history="1">
        <w:r>
          <w:rPr>
            <w:rStyle w:val="Hyperlink"/>
            <w:rFonts w:ascii="Times New Roman" w:eastAsia="Calibri" w:hAnsi="Times New Roman" w:cs="Times New Roman"/>
            <w:kern w:val="24"/>
            <w:sz w:val="20"/>
            <w:szCs w:val="20"/>
          </w:rPr>
          <w:t>Del Castillo -- 11th Circuit</w:t>
        </w:r>
      </w:hyperlink>
    </w:p>
    <w:p w14:paraId="1809BE00" w14:textId="77777777" w:rsidR="008F7534" w:rsidRPr="00E21B62" w:rsidRDefault="008F7534" w:rsidP="008F7534">
      <w:pPr>
        <w:pStyle w:val="NormalWeb"/>
        <w:spacing w:before="0" w:beforeAutospacing="0" w:after="160" w:afterAutospacing="0" w:line="256" w:lineRule="auto"/>
        <w:rPr>
          <w:rFonts w:eastAsia="Calibri"/>
          <w:color w:val="000000" w:themeColor="text1"/>
          <w:kern w:val="24"/>
        </w:rPr>
      </w:pPr>
      <w:r>
        <w:rPr>
          <w:rFonts w:eastAsia="Calibri"/>
          <w:color w:val="000000" w:themeColor="text1"/>
          <w:kern w:val="24"/>
        </w:rPr>
        <w:tab/>
      </w:r>
      <w:r w:rsidRPr="00F37F07">
        <w:rPr>
          <w:rFonts w:eastAsia="Calibri"/>
          <w:color w:val="000000" w:themeColor="text1"/>
          <w:kern w:val="24"/>
        </w:rPr>
        <w:t>Case Docket number 19-13070 (</w:t>
      </w:r>
      <w:r w:rsidRPr="00F37F07">
        <w:rPr>
          <w:rFonts w:eastAsia="Calibri"/>
          <w:i/>
          <w:iCs/>
          <w:color w:val="000000" w:themeColor="text1"/>
          <w:kern w:val="24"/>
        </w:rPr>
        <w:t>Del Castillo v. Secretary, Florida Dept.</w:t>
      </w:r>
      <w:r>
        <w:rPr>
          <w:rFonts w:eastAsia="Calibri"/>
          <w:i/>
          <w:iCs/>
          <w:color w:val="000000" w:themeColor="text1"/>
          <w:kern w:val="24"/>
        </w:rPr>
        <w:t xml:space="preserve"> </w:t>
      </w:r>
      <w:r w:rsidRPr="00F37F07">
        <w:rPr>
          <w:rFonts w:eastAsia="Calibri"/>
          <w:i/>
          <w:iCs/>
          <w:color w:val="000000" w:themeColor="text1"/>
          <w:kern w:val="24"/>
        </w:rPr>
        <w:t>of Health</w:t>
      </w:r>
      <w:r w:rsidRPr="00F37F07">
        <w:rPr>
          <w:rFonts w:eastAsia="Calibri"/>
          <w:color w:val="000000" w:themeColor="text1"/>
          <w:kern w:val="24"/>
        </w:rPr>
        <w:t>)</w:t>
      </w:r>
    </w:p>
    <w:p w14:paraId="48CAC311" w14:textId="77777777" w:rsidR="008F7534" w:rsidRPr="005F3497" w:rsidRDefault="008F7534" w:rsidP="008F7534">
      <w:pPr>
        <w:pStyle w:val="ListParagraph"/>
        <w:numPr>
          <w:ilvl w:val="0"/>
          <w:numId w:val="8"/>
        </w:numPr>
        <w:rPr>
          <w:i/>
          <w:iCs/>
        </w:rPr>
      </w:pPr>
      <w:r w:rsidRPr="00935E46">
        <w:rPr>
          <w:i/>
          <w:iCs/>
        </w:rPr>
        <w:t>Sosa-Gaines</w:t>
      </w:r>
      <w:r>
        <w:rPr>
          <w:i/>
          <w:iCs/>
        </w:rPr>
        <w:t xml:space="preserve">: </w:t>
      </w:r>
      <w:r>
        <w:t>The plaintiff claimed her injury was due to a chiropractic type adjustment her personal trainer performed on her back. The certified trainer testified he had been trained to perform this maneuver and that he had performed it on clients before with no injury. Although there were several reasons why the plaintiff did not prevail in her negligence lawsuit, why would the trainer’s defense likely not be an effective defense if the plaintiff could have shown that the maneuver caused her injury?</w:t>
      </w:r>
      <w:r w:rsidRPr="005F3497">
        <w:t xml:space="preserve">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25AA3E71" w14:textId="77777777" w:rsidR="008F7534" w:rsidRPr="005F3497" w:rsidRDefault="008F7534" w:rsidP="008F7534">
      <w:pPr>
        <w:pStyle w:val="ListParagraph"/>
        <w:ind w:left="1080"/>
        <w:rPr>
          <w:i/>
          <w:iCs/>
        </w:rPr>
      </w:pPr>
    </w:p>
    <w:p w14:paraId="0F2A31AC" w14:textId="77777777" w:rsidR="008F7534" w:rsidRPr="00B834B1" w:rsidRDefault="008F7534" w:rsidP="008F7534">
      <w:pPr>
        <w:pStyle w:val="ListParagraph"/>
        <w:numPr>
          <w:ilvl w:val="0"/>
          <w:numId w:val="2"/>
        </w:numPr>
        <w:rPr>
          <w:i/>
          <w:iCs/>
        </w:rPr>
      </w:pPr>
      <w:r>
        <w:t xml:space="preserve">Because the exercise profession is not government-regulated, anyone can practice as an exercise professional. Licensed professionals (e.g., physicians, physical therapists, athletic trainers, dietitians, counselors) may want to work as an exercise professional and/or health and wellness coach. </w:t>
      </w:r>
    </w:p>
    <w:p w14:paraId="60C044EF" w14:textId="77777777" w:rsidR="008F7534" w:rsidRPr="00B834B1" w:rsidRDefault="008F7534" w:rsidP="008F7534">
      <w:pPr>
        <w:pStyle w:val="ListParagraph"/>
        <w:rPr>
          <w:sz w:val="16"/>
          <w:szCs w:val="16"/>
        </w:rPr>
      </w:pPr>
    </w:p>
    <w:p w14:paraId="4B218088" w14:textId="77777777" w:rsidR="008F7534" w:rsidRPr="00B834B1" w:rsidRDefault="008F7534" w:rsidP="008F7534">
      <w:pPr>
        <w:pStyle w:val="ListParagraph"/>
      </w:pPr>
      <w:r w:rsidRPr="005F3497">
        <w:t>(1)</w:t>
      </w:r>
      <w:r>
        <w:rPr>
          <w:i/>
          <w:iCs/>
        </w:rPr>
        <w:t xml:space="preserve"> </w:t>
      </w:r>
      <w:r>
        <w:t xml:space="preserve">Why should they keep their licensed practice separated from their practice as an exercise professional and/or health and wellness coach?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5F4CB6F9" w14:textId="77777777" w:rsidR="008F7534" w:rsidRPr="00B834B1" w:rsidRDefault="008F7534" w:rsidP="008F7534">
      <w:pPr>
        <w:pStyle w:val="ListParagraph"/>
        <w:rPr>
          <w:sz w:val="16"/>
          <w:szCs w:val="16"/>
        </w:rPr>
      </w:pPr>
    </w:p>
    <w:p w14:paraId="1D1458EF" w14:textId="77777777" w:rsidR="008F7534" w:rsidRDefault="008F7534" w:rsidP="008F7534">
      <w:pPr>
        <w:pStyle w:val="ListParagraph"/>
      </w:pPr>
      <w:r w:rsidRPr="00B834B1">
        <w:t>(2)</w:t>
      </w:r>
      <w:r>
        <w:t xml:space="preserve">What steps should they take prior to practicing as an exercise professional and/or health and wellness coach?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r>
        <w:t xml:space="preserve"> </w:t>
      </w:r>
    </w:p>
    <w:p w14:paraId="30A48092" w14:textId="77777777" w:rsidR="008F7534" w:rsidRPr="00B834B1" w:rsidRDefault="008F7534" w:rsidP="008F7534">
      <w:pPr>
        <w:pStyle w:val="ListParagraph"/>
      </w:pPr>
    </w:p>
    <w:p w14:paraId="31E54046" w14:textId="77777777" w:rsidR="008F7534" w:rsidRDefault="008F7534" w:rsidP="008F7534">
      <w:pPr>
        <w:pStyle w:val="ListParagraph"/>
        <w:numPr>
          <w:ilvl w:val="0"/>
          <w:numId w:val="2"/>
        </w:numPr>
      </w:pPr>
      <w:r>
        <w:t xml:space="preserve">(1) Why should fitness managers establish scope of practice policies and procedures from a legal perspective? </w:t>
      </w:r>
      <w:r w:rsidRPr="00B834B1">
        <w:rPr>
          <w:u w:val="single"/>
        </w:rPr>
        <w:t>Hint:</w:t>
      </w:r>
      <w:r w:rsidRPr="00B834B1">
        <w:t xml:space="preserve"> See Risk Manage</w:t>
      </w:r>
      <w:r>
        <w:t>ment</w:t>
      </w:r>
      <w:r w:rsidRPr="00B834B1">
        <w:t xml:space="preserve"> Strategy #2.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42DF9219" w14:textId="77777777" w:rsidR="008F7534" w:rsidRPr="00377C72" w:rsidRDefault="008F7534" w:rsidP="008F7534">
      <w:pPr>
        <w:pStyle w:val="ListParagraph"/>
        <w:rPr>
          <w:sz w:val="16"/>
          <w:szCs w:val="16"/>
        </w:rPr>
      </w:pPr>
    </w:p>
    <w:p w14:paraId="15F4ACAA" w14:textId="77777777" w:rsidR="008F7534" w:rsidRDefault="008F7534" w:rsidP="008F7534">
      <w:pPr>
        <w:pStyle w:val="ListParagraph"/>
      </w:pPr>
      <w:r>
        <w:t>(2) Briefly describe the four areas of staff training that are needed to help ensure staff members are practicing within their scope</w:t>
      </w:r>
      <w:r w:rsidRPr="00077A34">
        <w:t xml:space="preserve">. </w:t>
      </w:r>
      <w:r w:rsidRPr="00077A34">
        <w:rPr>
          <w:u w:val="single"/>
        </w:rPr>
        <w:t>Hint:</w:t>
      </w:r>
      <w:r>
        <w:t xml:space="preserve"> See Risk Management Strategy #7.  </w:t>
      </w:r>
      <w:r w:rsidRPr="00EA73F3">
        <w:fldChar w:fldCharType="begin">
          <w:ffData>
            <w:name w:val=""/>
            <w:enabled/>
            <w:calcOnExit w:val="0"/>
            <w:textInput/>
          </w:ffData>
        </w:fldChar>
      </w:r>
      <w:r w:rsidRPr="00EA73F3">
        <w:instrText xml:space="preserve"> FORMTEXT </w:instrText>
      </w:r>
      <w:r w:rsidRPr="00EA73F3">
        <w:fldChar w:fldCharType="separate"/>
      </w:r>
      <w:r w:rsidRPr="00EA73F3">
        <w:rPr>
          <w:noProof/>
        </w:rPr>
        <w:t> </w:t>
      </w:r>
      <w:r w:rsidRPr="00EA73F3">
        <w:rPr>
          <w:noProof/>
        </w:rPr>
        <w:t> </w:t>
      </w:r>
      <w:r w:rsidRPr="00EA73F3">
        <w:rPr>
          <w:noProof/>
        </w:rPr>
        <w:t> </w:t>
      </w:r>
      <w:r w:rsidRPr="00EA73F3">
        <w:rPr>
          <w:noProof/>
        </w:rPr>
        <w:t> </w:t>
      </w:r>
      <w:r w:rsidRPr="00EA73F3">
        <w:rPr>
          <w:noProof/>
        </w:rPr>
        <w:t> </w:t>
      </w:r>
      <w:r w:rsidRPr="00EA73F3">
        <w:fldChar w:fldCharType="end"/>
      </w:r>
    </w:p>
    <w:p w14:paraId="6690B898" w14:textId="77777777" w:rsidR="008F7534" w:rsidRPr="00D2532D" w:rsidRDefault="008F7534" w:rsidP="008F7534">
      <w:pPr>
        <w:pStyle w:val="ListParagraph"/>
      </w:pPr>
    </w:p>
    <w:p w14:paraId="590679F5" w14:textId="77777777" w:rsidR="008F7534" w:rsidRDefault="008F7534" w:rsidP="008F7534">
      <w:pPr>
        <w:pStyle w:val="ListParagraph"/>
        <w:numPr>
          <w:ilvl w:val="0"/>
          <w:numId w:val="2"/>
        </w:numPr>
        <w:rPr>
          <w:b/>
          <w:bCs/>
        </w:rPr>
      </w:pPr>
      <w:r w:rsidRPr="00CC407A">
        <w:rPr>
          <w:b/>
          <w:bCs/>
        </w:rPr>
        <w:t>Case Study</w:t>
      </w:r>
      <w:r>
        <w:rPr>
          <w:b/>
          <w:bCs/>
        </w:rPr>
        <w:t>:</w:t>
      </w:r>
    </w:p>
    <w:p w14:paraId="68818491" w14:textId="77777777" w:rsidR="008F7534" w:rsidRPr="00AB5CA5" w:rsidRDefault="008F7534" w:rsidP="008F7534">
      <w:pPr>
        <w:pStyle w:val="ListParagraph"/>
        <w:rPr>
          <w:b/>
          <w:bCs/>
          <w:sz w:val="16"/>
          <w:szCs w:val="16"/>
        </w:rPr>
      </w:pPr>
    </w:p>
    <w:p w14:paraId="4BC7A357" w14:textId="77777777" w:rsidR="008F7534" w:rsidRDefault="008F7534" w:rsidP="008F7534">
      <w:pPr>
        <w:rPr>
          <w:rFonts w:ascii="Times New Roman" w:hAnsi="Times New Roman" w:cs="Times New Roman"/>
          <w:sz w:val="24"/>
          <w:szCs w:val="24"/>
        </w:rPr>
      </w:pPr>
      <w:r>
        <w:rPr>
          <w:b/>
          <w:bCs/>
        </w:rPr>
        <w:tab/>
      </w:r>
      <w:r>
        <w:rPr>
          <w:rFonts w:ascii="Times New Roman" w:hAnsi="Times New Roman" w:cs="Times New Roman"/>
          <w:sz w:val="24"/>
          <w:szCs w:val="24"/>
        </w:rPr>
        <w:t xml:space="preserve">JJ works as a personal fitness trainer in the state of Florida. Because he had completed an </w:t>
      </w:r>
      <w:r>
        <w:rPr>
          <w:rFonts w:ascii="Times New Roman" w:hAnsi="Times New Roman" w:cs="Times New Roman"/>
          <w:sz w:val="24"/>
          <w:szCs w:val="24"/>
        </w:rPr>
        <w:tab/>
        <w:t xml:space="preserve">online certification course in nutrition, he felt confident to provide his overweight client a </w:t>
      </w:r>
      <w:r>
        <w:rPr>
          <w:rFonts w:ascii="Times New Roman" w:hAnsi="Times New Roman" w:cs="Times New Roman"/>
          <w:sz w:val="24"/>
          <w:szCs w:val="24"/>
        </w:rPr>
        <w:tab/>
        <w:t xml:space="preserve">diet to follow that included a reduction of high-fat items. Trusting JJ, the client followed </w:t>
      </w:r>
      <w:r>
        <w:rPr>
          <w:rFonts w:ascii="Times New Roman" w:hAnsi="Times New Roman" w:cs="Times New Roman"/>
          <w:sz w:val="24"/>
          <w:szCs w:val="24"/>
        </w:rPr>
        <w:tab/>
        <w:t xml:space="preserve">his advice but also began consuming more carbohydrates to replace the high-fat items. A </w:t>
      </w:r>
      <w:r>
        <w:rPr>
          <w:rFonts w:ascii="Times New Roman" w:hAnsi="Times New Roman" w:cs="Times New Roman"/>
          <w:sz w:val="24"/>
          <w:szCs w:val="24"/>
        </w:rPr>
        <w:tab/>
        <w:t xml:space="preserve">few months later, her </w:t>
      </w:r>
      <w:r>
        <w:rPr>
          <w:rFonts w:ascii="Times New Roman" w:hAnsi="Times New Roman" w:cs="Times New Roman"/>
          <w:sz w:val="24"/>
          <w:szCs w:val="24"/>
        </w:rPr>
        <w:tab/>
        <w:t xml:space="preserve">physician diagnosed her with Type 2 diabetes and </w:t>
      </w:r>
      <w:r w:rsidRPr="00A12513">
        <w:rPr>
          <w:rFonts w:ascii="Times New Roman" w:hAnsi="Times New Roman" w:cs="Times New Roman"/>
          <w:sz w:val="24"/>
          <w:szCs w:val="24"/>
        </w:rPr>
        <w:t xml:space="preserve">polycystic ovary </w:t>
      </w:r>
      <w:r>
        <w:rPr>
          <w:rFonts w:ascii="Times New Roman" w:hAnsi="Times New Roman" w:cs="Times New Roman"/>
          <w:sz w:val="24"/>
          <w:szCs w:val="24"/>
        </w:rPr>
        <w:tab/>
      </w:r>
      <w:r w:rsidRPr="00A12513">
        <w:rPr>
          <w:rFonts w:ascii="Times New Roman" w:hAnsi="Times New Roman" w:cs="Times New Roman"/>
          <w:sz w:val="24"/>
          <w:szCs w:val="24"/>
        </w:rPr>
        <w:t>syndrome</w:t>
      </w:r>
      <w:r>
        <w:rPr>
          <w:rFonts w:ascii="Times New Roman" w:hAnsi="Times New Roman" w:cs="Times New Roman"/>
          <w:sz w:val="24"/>
          <w:szCs w:val="24"/>
        </w:rPr>
        <w:t xml:space="preserve"> (PCOS) and referred her to an RDN. The RDN informed her that a high intake </w:t>
      </w:r>
      <w:r>
        <w:rPr>
          <w:rFonts w:ascii="Times New Roman" w:hAnsi="Times New Roman" w:cs="Times New Roman"/>
          <w:sz w:val="24"/>
          <w:szCs w:val="24"/>
        </w:rPr>
        <w:tab/>
        <w:t xml:space="preserve">of carbs for individuals with PCOS can contribute to insulin resistance and, thus, increase </w:t>
      </w:r>
      <w:r>
        <w:rPr>
          <w:rFonts w:ascii="Times New Roman" w:hAnsi="Times New Roman" w:cs="Times New Roman"/>
          <w:sz w:val="24"/>
          <w:szCs w:val="24"/>
        </w:rPr>
        <w:tab/>
        <w:t xml:space="preserve">the risk of the diabetes. She filed a negligence lawsuit against JJ (and the fitness facility) </w:t>
      </w:r>
      <w:r>
        <w:rPr>
          <w:rFonts w:ascii="Times New Roman" w:hAnsi="Times New Roman" w:cs="Times New Roman"/>
          <w:sz w:val="24"/>
          <w:szCs w:val="24"/>
        </w:rPr>
        <w:tab/>
        <w:t xml:space="preserve">claiming her Type 2 diabetes was caused by following the nutritional advice of JJ. JJ </w:t>
      </w:r>
      <w:r>
        <w:rPr>
          <w:rFonts w:ascii="Times New Roman" w:hAnsi="Times New Roman" w:cs="Times New Roman"/>
          <w:sz w:val="24"/>
          <w:szCs w:val="24"/>
        </w:rPr>
        <w:tab/>
        <w:t xml:space="preserve">testified that he did not know that advising someone to reduce their fat intake could </w:t>
      </w:r>
      <w:r>
        <w:rPr>
          <w:rFonts w:ascii="Times New Roman" w:hAnsi="Times New Roman" w:cs="Times New Roman"/>
          <w:sz w:val="24"/>
          <w:szCs w:val="24"/>
        </w:rPr>
        <w:tab/>
        <w:t xml:space="preserve">lead to harm. </w:t>
      </w:r>
    </w:p>
    <w:p w14:paraId="44D21354" w14:textId="77777777" w:rsidR="008F7534" w:rsidRPr="00AD3582" w:rsidRDefault="008F7534" w:rsidP="008F7534">
      <w:pPr>
        <w:pStyle w:val="ListParagraph"/>
        <w:numPr>
          <w:ilvl w:val="0"/>
          <w:numId w:val="9"/>
        </w:numPr>
      </w:pPr>
      <w:r>
        <w:t>Did the advice that JJ gave his client violate the Florida Dietetics and Nutrition Practice Act?</w:t>
      </w:r>
      <w:r w:rsidRPr="00AD3582">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A3C455F" w14:textId="77777777" w:rsidR="008F7534" w:rsidRPr="00AD3582" w:rsidRDefault="008F7534" w:rsidP="008F7534">
      <w:pPr>
        <w:pStyle w:val="ListParagraph"/>
        <w:numPr>
          <w:ilvl w:val="0"/>
          <w:numId w:val="9"/>
        </w:numPr>
      </w:pPr>
      <w:r>
        <w:t>Describe why JJ’s defense might not be effective at trial?</w:t>
      </w:r>
      <w:r w:rsidRPr="009F6F80">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53E2EC6" w14:textId="77777777" w:rsidR="008F7534" w:rsidRPr="00A2542E" w:rsidRDefault="008F7534" w:rsidP="008F7534">
      <w:pPr>
        <w:pStyle w:val="ListParagraph"/>
        <w:numPr>
          <w:ilvl w:val="0"/>
          <w:numId w:val="9"/>
        </w:numPr>
      </w:pPr>
      <w:r>
        <w:t xml:space="preserve">What could the facility’s manager have done to prevent this lawsuit?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D950C90" w14:textId="77777777" w:rsidR="008F7534" w:rsidRDefault="008F7534" w:rsidP="008F7534">
      <w:pPr>
        <w:spacing w:after="0" w:line="240" w:lineRule="auto"/>
        <w:rPr>
          <w:rFonts w:ascii="Times New Roman" w:hAnsi="Times New Roman" w:cs="Times New Roman"/>
          <w:sz w:val="24"/>
          <w:szCs w:val="24"/>
        </w:rPr>
      </w:pPr>
    </w:p>
    <w:p w14:paraId="1A0FD7B7" w14:textId="77777777" w:rsidR="008F7534" w:rsidRPr="004046D1" w:rsidRDefault="008F7534" w:rsidP="008F7534">
      <w:pPr>
        <w:pStyle w:val="ListParagraph"/>
        <w:numPr>
          <w:ilvl w:val="0"/>
          <w:numId w:val="1"/>
        </w:numPr>
      </w:pPr>
      <w:r w:rsidRPr="004046D1">
        <w:rPr>
          <w:b/>
        </w:rPr>
        <w:t>True or False:</w:t>
      </w:r>
      <w:r w:rsidRPr="004046D1">
        <w:rPr>
          <w:bCs/>
        </w:rPr>
        <w:t xml:space="preserve"> Place a T or F in the space provided</w:t>
      </w:r>
    </w:p>
    <w:p w14:paraId="6CD3546E" w14:textId="77777777" w:rsidR="008F7534" w:rsidRPr="00D20549" w:rsidRDefault="008F7534" w:rsidP="008F7534">
      <w:pPr>
        <w:spacing w:after="0" w:line="240" w:lineRule="auto"/>
        <w:rPr>
          <w:rFonts w:ascii="Times New Roman" w:eastAsia="Times New Roman" w:hAnsi="Times New Roman" w:cs="Times New Roman"/>
          <w:sz w:val="16"/>
          <w:szCs w:val="16"/>
        </w:rPr>
      </w:pPr>
      <w:r w:rsidRPr="009E0FE5">
        <w:rPr>
          <w:rFonts w:ascii="Times New Roman" w:eastAsia="Times New Roman" w:hAnsi="Times New Roman" w:cs="Times New Roman"/>
          <w:sz w:val="24"/>
          <w:szCs w:val="24"/>
        </w:rPr>
        <w:tab/>
      </w:r>
    </w:p>
    <w:p w14:paraId="025AEEB6" w14:textId="77777777" w:rsidR="008F7534" w:rsidRDefault="008F7534" w:rsidP="008F7534">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E0FE5">
        <w:rPr>
          <w:rFonts w:ascii="Times New Roman" w:eastAsia="Times New Roman" w:hAnsi="Times New Roman" w:cs="Times New Roman"/>
          <w:sz w:val="24"/>
          <w:szCs w:val="24"/>
        </w:rPr>
        <w:t xml:space="preserve">A) </w:t>
      </w:r>
      <w:r>
        <w:rPr>
          <w:rFonts w:ascii="Times New Roman" w:eastAsia="Times New Roman" w:hAnsi="Times New Roman" w:cs="Arial"/>
          <w:sz w:val="24"/>
          <w:szCs w:val="24"/>
        </w:rPr>
        <w:t xml:space="preserve">All exercise professionals should practice within their education, training, </w:t>
      </w:r>
      <w:r>
        <w:rPr>
          <w:rFonts w:ascii="Times New Roman" w:eastAsia="Times New Roman" w:hAnsi="Times New Roman" w:cs="Arial"/>
          <w:sz w:val="24"/>
          <w:szCs w:val="24"/>
        </w:rPr>
        <w:tab/>
      </w:r>
      <w:r>
        <w:rPr>
          <w:rFonts w:ascii="Times New Roman" w:eastAsia="Times New Roman" w:hAnsi="Times New Roman" w:cs="Arial"/>
          <w:sz w:val="24"/>
          <w:szCs w:val="24"/>
        </w:rPr>
        <w:tab/>
      </w:r>
      <w:r>
        <w:rPr>
          <w:rFonts w:ascii="Times New Roman" w:eastAsia="Times New Roman" w:hAnsi="Times New Roman" w:cs="Arial"/>
          <w:sz w:val="24"/>
          <w:szCs w:val="24"/>
        </w:rPr>
        <w:tab/>
        <w:t xml:space="preserve">    experience, and practical skills. </w:t>
      </w:r>
    </w:p>
    <w:p w14:paraId="75845B36" w14:textId="77777777" w:rsidR="008F7534" w:rsidRPr="00EA0891" w:rsidRDefault="008F7534" w:rsidP="008F7534">
      <w:pPr>
        <w:spacing w:after="0" w:line="240" w:lineRule="auto"/>
        <w:rPr>
          <w:rFonts w:ascii="Times New Roman" w:eastAsia="Times New Roman" w:hAnsi="Times New Roman" w:cs="Arial"/>
          <w:sz w:val="16"/>
          <w:szCs w:val="16"/>
        </w:rPr>
      </w:pPr>
    </w:p>
    <w:p w14:paraId="71AC0F11"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There is no standard of care that personal fitness trainers need to follow.</w:t>
      </w:r>
    </w:p>
    <w:p w14:paraId="70CAF808" w14:textId="77777777" w:rsidR="008F7534" w:rsidRPr="00EA0891" w:rsidRDefault="008F7534" w:rsidP="008F7534">
      <w:pPr>
        <w:spacing w:after="0" w:line="240" w:lineRule="auto"/>
        <w:rPr>
          <w:rFonts w:ascii="Times New Roman" w:eastAsia="Times New Roman" w:hAnsi="Times New Roman" w:cs="Times New Roman"/>
          <w:sz w:val="16"/>
          <w:szCs w:val="16"/>
        </w:rPr>
      </w:pPr>
    </w:p>
    <w:p w14:paraId="359A4AA9"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Exercise professionals who are well-educated and trained are more likely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understand their scope of practice than those who are not well-educated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trained.</w:t>
      </w:r>
    </w:p>
    <w:p w14:paraId="7B2F03B1" w14:textId="77777777" w:rsidR="008F7534" w:rsidRPr="00DE3074" w:rsidRDefault="008F7534" w:rsidP="008F7534">
      <w:pPr>
        <w:spacing w:after="0" w:line="240" w:lineRule="auto"/>
        <w:rPr>
          <w:rFonts w:ascii="Times New Roman" w:eastAsia="Times New Roman" w:hAnsi="Times New Roman" w:cs="Times New Roman"/>
          <w:sz w:val="16"/>
          <w:szCs w:val="16"/>
        </w:rPr>
      </w:pPr>
    </w:p>
    <w:p w14:paraId="55AD9662"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Fitness facilities that have a medical advisor and hire a clinical exercise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physiologist increase their credibility among health care professionals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and organizations. </w:t>
      </w:r>
    </w:p>
    <w:p w14:paraId="7F6F1BD1" w14:textId="77777777" w:rsidR="008F7534" w:rsidRPr="00DE3074" w:rsidRDefault="008F7534" w:rsidP="008F7534">
      <w:pPr>
        <w:spacing w:after="0" w:line="240" w:lineRule="auto"/>
        <w:rPr>
          <w:rFonts w:ascii="Times New Roman" w:eastAsia="Times New Roman" w:hAnsi="Times New Roman" w:cs="Times New Roman"/>
          <w:sz w:val="16"/>
          <w:szCs w:val="16"/>
        </w:rPr>
      </w:pPr>
    </w:p>
    <w:p w14:paraId="648B288B"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 Exercise professionals who design and deliver exercise programs for clinical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populations in community fitness settings can be reimbursed by health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insurance providers. </w:t>
      </w:r>
    </w:p>
    <w:p w14:paraId="499F5402" w14:textId="77777777" w:rsidR="008F7534" w:rsidRPr="00DE3074" w:rsidRDefault="008F7534" w:rsidP="008F7534">
      <w:pPr>
        <w:spacing w:after="0" w:line="240" w:lineRule="auto"/>
        <w:rPr>
          <w:rFonts w:ascii="Times New Roman" w:eastAsia="Times New Roman" w:hAnsi="Times New Roman" w:cs="Times New Roman"/>
          <w:sz w:val="16"/>
          <w:szCs w:val="16"/>
        </w:rPr>
      </w:pPr>
    </w:p>
    <w:p w14:paraId="00669FB5"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The FDA has recalled numerous nutritional supplements due to them containing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potentially harmful ingredients.</w:t>
      </w:r>
    </w:p>
    <w:p w14:paraId="7C098119" w14:textId="77777777" w:rsidR="008F7534" w:rsidRPr="00F82AF5" w:rsidRDefault="008F7534" w:rsidP="008F7534">
      <w:pPr>
        <w:spacing w:after="0" w:line="240" w:lineRule="auto"/>
        <w:rPr>
          <w:rFonts w:ascii="Times New Roman" w:eastAsia="Times New Roman" w:hAnsi="Times New Roman" w:cs="Times New Roman"/>
          <w:sz w:val="16"/>
          <w:szCs w:val="16"/>
        </w:rPr>
      </w:pPr>
    </w:p>
    <w:p w14:paraId="13AA8B94"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Exercise professionals should be aware of privacy laws that may be violated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when prescribing exercise using technology, e.g., wearable technology, mobile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apps. </w:t>
      </w:r>
    </w:p>
    <w:p w14:paraId="10B9796C" w14:textId="77777777" w:rsidR="008F7534" w:rsidRPr="00F82AF5" w:rsidRDefault="008F7534" w:rsidP="008F7534">
      <w:pPr>
        <w:spacing w:after="0" w:line="240" w:lineRule="auto"/>
        <w:rPr>
          <w:rFonts w:ascii="Times New Roman" w:eastAsia="Times New Roman" w:hAnsi="Times New Roman" w:cs="Times New Roman"/>
          <w:sz w:val="16"/>
          <w:szCs w:val="16"/>
        </w:rPr>
      </w:pPr>
    </w:p>
    <w:p w14:paraId="3673D0BE"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“I did not know the supplement I advised my clients to take would cause harm”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is an effective legal defense that can be used by exercise professionals. </w:t>
      </w:r>
    </w:p>
    <w:p w14:paraId="141BDED2" w14:textId="77777777" w:rsidR="008F7534" w:rsidRPr="00F82AF5" w:rsidRDefault="008F7534" w:rsidP="008F7534">
      <w:pPr>
        <w:spacing w:after="0" w:line="240" w:lineRule="auto"/>
        <w:rPr>
          <w:rFonts w:ascii="Times New Roman" w:eastAsia="Times New Roman" w:hAnsi="Times New Roman" w:cs="Times New Roman"/>
          <w:sz w:val="16"/>
          <w:szCs w:val="16"/>
        </w:rPr>
      </w:pPr>
    </w:p>
    <w:p w14:paraId="0C3FD0F2" w14:textId="77777777" w:rsid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To adhere to applicable privacy laws and professional codes of conduct, exercise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professionals should keep exercise prescriptions (written and electronic) private,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confidential, and secure. </w:t>
      </w:r>
    </w:p>
    <w:p w14:paraId="073F7F4D" w14:textId="77777777" w:rsidR="008F7534" w:rsidRPr="00F82AF5" w:rsidRDefault="008F7534" w:rsidP="008F7534">
      <w:pPr>
        <w:spacing w:after="0" w:line="240" w:lineRule="auto"/>
        <w:rPr>
          <w:rFonts w:ascii="Times New Roman" w:eastAsia="Times New Roman" w:hAnsi="Times New Roman" w:cs="Times New Roman"/>
          <w:sz w:val="16"/>
          <w:szCs w:val="16"/>
        </w:rPr>
      </w:pPr>
    </w:p>
    <w:p w14:paraId="48AB57BD" w14:textId="0A7CB9E4" w:rsidR="00D57E61" w:rsidRPr="008F7534" w:rsidRDefault="008F7534" w:rsidP="008F7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 When making referrals, it is not necessary for exercise professionals to follow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similar referral guidelines as expected of health care professionals.</w:t>
      </w:r>
    </w:p>
    <w:sectPr w:rsidR="00D57E61" w:rsidRPr="008F753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63329" w14:textId="77777777" w:rsidR="00123C3E" w:rsidRDefault="00123C3E" w:rsidP="008F7534">
      <w:pPr>
        <w:spacing w:after="0" w:line="240" w:lineRule="auto"/>
      </w:pPr>
      <w:r>
        <w:separator/>
      </w:r>
    </w:p>
  </w:endnote>
  <w:endnote w:type="continuationSeparator" w:id="0">
    <w:p w14:paraId="5D87F3B2" w14:textId="77777777" w:rsidR="00123C3E" w:rsidRDefault="00123C3E" w:rsidP="008F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073527"/>
      <w:docPartObj>
        <w:docPartGallery w:val="Page Numbers (Bottom of Page)"/>
        <w:docPartUnique/>
      </w:docPartObj>
    </w:sdtPr>
    <w:sdtEndPr>
      <w:rPr>
        <w:noProof/>
      </w:rPr>
    </w:sdtEndPr>
    <w:sdtContent>
      <w:p w14:paraId="46C81A04" w14:textId="21F98451" w:rsidR="008F7534" w:rsidRDefault="008F75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9255F7" w14:textId="77777777" w:rsidR="008F7534" w:rsidRDefault="008F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5EC63" w14:textId="77777777" w:rsidR="00123C3E" w:rsidRDefault="00123C3E" w:rsidP="008F7534">
      <w:pPr>
        <w:spacing w:after="0" w:line="240" w:lineRule="auto"/>
      </w:pPr>
      <w:r>
        <w:separator/>
      </w:r>
    </w:p>
  </w:footnote>
  <w:footnote w:type="continuationSeparator" w:id="0">
    <w:p w14:paraId="0C729BED" w14:textId="77777777" w:rsidR="00123C3E" w:rsidRDefault="00123C3E" w:rsidP="008F7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D1903"/>
    <w:multiLevelType w:val="hybridMultilevel"/>
    <w:tmpl w:val="2E4C8A9E"/>
    <w:lvl w:ilvl="0" w:tplc="5E602738">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8E55C5"/>
    <w:multiLevelType w:val="hybridMultilevel"/>
    <w:tmpl w:val="A9687F5C"/>
    <w:lvl w:ilvl="0" w:tplc="CA2A509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97DA1"/>
    <w:multiLevelType w:val="hybridMultilevel"/>
    <w:tmpl w:val="D17AB70E"/>
    <w:lvl w:ilvl="0" w:tplc="0EC88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3C6BC8"/>
    <w:multiLevelType w:val="hybridMultilevel"/>
    <w:tmpl w:val="90FC9BE2"/>
    <w:lvl w:ilvl="0" w:tplc="99C4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D756B0"/>
    <w:multiLevelType w:val="hybridMultilevel"/>
    <w:tmpl w:val="0A280B8A"/>
    <w:lvl w:ilvl="0" w:tplc="4244C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4F7C5E"/>
    <w:multiLevelType w:val="hybridMultilevel"/>
    <w:tmpl w:val="1E10C88C"/>
    <w:lvl w:ilvl="0" w:tplc="68E6DB0C">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AE17BB"/>
    <w:multiLevelType w:val="hybridMultilevel"/>
    <w:tmpl w:val="368E6B2A"/>
    <w:lvl w:ilvl="0" w:tplc="CDA0168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35C20"/>
    <w:multiLevelType w:val="hybridMultilevel"/>
    <w:tmpl w:val="59E05248"/>
    <w:lvl w:ilvl="0" w:tplc="E5160F8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723E86"/>
    <w:multiLevelType w:val="hybridMultilevel"/>
    <w:tmpl w:val="DFD0D77C"/>
    <w:lvl w:ilvl="0" w:tplc="017078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3"/>
  </w:num>
  <w:num w:numId="5">
    <w:abstractNumId w:val="7"/>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mTfgxpTkc2n1IQEvLA801WT4Le6oC1YllZJzhPilt2fXAkCr3Uzyp9dD5KXSS4TNndsdEFO9+tSDO/7KePPy0w==" w:salt="UN0oSEIyv5bHvXieyfHpk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34"/>
    <w:rsid w:val="00123C3E"/>
    <w:rsid w:val="008F7534"/>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ADB0"/>
  <w15:chartTrackingRefBased/>
  <w15:docId w15:val="{0F04CAD6-955D-424D-93DC-E496EBA9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534"/>
    <w:rPr>
      <w:color w:val="0000FF"/>
      <w:u w:val="single"/>
    </w:rPr>
  </w:style>
  <w:style w:type="paragraph" w:styleId="ListParagraph">
    <w:name w:val="List Paragraph"/>
    <w:basedOn w:val="Normal"/>
    <w:uiPriority w:val="34"/>
    <w:qFormat/>
    <w:rsid w:val="008F753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8F75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34"/>
  </w:style>
  <w:style w:type="paragraph" w:styleId="Footer">
    <w:name w:val="footer"/>
    <w:basedOn w:val="Normal"/>
    <w:link w:val="FooterChar"/>
    <w:uiPriority w:val="99"/>
    <w:unhideWhenUsed/>
    <w:rsid w:val="008F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gov/healthypeople/objectives-and-data/browse-objectives/physical-activity/evidence-based-resources" TargetMode="External"/><Relationship Id="rId13" Type="http://schemas.openxmlformats.org/officeDocument/2006/relationships/hyperlink" Target="https://www.ca11.uscourts.gov/oral-argument-recordings?title=&amp;field_oar_case_name_value=Del+Castillo&amp;field_oral_argument_date_value%5Bvalue%5D%5Byear%5D=&amp;field_oral_argument_date_value%5Bvalue%5D%5Bmonth%5D=" TargetMode="External"/><Relationship Id="rId3" Type="http://schemas.openxmlformats.org/officeDocument/2006/relationships/settings" Target="settings.xml"/><Relationship Id="rId7" Type="http://schemas.openxmlformats.org/officeDocument/2006/relationships/hyperlink" Target="https://health.gov/healthypeople/objectives-and-data/browse-objectives/physical-activity" TargetMode="External"/><Relationship Id="rId12" Type="http://schemas.openxmlformats.org/officeDocument/2006/relationships/hyperlink" Target="https://www.crossfit.com/battles/florida-nutrition-bill-st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betes-warrior.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dn.org/what-areas-of-nutrition-and-dietetics-require-licensure" TargetMode="External"/><Relationship Id="rId4" Type="http://schemas.openxmlformats.org/officeDocument/2006/relationships/webSettings" Target="webSettings.xml"/><Relationship Id="rId9" Type="http://schemas.openxmlformats.org/officeDocument/2006/relationships/hyperlink" Target="https://cdnsciencepub.com/doi/10.1139/h11-054?url_ver=Z39.88-2003&amp;rfr_id=ori%3Arid%3Acrossref.org&amp;rfr_dat=cr_pub++0pubmed&a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2540</Words>
  <Characters>14478</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2021-03-15T19:28:00Z</dcterms:created>
  <dcterms:modified xsi:type="dcterms:W3CDTF">2021-03-15T19:33:00Z</dcterms:modified>
</cp:coreProperties>
</file>