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6D747" w14:textId="77777777" w:rsidR="00A911D4" w:rsidRDefault="00A9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5FD6B73" w14:textId="77777777" w:rsidR="00A911D4" w:rsidRDefault="00A911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A911D4">
          <w:headerReference w:type="default" r:id="rId6"/>
          <w:footerReference w:type="default" r:id="rId7"/>
          <w:pgSz w:w="12240" w:h="15840"/>
          <w:pgMar w:top="1080" w:right="1080" w:bottom="1080" w:left="1080" w:header="720" w:footer="720" w:gutter="0"/>
          <w:cols w:space="720"/>
          <w:noEndnote/>
        </w:sectPr>
      </w:pPr>
    </w:p>
    <w:p w14:paraId="460FFE82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33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333333"/>
          <w:sz w:val="36"/>
          <w:szCs w:val="36"/>
        </w:rPr>
        <w:t>UPPAL v DAUDIA (2012)</w:t>
      </w:r>
    </w:p>
    <w:p w14:paraId="6EA391FF" w14:textId="77777777" w:rsidR="00A911D4" w:rsidRDefault="003F23ED">
      <w:pPr>
        <w:widowControl w:val="0"/>
        <w:autoSpaceDE w:val="0"/>
        <w:autoSpaceDN w:val="0"/>
        <w:adjustRightInd w:val="0"/>
        <w:spacing w:before="160" w:line="240" w:lineRule="auto"/>
        <w:rPr>
          <w:rFonts w:ascii="Times New Roman" w:hAnsi="Times New Roman" w:cs="Times New Roman"/>
          <w:b/>
          <w:bCs/>
          <w:color w:val="50505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505050"/>
          <w:sz w:val="20"/>
          <w:szCs w:val="20"/>
        </w:rPr>
        <w:t xml:space="preserve">Lawtel: This Quantum Report was provided courtesy of </w:t>
      </w:r>
      <w:hyperlink r:id="rId8" w:history="1">
        <w:r>
          <w:rPr>
            <w:rFonts w:ascii="Times New Roman" w:hAnsi="Times New Roman" w:cs="Times New Roman"/>
            <w:b/>
            <w:bCs/>
            <w:color w:val="000000"/>
            <w:sz w:val="20"/>
            <w:szCs w:val="20"/>
          </w:rPr>
          <w:t>Sarah Robson</w:t>
        </w:r>
      </w:hyperlink>
      <w:r>
        <w:rPr>
          <w:rFonts w:ascii="Times New Roman" w:hAnsi="Times New Roman" w:cs="Times New Roman"/>
          <w:b/>
          <w:bCs/>
          <w:color w:val="505050"/>
          <w:sz w:val="20"/>
          <w:szCs w:val="20"/>
        </w:rPr>
        <w:t xml:space="preserve"> of </w:t>
      </w:r>
      <w:hyperlink r:id="rId9" w:history="1">
        <w:r>
          <w:rPr>
            <w:rFonts w:ascii="Times New Roman" w:hAnsi="Times New Roman" w:cs="Times New Roman"/>
            <w:b/>
            <w:bCs/>
            <w:color w:val="000000"/>
            <w:sz w:val="20"/>
            <w:szCs w:val="20"/>
          </w:rPr>
          <w:t>Alpha Court Chambers</w:t>
        </w:r>
      </w:hyperlink>
      <w:r>
        <w:rPr>
          <w:rFonts w:ascii="Times New Roman" w:hAnsi="Times New Roman" w:cs="Times New Roman"/>
          <w:b/>
          <w:bCs/>
          <w:color w:val="505050"/>
          <w:sz w:val="20"/>
          <w:szCs w:val="20"/>
        </w:rPr>
        <w:t>, counsel for the defendant.</w:t>
      </w:r>
    </w:p>
    <w:p w14:paraId="1424DC80" w14:textId="77777777" w:rsidR="00A911D4" w:rsidRDefault="003F23E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Date of Award/Settlement</w:t>
      </w:r>
    </w:p>
    <w:p w14:paraId="652BCD86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14 May 2012</w:t>
      </w:r>
    </w:p>
    <w:p w14:paraId="5C788244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</w:p>
    <w:p w14:paraId="162A5CD2" w14:textId="77777777" w:rsidR="00A911D4" w:rsidRDefault="003F23E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PSLA Damages</w:t>
      </w:r>
    </w:p>
    <w:p w14:paraId="7237B043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£2,200 (£2,883.42 RPI)</w:t>
      </w:r>
    </w:p>
    <w:p w14:paraId="5D720195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</w:p>
    <w:p w14:paraId="79B3AC15" w14:textId="77777777" w:rsidR="00A911D4" w:rsidRDefault="003F23E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Total Damages</w:t>
      </w:r>
    </w:p>
    <w:p w14:paraId="7CDDA49A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£2,909 (£3,812.66 RPI)</w:t>
      </w:r>
    </w:p>
    <w:p w14:paraId="5E009544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</w:p>
    <w:p w14:paraId="576B2C24" w14:textId="77777777" w:rsidR="00A911D4" w:rsidRDefault="003F23E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Kemp Classification</w:t>
      </w:r>
    </w:p>
    <w:p w14:paraId="45894422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 Spine and ribs</w:t>
      </w:r>
    </w:p>
    <w:p w14:paraId="3E07AB23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</w:p>
    <w:p w14:paraId="473D2EF0" w14:textId="77777777" w:rsidR="00A911D4" w:rsidRDefault="003F23E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Kemp Sub-classification</w:t>
      </w:r>
    </w:p>
    <w:p w14:paraId="113E8322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F9 Back and neck: whiplash injury: no previous condition</w:t>
      </w:r>
    </w:p>
    <w:p w14:paraId="26396FF1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</w:p>
    <w:p w14:paraId="04883A0F" w14:textId="77777777" w:rsidR="00A911D4" w:rsidRDefault="003F23E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Award Type</w:t>
      </w:r>
    </w:p>
    <w:p w14:paraId="79280C31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Court Award</w:t>
      </w:r>
    </w:p>
    <w:p w14:paraId="10689D3A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</w:p>
    <w:p w14:paraId="1864836E" w14:textId="77777777" w:rsidR="00A911D4" w:rsidRDefault="003F23E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Judge</w:t>
      </w:r>
    </w:p>
    <w:p w14:paraId="6312BFC4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Deputy District Judge Matthews</w:t>
      </w:r>
    </w:p>
    <w:p w14:paraId="6153B3DE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</w:p>
    <w:p w14:paraId="63283A8A" w14:textId="77777777" w:rsidR="00A911D4" w:rsidRDefault="003F23E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Court</w:t>
      </w:r>
    </w:p>
    <w:p w14:paraId="195AB9BE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County Court (Leicester)</w:t>
      </w:r>
    </w:p>
    <w:p w14:paraId="4894804B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</w:p>
    <w:p w14:paraId="040AA806" w14:textId="77777777" w:rsidR="00A911D4" w:rsidRDefault="003F23E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Age at Injury</w:t>
      </w:r>
    </w:p>
    <w:p w14:paraId="27DC9B70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20</w:t>
      </w:r>
    </w:p>
    <w:p w14:paraId="5543E670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</w:p>
    <w:p w14:paraId="28EC2CDB" w14:textId="77777777" w:rsidR="00A911D4" w:rsidRDefault="003F23E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Age at Award/Settlement</w:t>
      </w:r>
    </w:p>
    <w:p w14:paraId="0781A30E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22</w:t>
      </w:r>
    </w:p>
    <w:p w14:paraId="13590D3B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</w:p>
    <w:p w14:paraId="5A5D4C4D" w14:textId="77777777" w:rsidR="00A911D4" w:rsidRDefault="003F23E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Gender</w:t>
      </w:r>
    </w:p>
    <w:p w14:paraId="484504D5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Male</w:t>
      </w:r>
    </w:p>
    <w:p w14:paraId="1AD73792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</w:p>
    <w:p w14:paraId="4D7BADDC" w14:textId="77777777" w:rsidR="00A911D4" w:rsidRDefault="003F23ED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Legal Representative</w:t>
      </w:r>
    </w:p>
    <w:p w14:paraId="1CC9B840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Your Lawyers for the claimant. Sarah Robson instructed by Berrymans Lace Mawer for the defendant.</w:t>
      </w:r>
    </w:p>
    <w:p w14:paraId="01AE353D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</w:p>
    <w:p w14:paraId="133D0B4D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The claimant, a 22-year-old man, received £2,909, for the whiplash injury to his neck and lower back sustained in a road traffic accident in September 2010. It was anticipated that his injuries would resolve with eight to nine months from the date of the accident.</w:t>
      </w:r>
    </w:p>
    <w:p w14:paraId="27E74DE9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14:paraId="6FA4B251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Most significant injury:  WHIPLASH</w:t>
      </w:r>
    </w:p>
    <w:p w14:paraId="1C59C2FE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14:paraId="3A9A3D9A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Total injury duration: 9 months</w:t>
      </w:r>
    </w:p>
    <w:p w14:paraId="4A3A00AE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14:paraId="2E38F4D8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Road Traffic: On September 24, 2010, the claimant (C) was travelling along a road at around 20-30 mph when his car was hit twice from behind by a vehicle driven by the defendant (D).</w:t>
      </w:r>
    </w:p>
    <w:p w14:paraId="5A15CFF1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14:paraId="11D749B7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C sustained injury and brought an action against D alleging that he was negligent in failing to stop in time.</w:t>
      </w:r>
    </w:p>
    <w:p w14:paraId="0B3399F2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14:paraId="55A58FB0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Liability admitted.</w:t>
      </w:r>
    </w:p>
    <w:p w14:paraId="4B86244F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14:paraId="742BCE93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C suffered whiplash injuries to his neck and lower back.</w:t>
      </w:r>
    </w:p>
    <w:p w14:paraId="4FA0E279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14:paraId="6A1D2C92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C was thrown backwards and recoiled forwards in the accident. He gradually developed pain in his neck and lower back a few hours after the accident. He visited his GP three days after the accident where whiplash was diagnosed and he was advised to take painkillers. C had constant pain in his neck and lower back for the first few weeks before becoming intermittent, and both areas were very stiff. He also suffered from headaches for a few months. C was referred for nine sessions of physiotherapy.</w:t>
      </w:r>
    </w:p>
    <w:p w14:paraId="7C43DD76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14:paraId="529404CE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C’s pain was worse when he sat in front of his computer for a prolonged period of time. On examination six months post-accident he was still taking occasional painkillers when the pain was bad. He was unable to play football and cricket, or attend the gym for a few days and he was restricted in these for a few months. C was a student and he missed a few days of lectures immediately after the accident. Domestic activities were also initially restricted.</w:t>
      </w:r>
    </w:p>
    <w:p w14:paraId="1389464E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14:paraId="145ACE4B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Prognosis: It was anticipated that C’s injuries would have fully resolved by eight to nine months after the accident.</w:t>
      </w:r>
    </w:p>
    <w:p w14:paraId="7AA8D04F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14:paraId="394C6853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Court Award and Out of Court Settlement: £2,909 total damages</w:t>
      </w:r>
    </w:p>
    <w:p w14:paraId="434B1B48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14:paraId="33627EE9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Background to damages: The claim started in the MOJ RTA Portal;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however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solicitors acting for C removed it during the negotiation period of Stage 2, claiming that D had an obligation to make a counter-offer to C’s second offer made after the initial consideration period. C claimed that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pursuant to the MOJ RTA Protocol para.7.33 they were then entitled to remove the claim from the Portal and to commence Part 7 proceedings, which they did. D claimed that the only obligation to make a counter-offer was to C’s first offer, and, in any event, as C’s second offer was made less than five days before the end of the total consideration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period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they were prohibited from making a further offer under para.7.30. D also relied on </w:t>
      </w:r>
      <w:hyperlink r:id="rId10" w:history="1">
        <w:r>
          <w:rPr>
            <w:rFonts w:ascii="Times New Roman" w:hAnsi="Times New Roman" w:cs="Times New Roman"/>
            <w:i/>
            <w:iCs/>
            <w:color w:val="000000"/>
            <w:sz w:val="26"/>
            <w:szCs w:val="26"/>
          </w:rPr>
          <w:t>Jaykishan Patel v Fortis Insurance Ltd (2011)</w:t>
        </w:r>
      </w:hyperlink>
      <w:r>
        <w:rPr>
          <w:rFonts w:ascii="Times New Roman" w:hAnsi="Times New Roman" w:cs="Times New Roman"/>
          <w:color w:val="000000"/>
          <w:sz w:val="26"/>
          <w:szCs w:val="26"/>
        </w:rPr>
        <w:t>. The judge rejected the argument that D’s failure to respond to C’s second offer on the basis that para.7.33 clearly referred to a response within the initial consideration period and that para.7.30 did not permit further offers being made by either party during the further consideration period.</w:t>
      </w:r>
    </w:p>
    <w:p w14:paraId="64AB7DBE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14:paraId="2203DEB5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The judge held that C had acted unreasonably in removing the matter from the Portal, disallowed their Part 7 costs of £20,851.48 and restricted their costs to Portal costs only per CPR 45.36(2)(b)(i). Having made a finding that C had acted unreasonably, the judge held it followed there ought to be an order for costs for the wronged party, D, on an indemnity basis.</w:t>
      </w:r>
    </w:p>
    <w:p w14:paraId="098382D3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14:paraId="153E8D8E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The case was settled on a global basis with no particular breakdown of damages. However, the following breakdown was estimated by counsel for the defendant:</w:t>
      </w:r>
    </w:p>
    <w:p w14:paraId="1BC93D35" w14:textId="77777777" w:rsidR="00A911D4" w:rsidRDefault="003F2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14:paraId="123DCBB6" w14:textId="77777777" w:rsidR="00A911D4" w:rsidRDefault="003F23ED">
      <w:pPr>
        <w:widowControl w:val="0"/>
        <w:autoSpaceDE w:val="0"/>
        <w:autoSpaceDN w:val="0"/>
        <w:adjustRightInd w:val="0"/>
        <w:spacing w:after="26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Breakdown of General Damages: Pain, suffering and loss of amenity: £2,200.</w:t>
      </w:r>
    </w:p>
    <w:p w14:paraId="67BCB418" w14:textId="77777777" w:rsidR="00A911D4" w:rsidRDefault="00A911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A911D4">
      <w:type w:val="continuous"/>
      <w:pgSz w:w="12240" w:h="15840"/>
      <w:pgMar w:top="1080" w:right="1080" w:bottom="108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B7468" w14:textId="77777777" w:rsidR="00784151" w:rsidRDefault="00784151">
      <w:pPr>
        <w:spacing w:after="0" w:line="240" w:lineRule="auto"/>
      </w:pPr>
      <w:r>
        <w:separator/>
      </w:r>
    </w:p>
  </w:endnote>
  <w:endnote w:type="continuationSeparator" w:id="0">
    <w:p w14:paraId="7AD56373" w14:textId="77777777" w:rsidR="00784151" w:rsidRDefault="00784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00"/>
      <w:gridCol w:w="700"/>
    </w:tblGrid>
    <w:tr w:rsidR="00A911D4" w14:paraId="0404282A" w14:textId="77777777">
      <w:tc>
        <w:tcPr>
          <w:tcW w:w="9300" w:type="dxa"/>
          <w:tcBorders>
            <w:top w:val="single" w:sz="8" w:space="0" w:color="AAAAAA"/>
            <w:left w:val="nil"/>
            <w:bottom w:val="nil"/>
            <w:right w:val="nil"/>
          </w:tcBorders>
          <w:tcMar>
            <w:top w:w="60" w:type="dxa"/>
          </w:tcMar>
          <w:vAlign w:val="bottom"/>
        </w:tcPr>
        <w:p w14:paraId="5BD8513F" w14:textId="77777777" w:rsidR="00A911D4" w:rsidRDefault="003F23E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AAAAAA"/>
              <w:sz w:val="20"/>
              <w:szCs w:val="20"/>
            </w:rPr>
          </w:pPr>
          <w:r>
            <w:rPr>
              <w:rFonts w:ascii="Arial" w:hAnsi="Arial" w:cs="Arial"/>
              <w:color w:val="AAAAAA"/>
              <w:sz w:val="20"/>
              <w:szCs w:val="20"/>
            </w:rPr>
            <w:t>© 2022 Thomson Reuters.</w:t>
          </w:r>
        </w:p>
      </w:tc>
      <w:tc>
        <w:tcPr>
          <w:tcW w:w="700" w:type="dxa"/>
          <w:tcBorders>
            <w:top w:val="single" w:sz="8" w:space="0" w:color="AAAAAA"/>
            <w:left w:val="nil"/>
            <w:bottom w:val="nil"/>
            <w:right w:val="nil"/>
          </w:tcBorders>
          <w:tcMar>
            <w:top w:w="60" w:type="dxa"/>
          </w:tcMar>
        </w:tcPr>
        <w:p w14:paraId="14B1CCA2" w14:textId="77777777" w:rsidR="00A911D4" w:rsidRDefault="003F23ED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AAAAAA"/>
              <w:sz w:val="20"/>
              <w:szCs w:val="20"/>
            </w:rPr>
          </w:pPr>
          <w:r>
            <w:rPr>
              <w:rFonts w:ascii="Arial" w:hAnsi="Arial" w:cs="Arial"/>
              <w:color w:val="AAAAAA"/>
              <w:sz w:val="20"/>
              <w:szCs w:val="20"/>
            </w:rPr>
            <w:pgNum/>
          </w:r>
        </w:p>
      </w:tc>
    </w:tr>
  </w:tbl>
  <w:p w14:paraId="2E858769" w14:textId="77777777" w:rsidR="00A911D4" w:rsidRDefault="00A911D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AA4BA" w14:textId="77777777" w:rsidR="00784151" w:rsidRDefault="00784151">
      <w:pPr>
        <w:spacing w:after="0" w:line="240" w:lineRule="auto"/>
      </w:pPr>
      <w:r>
        <w:separator/>
      </w:r>
    </w:p>
  </w:footnote>
  <w:footnote w:type="continuationSeparator" w:id="0">
    <w:p w14:paraId="361F8C32" w14:textId="77777777" w:rsidR="00784151" w:rsidRDefault="00784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80"/>
      <w:gridCol w:w="700"/>
    </w:tblGrid>
    <w:tr w:rsidR="00A911D4" w14:paraId="59AD3A48" w14:textId="77777777">
      <w:tc>
        <w:tcPr>
          <w:tcW w:w="9380" w:type="dxa"/>
          <w:tcBorders>
            <w:top w:val="nil"/>
            <w:left w:val="nil"/>
            <w:bottom w:val="single" w:sz="8" w:space="0" w:color="AAAAAA"/>
            <w:right w:val="nil"/>
          </w:tcBorders>
          <w:tcMar>
            <w:top w:w="400" w:type="dxa"/>
            <w:bottom w:w="60" w:type="dxa"/>
          </w:tcMar>
          <w:vAlign w:val="bottom"/>
        </w:tcPr>
        <w:p w14:paraId="33E2CA5F" w14:textId="77777777" w:rsidR="00A911D4" w:rsidRDefault="003F23E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555555"/>
              <w:sz w:val="18"/>
              <w:szCs w:val="18"/>
            </w:rPr>
            <w:t>UPPAL v DAUDIA (2012), 2012 WL 13152670 (2012)</w:t>
          </w:r>
        </w:p>
      </w:tc>
      <w:tc>
        <w:tcPr>
          <w:tcW w:w="700" w:type="dxa"/>
          <w:tcBorders>
            <w:top w:val="nil"/>
            <w:left w:val="nil"/>
            <w:bottom w:val="single" w:sz="8" w:space="0" w:color="AAAAAA"/>
            <w:right w:val="nil"/>
          </w:tcBorders>
          <w:tcMar>
            <w:top w:w="400" w:type="dxa"/>
            <w:bottom w:w="60" w:type="dxa"/>
          </w:tcMar>
        </w:tcPr>
        <w:p w14:paraId="1E7A6CD0" w14:textId="77777777" w:rsidR="00A911D4" w:rsidRDefault="00A911D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A911D4" w14:paraId="0ADDA623" w14:textId="77777777">
      <w:tc>
        <w:tcPr>
          <w:tcW w:w="1008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5A1CA60" w14:textId="77777777" w:rsidR="00A911D4" w:rsidRDefault="00A911D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</w:tbl>
  <w:p w14:paraId="743B3759" w14:textId="77777777" w:rsidR="00A911D4" w:rsidRDefault="00A911D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1D4"/>
    <w:rsid w:val="003F23ED"/>
    <w:rsid w:val="00784151"/>
    <w:rsid w:val="00A16205"/>
    <w:rsid w:val="00A9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B48480"/>
  <w14:defaultImageDpi w14:val="0"/>
  <w15:docId w15:val="{E2D9F66C-CD65-480F-8D6B-55E3C54D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rahrobsonbarrister.co.uk/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uk.westlaw.com/Document/IE2BBBDF03CD911E188709326961EEBEC/View/FullText.html?originationContext=document&amp;transitionType=DocumentItem&amp;vr=3.0&amp;rs=PLUK1.0&amp;contextData=(sc.Search)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lphacourtchamber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3829</Characters>
  <Application>Microsoft Office Word</Application>
  <DocSecurity>0</DocSecurity>
  <Lines>31</Lines>
  <Paragraphs>8</Paragraphs>
  <ScaleCrop>false</ScaleCrop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Parents Robson</dc:creator>
  <cp:keywords/>
  <dc:description/>
  <cp:lastModifiedBy>Parents Robson</cp:lastModifiedBy>
  <cp:revision>2</cp:revision>
  <dcterms:created xsi:type="dcterms:W3CDTF">2022-01-19T22:32:00Z</dcterms:created>
  <dcterms:modified xsi:type="dcterms:W3CDTF">2022-01-19T22:32:00Z</dcterms:modified>
</cp:coreProperties>
</file>