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D747" w14:textId="77777777" w:rsidR="00A911D4" w:rsidRDefault="00A911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5FD6B73" w14:textId="77777777" w:rsidR="00A911D4" w:rsidRDefault="00A911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911D4">
          <w:headerReference w:type="default" r:id="rId6"/>
          <w:footerReference w:type="default" r:id="rId7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460FFE8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3333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333333"/>
          <w:sz w:val="36"/>
          <w:szCs w:val="36"/>
        </w:rPr>
        <w:t>UPPAL v DAUDIA (2012)</w:t>
      </w:r>
    </w:p>
    <w:p w14:paraId="6EA391FF" w14:textId="77777777" w:rsidR="00A911D4" w:rsidRDefault="003F23ED">
      <w:pPr>
        <w:widowControl w:val="0"/>
        <w:autoSpaceDE w:val="0"/>
        <w:autoSpaceDN w:val="0"/>
        <w:adjustRightInd w:val="0"/>
        <w:spacing w:before="160" w:line="240" w:lineRule="auto"/>
        <w:rPr>
          <w:rFonts w:ascii="Times New Roman" w:hAnsi="Times New Roman" w:cs="Times New Roman"/>
          <w:b/>
          <w:bCs/>
          <w:color w:val="50505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505050"/>
          <w:sz w:val="20"/>
          <w:szCs w:val="20"/>
        </w:rPr>
        <w:t xml:space="preserve">Lawtel: This Quantum Report was provided courtesy of </w:t>
      </w:r>
      <w:hyperlink r:id="rId8" w:history="1">
        <w:r>
          <w:rPr>
            <w:rFonts w:ascii="Times New Roman" w:hAnsi="Times New Roman" w:cs="Times New Roman"/>
            <w:b/>
            <w:bCs/>
            <w:color w:val="000000"/>
            <w:sz w:val="20"/>
            <w:szCs w:val="20"/>
          </w:rPr>
          <w:t>Sarah Robson</w:t>
        </w:r>
      </w:hyperlink>
      <w:r>
        <w:rPr>
          <w:rFonts w:ascii="Times New Roman" w:hAnsi="Times New Roman" w:cs="Times New Roman"/>
          <w:b/>
          <w:bCs/>
          <w:color w:val="505050"/>
          <w:sz w:val="20"/>
          <w:szCs w:val="20"/>
        </w:rPr>
        <w:t xml:space="preserve"> of </w:t>
      </w:r>
      <w:hyperlink r:id="rId9" w:history="1">
        <w:r>
          <w:rPr>
            <w:rFonts w:ascii="Times New Roman" w:hAnsi="Times New Roman" w:cs="Times New Roman"/>
            <w:b/>
            <w:bCs/>
            <w:color w:val="000000"/>
            <w:sz w:val="20"/>
            <w:szCs w:val="20"/>
          </w:rPr>
          <w:t>Alpha Court Chambers</w:t>
        </w:r>
      </w:hyperlink>
      <w:r>
        <w:rPr>
          <w:rFonts w:ascii="Times New Roman" w:hAnsi="Times New Roman" w:cs="Times New Roman"/>
          <w:b/>
          <w:bCs/>
          <w:color w:val="505050"/>
          <w:sz w:val="20"/>
          <w:szCs w:val="20"/>
        </w:rPr>
        <w:t>, counsel for the defendant.</w:t>
      </w:r>
    </w:p>
    <w:p w14:paraId="1424DC80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Date of Award/Settlement</w:t>
      </w:r>
    </w:p>
    <w:p w14:paraId="652BCD86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 May 2012</w:t>
      </w:r>
    </w:p>
    <w:p w14:paraId="5C788244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162A5CD2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PSLA Damages</w:t>
      </w:r>
    </w:p>
    <w:p w14:paraId="7237B043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£2,200 (£2,883.42 RPI)</w:t>
      </w:r>
    </w:p>
    <w:p w14:paraId="5D720195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79B3AC15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Total Damages</w:t>
      </w:r>
    </w:p>
    <w:p w14:paraId="7CDDA49A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£2,909 (£3,812.66 RPI)</w:t>
      </w:r>
    </w:p>
    <w:p w14:paraId="5E009544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76B2C24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Kemp Classification</w:t>
      </w:r>
    </w:p>
    <w:p w14:paraId="4589442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 Spine and ribs</w:t>
      </w:r>
    </w:p>
    <w:p w14:paraId="3E07AB23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473D2EF0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Kemp Sub-classification</w:t>
      </w:r>
    </w:p>
    <w:p w14:paraId="113E832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F9 Back and neck: whiplash injury: no previous condition</w:t>
      </w:r>
    </w:p>
    <w:p w14:paraId="26396FF1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04883A0F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Award Type</w:t>
      </w:r>
    </w:p>
    <w:p w14:paraId="79280C31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Court Award</w:t>
      </w:r>
    </w:p>
    <w:p w14:paraId="10689D3A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1864836E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Judge</w:t>
      </w:r>
    </w:p>
    <w:p w14:paraId="6312BFC4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Deputy District Judge Matthews</w:t>
      </w:r>
    </w:p>
    <w:p w14:paraId="6153B3D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3283A8A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Court</w:t>
      </w:r>
    </w:p>
    <w:p w14:paraId="195AB9B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County Court (Leicester)</w:t>
      </w:r>
    </w:p>
    <w:p w14:paraId="4894804B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040AA806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Age at Injury</w:t>
      </w:r>
    </w:p>
    <w:p w14:paraId="27DC9B70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</w:t>
      </w:r>
    </w:p>
    <w:p w14:paraId="5543E670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28EC2CDB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Age at Award/Settlement</w:t>
      </w:r>
    </w:p>
    <w:p w14:paraId="0781A30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</w:t>
      </w:r>
    </w:p>
    <w:p w14:paraId="13590D3B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A5D4C4D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Gender</w:t>
      </w:r>
    </w:p>
    <w:p w14:paraId="484504D5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</w:t>
      </w:r>
    </w:p>
    <w:p w14:paraId="1AD7379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4D7BADDC" w14:textId="77777777" w:rsidR="00A911D4" w:rsidRDefault="003F23ED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Legal Representative</w:t>
      </w:r>
    </w:p>
    <w:p w14:paraId="1CC9B840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Your Lawyers for the claimant. Sarah Robson instructed by Berrymans Lace Mawer for the defendant.</w:t>
      </w:r>
    </w:p>
    <w:p w14:paraId="01AE353D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133D0B4D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The claimant, a 22-year-old man, received £2,909, for the whiplash injury to his neck and lower back sustained in a road traffic accident in September 2010. It was anticipated that his injuries would resolve with eight to nine months from the date of the accident.</w:t>
      </w:r>
    </w:p>
    <w:p w14:paraId="27E74DE9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6FA4B251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Most significant injury:  WHIPLASH</w:t>
      </w:r>
    </w:p>
    <w:p w14:paraId="1C59C2F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A9A3D9A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Total injury duration: 9 months</w:t>
      </w:r>
    </w:p>
    <w:p w14:paraId="4A3A00A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E38F4D8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Road Traffic: On September 24, 2010, the claimant (C) was travelling along a road at around 20-30 mph when his car was hit twice from behind by a vehicle driven by the defendant (D).</w:t>
      </w:r>
    </w:p>
    <w:p w14:paraId="5A15CFF1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1D749B7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 sustained injury and brought an action against D alleging that he was negligent in failing to stop in time.</w:t>
      </w:r>
    </w:p>
    <w:p w14:paraId="0B3399F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55A58FB0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Liability admitted.</w:t>
      </w:r>
    </w:p>
    <w:p w14:paraId="4B86244F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742BCE93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 suffered whiplash injuries to his neck and lower back.</w:t>
      </w:r>
    </w:p>
    <w:p w14:paraId="4FA0E279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6A1D2C92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 was thrown backwards and recoiled forwards in the accident. He gradually developed pain in his neck and lower back a few hours after the accident. He visited his GP three days after the accident where whiplash was diagnosed and he was advised to take painkillers. C had constant pain in his neck and lower back for the first few weeks before becoming intermittent, and both areas were very stiff. He also suffered from headaches for a few months. C was referred for nine sessions of physiotherapy.</w:t>
      </w:r>
    </w:p>
    <w:p w14:paraId="7C43DD76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529404C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C’s pain was worse when he sat in front of his computer for a prolonged period of time. On examination six months post-accident he was still taking occasional painkillers when the pain was bad. He was unable to play football and cricket, or attend the gym for a few days and he was restricted in these for a few months. C was a student and he missed a few days of lectures immediately after the accident. Domestic activities were also initially restricted.</w:t>
      </w:r>
    </w:p>
    <w:p w14:paraId="1389464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45ACE4B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Prognosis: It was anticipated that C’s injuries would have fully resolved by eight to nine months after the accident.</w:t>
      </w:r>
    </w:p>
    <w:p w14:paraId="7AA8D04F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94C6853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Court Award and Out of Court Settlement: £2,909 total damages</w:t>
      </w:r>
    </w:p>
    <w:p w14:paraId="434B1B48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3627EE9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Background to damages: The claim started in the MOJ RTA Portal;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however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solicitors acting for C removed it during the negotiation period of Stage 2, claiming that D had an obligation to make a counter-offer to C’s second offer made after the initial consideration period. C claimed that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pursuant to the MOJ RTA Protocol para.7.33 they were then entitled to remove the claim from the Portal and to commence Part 7 proceedings, which they did. D claimed that the only obligation to make a counter-offer was to C’s first offer, and, in any event, as C’s second offer was made less than five days before the end of the total consideration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period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they were prohibited from making a further offer under para.7.30. D also relied on </w:t>
      </w:r>
      <w:hyperlink r:id="rId10" w:history="1">
        <w:r>
          <w:rPr>
            <w:rFonts w:ascii="Times New Roman" w:hAnsi="Times New Roman" w:cs="Times New Roman"/>
            <w:i/>
            <w:iCs/>
            <w:color w:val="000000"/>
            <w:sz w:val="26"/>
            <w:szCs w:val="26"/>
          </w:rPr>
          <w:t>Jaykishan Patel v Fortis Insurance Ltd (2011)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. The judge rejected the argument that D’s failure to respond to C’s second offer on the basis that para.7.33 clearly referred to a response within the initial consideration period and that para.7.30 did not permit further offers being made by either party during the further consideration period.</w:t>
      </w:r>
    </w:p>
    <w:p w14:paraId="64AB7DB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203DEB5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The judge held that C had acted unreasonably in removing the matter from the Portal, disallowed their Part 7 costs of £20,851.48 and restricted their costs to Portal costs only per CPR 45.36(2)(b)(i). Having made a finding that C had acted unreasonably, the judge held it followed there ought to be an order for costs for the wronged party, D, on an indemnity basis.</w:t>
      </w:r>
    </w:p>
    <w:p w14:paraId="098382D3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53E8D8E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The case was settled on a global basis with no particular breakdown of damages. However, the following breakdown was estimated by counsel for the defendant:</w:t>
      </w:r>
    </w:p>
    <w:p w14:paraId="1BC93D35" w14:textId="77777777" w:rsidR="00A911D4" w:rsidRDefault="003F2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123DCBB6" w14:textId="77777777" w:rsidR="00A911D4" w:rsidRDefault="003F23ED">
      <w:pPr>
        <w:widowControl w:val="0"/>
        <w:autoSpaceDE w:val="0"/>
        <w:autoSpaceDN w:val="0"/>
        <w:adjustRightInd w:val="0"/>
        <w:spacing w:after="26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Breakdown of General Damages: Pain, suffering and loss of amenity: £2,200.</w:t>
      </w:r>
    </w:p>
    <w:p w14:paraId="67BCB418" w14:textId="77777777" w:rsidR="00A911D4" w:rsidRDefault="00A911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11D4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7468" w14:textId="77777777" w:rsidR="00784151" w:rsidRDefault="00784151">
      <w:pPr>
        <w:spacing w:after="0" w:line="240" w:lineRule="auto"/>
      </w:pPr>
      <w:r>
        <w:separator/>
      </w:r>
    </w:p>
  </w:endnote>
  <w:endnote w:type="continuationSeparator" w:id="0">
    <w:p w14:paraId="7AD56373" w14:textId="77777777" w:rsidR="00784151" w:rsidRDefault="0078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00"/>
      <w:gridCol w:w="700"/>
    </w:tblGrid>
    <w:tr w:rsidR="00A911D4" w14:paraId="0404282A" w14:textId="77777777">
      <w:tc>
        <w:tcPr>
          <w:tcW w:w="93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  <w:vAlign w:val="bottom"/>
        </w:tcPr>
        <w:p w14:paraId="5BD8513F" w14:textId="77777777" w:rsidR="00A911D4" w:rsidRDefault="003F23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AAAAA"/>
              <w:sz w:val="20"/>
              <w:szCs w:val="20"/>
            </w:rPr>
          </w:pPr>
          <w:r>
            <w:rPr>
              <w:rFonts w:ascii="Arial" w:hAnsi="Arial" w:cs="Arial"/>
              <w:color w:val="AAAAAA"/>
              <w:sz w:val="20"/>
              <w:szCs w:val="20"/>
            </w:rPr>
            <w:t>© 2022 Thomson Reuters.</w:t>
          </w:r>
        </w:p>
      </w:tc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14B1CCA2" w14:textId="77777777" w:rsidR="00A911D4" w:rsidRDefault="003F23E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2E858769" w14:textId="77777777" w:rsidR="00A911D4" w:rsidRDefault="00A911D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AA4BA" w14:textId="77777777" w:rsidR="00784151" w:rsidRDefault="00784151">
      <w:pPr>
        <w:spacing w:after="0" w:line="240" w:lineRule="auto"/>
      </w:pPr>
      <w:r>
        <w:separator/>
      </w:r>
    </w:p>
  </w:footnote>
  <w:footnote w:type="continuationSeparator" w:id="0">
    <w:p w14:paraId="361F8C32" w14:textId="77777777" w:rsidR="00784151" w:rsidRDefault="0078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80"/>
      <w:gridCol w:w="700"/>
    </w:tblGrid>
    <w:tr w:rsidR="00A911D4" w14:paraId="59AD3A48" w14:textId="77777777">
      <w:tc>
        <w:tcPr>
          <w:tcW w:w="938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  <w:vAlign w:val="bottom"/>
        </w:tcPr>
        <w:p w14:paraId="33E2CA5F" w14:textId="77777777" w:rsidR="00A911D4" w:rsidRDefault="003F23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555555"/>
              <w:sz w:val="18"/>
              <w:szCs w:val="18"/>
            </w:rPr>
            <w:t>UPPAL v DAUDIA (2012), 2012 WL 13152670 (2012)</w:t>
          </w:r>
        </w:p>
      </w:tc>
      <w:tc>
        <w:tcPr>
          <w:tcW w:w="70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</w:tcPr>
        <w:p w14:paraId="1E7A6CD0" w14:textId="77777777" w:rsidR="00A911D4" w:rsidRDefault="00A911D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A911D4" w14:paraId="0ADDA623" w14:textId="77777777">
      <w:tc>
        <w:tcPr>
          <w:tcW w:w="1008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A1CA60" w14:textId="77777777" w:rsidR="00A911D4" w:rsidRDefault="00A911D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14:paraId="743B3759" w14:textId="77777777" w:rsidR="00A911D4" w:rsidRDefault="00A911D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D4"/>
    <w:rsid w:val="003F23ED"/>
    <w:rsid w:val="00784151"/>
    <w:rsid w:val="00A16205"/>
    <w:rsid w:val="00A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48480"/>
  <w14:defaultImageDpi w14:val="0"/>
  <w15:docId w15:val="{E2D9F66C-CD65-480F-8D6B-55E3C54D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hrobsonbarrister.co.uk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uk.westlaw.com/Document/IE2BBBDF03CD911E188709326961EEBEC/View/FullText.html?originationContext=document&amp;transitionType=DocumentItem&amp;vr=3.0&amp;rs=PLUK1.0&amp;contextData=(sc.Search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lphacourtchamb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 Robson</dc:creator>
  <cp:keywords/>
  <dc:description/>
  <cp:lastModifiedBy>Parents Robson</cp:lastModifiedBy>
  <cp:revision>2</cp:revision>
  <dcterms:created xsi:type="dcterms:W3CDTF">2022-01-19T22:32:00Z</dcterms:created>
  <dcterms:modified xsi:type="dcterms:W3CDTF">2022-01-19T22:32:00Z</dcterms:modified>
</cp:coreProperties>
</file>