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B9AA6E" w14:textId="4514CCF5" w:rsidR="0069469B" w:rsidRDefault="0069469B"/>
    <w:p w14:paraId="48DA328E" w14:textId="67C3AB40" w:rsidR="007B5DE2" w:rsidRDefault="0069469B" w:rsidP="00F80D9C">
      <w:pPr>
        <w:jc w:val="center"/>
      </w:pPr>
      <w:r>
        <w:t>Example Single Central Record</w:t>
      </w:r>
      <w:r w:rsidR="00F80D9C">
        <w:t xml:space="preserve"> – Ofsted inspected schools</w:t>
      </w:r>
    </w:p>
    <w:p w14:paraId="01C05315" w14:textId="450DBA95" w:rsidR="0069469B" w:rsidRDefault="00AC2CCC" w:rsidP="0069469B">
      <w:r>
        <w:rPr>
          <w:noProof/>
        </w:rPr>
        <w:drawing>
          <wp:inline distT="0" distB="0" distL="0" distR="0" wp14:anchorId="4DA0009E" wp14:editId="3ABBD0AD">
            <wp:extent cx="9777730" cy="4412615"/>
            <wp:effectExtent l="0" t="0" r="0" b="6985"/>
            <wp:docPr id="11" name="Picture 1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screenshot of a cell phon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9777730" cy="4412615"/>
                    </a:xfrm>
                    <a:prstGeom prst="rect">
                      <a:avLst/>
                    </a:prstGeom>
                  </pic:spPr>
                </pic:pic>
              </a:graphicData>
            </a:graphic>
          </wp:inline>
        </w:drawing>
      </w:r>
    </w:p>
    <w:p w14:paraId="2445F934" w14:textId="11938DC7" w:rsidR="00F80D9C" w:rsidRDefault="00F80D9C" w:rsidP="00F80D9C">
      <w:pPr>
        <w:jc w:val="center"/>
      </w:pPr>
    </w:p>
    <w:p w14:paraId="25633F52" w14:textId="77777777" w:rsidR="00F80D9C" w:rsidRDefault="00F80D9C" w:rsidP="00F80D9C">
      <w:r w:rsidRPr="0069469B">
        <w:t xml:space="preserve">NB s128 column should be completed for all management posts in Independent schools, </w:t>
      </w:r>
      <w:proofErr w:type="gramStart"/>
      <w:r w:rsidRPr="0069469B">
        <w:t>academies</w:t>
      </w:r>
      <w:proofErr w:type="gramEnd"/>
      <w:r w:rsidRPr="0069469B">
        <w:t xml:space="preserve"> and free schools, </w:t>
      </w:r>
      <w:r>
        <w:t>including the proprietor, trustees and / or governors</w:t>
      </w:r>
    </w:p>
    <w:p w14:paraId="6B80FD1C" w14:textId="3E58AD32" w:rsidR="00F80D9C" w:rsidRDefault="00F80D9C" w:rsidP="00F80D9C">
      <w:r>
        <w:t xml:space="preserve">In maintained schools, s128 is only required for governors: there is no statutory duty to record governor checks on the SCR. </w:t>
      </w:r>
    </w:p>
    <w:p w14:paraId="6238163E" w14:textId="77777777" w:rsidR="00F80D9C" w:rsidRDefault="00F80D9C" w:rsidP="00F80D9C">
      <w:pPr>
        <w:sectPr w:rsidR="00F80D9C" w:rsidSect="0069469B">
          <w:pgSz w:w="16838" w:h="11906" w:orient="landscape"/>
          <w:pgMar w:top="720" w:right="720" w:bottom="720" w:left="720" w:header="708" w:footer="708" w:gutter="0"/>
          <w:cols w:space="708"/>
          <w:docGrid w:linePitch="360"/>
        </w:sectPr>
      </w:pPr>
    </w:p>
    <w:p w14:paraId="61AA0C35" w14:textId="25394402" w:rsidR="00F80D9C" w:rsidRDefault="00BE0375" w:rsidP="00F80D9C">
      <w:r>
        <w:rPr>
          <w:noProof/>
        </w:rPr>
        <w:lastRenderedPageBreak/>
        <w:drawing>
          <wp:inline distT="0" distB="0" distL="0" distR="0" wp14:anchorId="20F2C1B1" wp14:editId="29DF3796">
            <wp:extent cx="6617806" cy="9258300"/>
            <wp:effectExtent l="0" t="0" r="0" b="0"/>
            <wp:docPr id="5"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C2DFF.tmp"/>
                    <pic:cNvPicPr/>
                  </pic:nvPicPr>
                  <pic:blipFill>
                    <a:blip r:embed="rId6">
                      <a:extLst>
                        <a:ext uri="{28A0092B-C50C-407E-A947-70E740481C1C}">
                          <a14:useLocalDpi xmlns:a14="http://schemas.microsoft.com/office/drawing/2010/main" val="0"/>
                        </a:ext>
                      </a:extLst>
                    </a:blip>
                    <a:stretch>
                      <a:fillRect/>
                    </a:stretch>
                  </pic:blipFill>
                  <pic:spPr>
                    <a:xfrm>
                      <a:off x="0" y="0"/>
                      <a:ext cx="6628486" cy="9273241"/>
                    </a:xfrm>
                    <a:prstGeom prst="rect">
                      <a:avLst/>
                    </a:prstGeom>
                  </pic:spPr>
                </pic:pic>
              </a:graphicData>
            </a:graphic>
          </wp:inline>
        </w:drawing>
      </w:r>
    </w:p>
    <w:p w14:paraId="7404D436" w14:textId="118E1B90" w:rsidR="00F80D9C" w:rsidRDefault="00F80D9C" w:rsidP="00F80D9C"/>
    <w:p w14:paraId="13C42015" w14:textId="6FE18B15" w:rsidR="00F80D9C" w:rsidRDefault="00BE0375" w:rsidP="00F80D9C">
      <w:r>
        <w:rPr>
          <w:noProof/>
        </w:rPr>
        <w:lastRenderedPageBreak/>
        <w:drawing>
          <wp:inline distT="0" distB="0" distL="0" distR="0" wp14:anchorId="7BF6375D" wp14:editId="5235AAAD">
            <wp:extent cx="6724639" cy="9439275"/>
            <wp:effectExtent l="0" t="0" r="635" b="0"/>
            <wp:docPr id="6" name="Picture 6"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CEC06.tmp"/>
                    <pic:cNvPicPr/>
                  </pic:nvPicPr>
                  <pic:blipFill>
                    <a:blip r:embed="rId7">
                      <a:extLst>
                        <a:ext uri="{28A0092B-C50C-407E-A947-70E740481C1C}">
                          <a14:useLocalDpi xmlns:a14="http://schemas.microsoft.com/office/drawing/2010/main" val="0"/>
                        </a:ext>
                      </a:extLst>
                    </a:blip>
                    <a:stretch>
                      <a:fillRect/>
                    </a:stretch>
                  </pic:blipFill>
                  <pic:spPr>
                    <a:xfrm>
                      <a:off x="0" y="0"/>
                      <a:ext cx="6739650" cy="9460345"/>
                    </a:xfrm>
                    <a:prstGeom prst="rect">
                      <a:avLst/>
                    </a:prstGeom>
                  </pic:spPr>
                </pic:pic>
              </a:graphicData>
            </a:graphic>
          </wp:inline>
        </w:drawing>
      </w:r>
    </w:p>
    <w:p w14:paraId="3AA19579" w14:textId="541B75F9" w:rsidR="00BE0375" w:rsidRDefault="00BE0375" w:rsidP="00F80D9C"/>
    <w:p w14:paraId="3C89BD5B" w14:textId="7337F5E3" w:rsidR="00BE0375" w:rsidRDefault="00BE0375" w:rsidP="00F80D9C">
      <w:r>
        <w:rPr>
          <w:noProof/>
        </w:rPr>
        <w:lastRenderedPageBreak/>
        <w:drawing>
          <wp:inline distT="0" distB="0" distL="0" distR="0" wp14:anchorId="6363B909" wp14:editId="181DB3CF">
            <wp:extent cx="6560738" cy="9220200"/>
            <wp:effectExtent l="0" t="0" r="0" b="0"/>
            <wp:docPr id="7" name="Picture 7"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C4241.tmp"/>
                    <pic:cNvPicPr/>
                  </pic:nvPicPr>
                  <pic:blipFill>
                    <a:blip r:embed="rId8">
                      <a:extLst>
                        <a:ext uri="{28A0092B-C50C-407E-A947-70E740481C1C}">
                          <a14:useLocalDpi xmlns:a14="http://schemas.microsoft.com/office/drawing/2010/main" val="0"/>
                        </a:ext>
                      </a:extLst>
                    </a:blip>
                    <a:stretch>
                      <a:fillRect/>
                    </a:stretch>
                  </pic:blipFill>
                  <pic:spPr>
                    <a:xfrm>
                      <a:off x="0" y="0"/>
                      <a:ext cx="6569973" cy="9233178"/>
                    </a:xfrm>
                    <a:prstGeom prst="rect">
                      <a:avLst/>
                    </a:prstGeom>
                  </pic:spPr>
                </pic:pic>
              </a:graphicData>
            </a:graphic>
          </wp:inline>
        </w:drawing>
      </w:r>
    </w:p>
    <w:p w14:paraId="44E0FACD" w14:textId="060275B3" w:rsidR="0016272F" w:rsidRDefault="0016272F" w:rsidP="00F80D9C"/>
    <w:p w14:paraId="29445652" w14:textId="77777777" w:rsidR="0016272F" w:rsidRDefault="0016272F" w:rsidP="0016272F">
      <w:pPr>
        <w:pStyle w:val="Default"/>
        <w:rPr>
          <w:sz w:val="28"/>
          <w:szCs w:val="28"/>
        </w:rPr>
      </w:pPr>
      <w:r>
        <w:rPr>
          <w:sz w:val="28"/>
          <w:szCs w:val="28"/>
        </w:rPr>
        <w:lastRenderedPageBreak/>
        <w:t xml:space="preserve">Applicants from overseas </w:t>
      </w:r>
    </w:p>
    <w:p w14:paraId="3DB06034" w14:textId="77777777" w:rsidR="0016272F" w:rsidRDefault="0016272F" w:rsidP="0016272F">
      <w:pPr>
        <w:pStyle w:val="Default"/>
        <w:rPr>
          <w:sz w:val="23"/>
          <w:szCs w:val="23"/>
        </w:rPr>
      </w:pPr>
    </w:p>
    <w:p w14:paraId="3267919E" w14:textId="30A918BE" w:rsidR="0016272F" w:rsidRDefault="0016272F" w:rsidP="0016272F">
      <w:pPr>
        <w:pStyle w:val="Default"/>
        <w:rPr>
          <w:b/>
          <w:sz w:val="20"/>
          <w:szCs w:val="20"/>
        </w:rPr>
      </w:pPr>
      <w:r>
        <w:rPr>
          <w:b/>
          <w:sz w:val="20"/>
          <w:szCs w:val="20"/>
        </w:rPr>
        <w:t>Keeping Children Safe in Education 20</w:t>
      </w:r>
      <w:r w:rsidR="00F70E66">
        <w:rPr>
          <w:b/>
          <w:sz w:val="20"/>
          <w:szCs w:val="20"/>
        </w:rPr>
        <w:t>20</w:t>
      </w:r>
    </w:p>
    <w:p w14:paraId="4A4A355C" w14:textId="77777777" w:rsidR="0016272F" w:rsidRDefault="0016272F" w:rsidP="0016272F">
      <w:pPr>
        <w:pStyle w:val="Default"/>
        <w:ind w:firstLine="720"/>
        <w:rPr>
          <w:b/>
          <w:sz w:val="20"/>
          <w:szCs w:val="20"/>
        </w:rPr>
      </w:pPr>
    </w:p>
    <w:p w14:paraId="1BEDF7E5" w14:textId="77777777" w:rsidR="0016272F" w:rsidRDefault="0016272F" w:rsidP="0016272F">
      <w:pPr>
        <w:pStyle w:val="Default"/>
        <w:rPr>
          <w:b/>
          <w:sz w:val="20"/>
          <w:szCs w:val="20"/>
        </w:rPr>
      </w:pPr>
      <w:r>
        <w:rPr>
          <w:b/>
          <w:sz w:val="20"/>
          <w:szCs w:val="20"/>
        </w:rPr>
        <w:t>Individuals who have lived or worked outside the UK</w:t>
      </w:r>
    </w:p>
    <w:p w14:paraId="134BCE22" w14:textId="77777777" w:rsidR="0016272F" w:rsidRDefault="0016272F" w:rsidP="0016272F">
      <w:pPr>
        <w:pStyle w:val="Default"/>
      </w:pPr>
      <w:r>
        <w:rPr>
          <w:color w:val="auto"/>
          <w:sz w:val="20"/>
          <w:szCs w:val="20"/>
        </w:rPr>
        <w:t>The DfE does not issue guidance on which circumstances require these overseas checks, stating that it is for schools to determine.</w:t>
      </w:r>
    </w:p>
    <w:p w14:paraId="5E2F9BD5" w14:textId="77777777" w:rsidR="0016272F" w:rsidRDefault="0016272F" w:rsidP="0016272F">
      <w:pPr>
        <w:pStyle w:val="Default"/>
        <w:rPr>
          <w:b/>
          <w:sz w:val="20"/>
          <w:szCs w:val="20"/>
        </w:rPr>
      </w:pPr>
    </w:p>
    <w:p w14:paraId="637A1E08" w14:textId="77777777" w:rsidR="0016272F" w:rsidRDefault="0016272F" w:rsidP="0016272F">
      <w:pPr>
        <w:pStyle w:val="Default"/>
        <w:rPr>
          <w:sz w:val="20"/>
          <w:szCs w:val="20"/>
        </w:rPr>
      </w:pPr>
      <w:r>
        <w:rPr>
          <w:sz w:val="20"/>
          <w:szCs w:val="20"/>
        </w:rPr>
        <w:t xml:space="preserve">Individuals who have lived or worked outside the UK must undergo the same checks as all other staff in schools or colleges. In addition, schools and colleges must make any further checks they think appropriate so that any relevant events that occurred outside the UK can be considered. The Home Office guidance on criminal records checks for overseas applicants can be found on GOV.UK. </w:t>
      </w:r>
    </w:p>
    <w:p w14:paraId="5EDF0913" w14:textId="77777777" w:rsidR="0016272F" w:rsidRDefault="0016272F" w:rsidP="0016272F">
      <w:pPr>
        <w:pStyle w:val="Default"/>
        <w:rPr>
          <w:b/>
          <w:bCs/>
          <w:color w:val="auto"/>
          <w:sz w:val="20"/>
          <w:szCs w:val="20"/>
        </w:rPr>
      </w:pPr>
    </w:p>
    <w:p w14:paraId="2D6BF485" w14:textId="77777777" w:rsidR="0016272F" w:rsidRDefault="0016272F" w:rsidP="0016272F">
      <w:pPr>
        <w:pStyle w:val="Default"/>
      </w:pPr>
      <w:r>
        <w:rPr>
          <w:b/>
          <w:bCs/>
          <w:color w:val="auto"/>
          <w:sz w:val="20"/>
          <w:szCs w:val="20"/>
        </w:rPr>
        <w:t xml:space="preserve">NOTE </w:t>
      </w:r>
      <w:r>
        <w:rPr>
          <w:color w:val="auto"/>
          <w:sz w:val="20"/>
          <w:szCs w:val="20"/>
        </w:rPr>
        <w:t xml:space="preserve">In cases where an overseas criminal record check or certificate of good conduct is not possible, particular care must be taken with the other required checks, especially those of identity and qualifications, and obtaining satisfactory references. </w:t>
      </w:r>
    </w:p>
    <w:p w14:paraId="21906B42" w14:textId="77777777" w:rsidR="0016272F" w:rsidRDefault="0016272F" w:rsidP="0016272F">
      <w:pPr>
        <w:pStyle w:val="Default"/>
        <w:rPr>
          <w:color w:val="auto"/>
          <w:sz w:val="20"/>
          <w:szCs w:val="20"/>
        </w:rPr>
      </w:pPr>
    </w:p>
    <w:p w14:paraId="3C6F8DC1" w14:textId="0A05498A" w:rsidR="0016272F" w:rsidRDefault="0016272F" w:rsidP="0016272F">
      <w:pPr>
        <w:pStyle w:val="Default"/>
        <w:rPr>
          <w:b/>
          <w:sz w:val="20"/>
          <w:szCs w:val="20"/>
        </w:rPr>
      </w:pPr>
      <w:r>
        <w:rPr>
          <w:b/>
          <w:sz w:val="20"/>
          <w:szCs w:val="20"/>
        </w:rPr>
        <w:t>Safer Recruitment Consortium / Delegate Workbook 20</w:t>
      </w:r>
      <w:r w:rsidR="00F70E66">
        <w:rPr>
          <w:b/>
          <w:sz w:val="20"/>
          <w:szCs w:val="20"/>
        </w:rPr>
        <w:t>20</w:t>
      </w:r>
      <w:r>
        <w:rPr>
          <w:b/>
          <w:sz w:val="20"/>
          <w:szCs w:val="20"/>
        </w:rPr>
        <w:t>-2</w:t>
      </w:r>
      <w:r w:rsidR="00F70E66">
        <w:rPr>
          <w:b/>
          <w:sz w:val="20"/>
          <w:szCs w:val="20"/>
        </w:rPr>
        <w:t>1</w:t>
      </w:r>
      <w:r>
        <w:rPr>
          <w:b/>
          <w:sz w:val="20"/>
          <w:szCs w:val="20"/>
        </w:rPr>
        <w:t xml:space="preserve"> sets out guidance regarding applicants from overseas and confirms </w:t>
      </w:r>
      <w:r w:rsidR="00F70E66">
        <w:rPr>
          <w:b/>
          <w:sz w:val="20"/>
          <w:szCs w:val="20"/>
        </w:rPr>
        <w:t xml:space="preserve">the </w:t>
      </w:r>
      <w:r>
        <w:rPr>
          <w:b/>
          <w:sz w:val="20"/>
          <w:szCs w:val="20"/>
        </w:rPr>
        <w:t>guidance in ‘KCSIE’</w:t>
      </w:r>
    </w:p>
    <w:p w14:paraId="1E9E0998" w14:textId="77777777" w:rsidR="0016272F" w:rsidRDefault="0016272F" w:rsidP="0016272F">
      <w:pPr>
        <w:pStyle w:val="Default"/>
        <w:rPr>
          <w:b/>
          <w:sz w:val="20"/>
          <w:szCs w:val="20"/>
        </w:rPr>
      </w:pPr>
    </w:p>
    <w:p w14:paraId="45E25329" w14:textId="77777777" w:rsidR="0016272F" w:rsidRDefault="0016272F" w:rsidP="0016272F">
      <w:pPr>
        <w:shd w:val="clear" w:color="auto" w:fill="FFFFFF"/>
        <w:spacing w:after="0" w:line="240" w:lineRule="auto"/>
        <w:rPr>
          <w:rFonts w:ascii="Helvetica" w:eastAsia="Times New Roman" w:hAnsi="Helvetica" w:cs="Helvetica"/>
          <w:color w:val="26282A"/>
          <w:sz w:val="20"/>
          <w:szCs w:val="20"/>
          <w:lang w:eastAsia="en-GB"/>
        </w:rPr>
      </w:pPr>
      <w:r>
        <w:rPr>
          <w:rFonts w:ascii="Helvetica" w:eastAsia="Times New Roman" w:hAnsi="Helvetica" w:cs="Helvetica"/>
          <w:color w:val="26282A"/>
          <w:sz w:val="20"/>
          <w:szCs w:val="20"/>
          <w:lang w:eastAsia="en-GB"/>
        </w:rPr>
        <w:t xml:space="preserve">It is for schools to decide when to do overseas checks. </w:t>
      </w:r>
    </w:p>
    <w:p w14:paraId="169D164D" w14:textId="77777777" w:rsidR="0016272F" w:rsidRDefault="0016272F" w:rsidP="0016272F">
      <w:pPr>
        <w:shd w:val="clear" w:color="auto" w:fill="FFFFFF"/>
        <w:spacing w:after="0" w:line="240" w:lineRule="auto"/>
        <w:rPr>
          <w:rFonts w:ascii="Helvetica" w:eastAsia="Times New Roman" w:hAnsi="Helvetica" w:cs="Helvetica"/>
          <w:color w:val="26282A"/>
          <w:sz w:val="20"/>
          <w:szCs w:val="20"/>
          <w:lang w:eastAsia="en-GB"/>
        </w:rPr>
      </w:pPr>
    </w:p>
    <w:p w14:paraId="236D499D" w14:textId="77777777" w:rsidR="0016272F" w:rsidRDefault="0016272F" w:rsidP="0016272F">
      <w:pPr>
        <w:shd w:val="clear" w:color="auto" w:fill="FFFFFF"/>
        <w:spacing w:after="0" w:line="240" w:lineRule="auto"/>
        <w:rPr>
          <w:rFonts w:ascii="Helvetica" w:eastAsia="Times New Roman" w:hAnsi="Helvetica" w:cs="Helvetica"/>
          <w:color w:val="26282A"/>
          <w:sz w:val="20"/>
          <w:szCs w:val="20"/>
          <w:lang w:eastAsia="en-GB"/>
        </w:rPr>
      </w:pPr>
      <w:r>
        <w:rPr>
          <w:rFonts w:ascii="Helvetica" w:eastAsia="Times New Roman" w:hAnsi="Helvetica" w:cs="Helvetica"/>
          <w:color w:val="26282A"/>
          <w:sz w:val="20"/>
          <w:szCs w:val="20"/>
          <w:lang w:eastAsia="en-GB"/>
        </w:rPr>
        <w:t>Many independent schools (those inspected by ISI) go back 10 years because that was a recommendation from ISI following the Southbank International School inquiry.</w:t>
      </w:r>
    </w:p>
    <w:p w14:paraId="32ADC402" w14:textId="77777777" w:rsidR="0016272F" w:rsidRDefault="0016272F" w:rsidP="0016272F">
      <w:pPr>
        <w:shd w:val="clear" w:color="auto" w:fill="FFFFFF"/>
        <w:spacing w:after="0" w:line="240" w:lineRule="auto"/>
        <w:rPr>
          <w:rFonts w:ascii="Helvetica" w:eastAsia="Times New Roman" w:hAnsi="Helvetica" w:cs="Helvetica"/>
          <w:color w:val="26282A"/>
          <w:sz w:val="20"/>
          <w:szCs w:val="20"/>
          <w:lang w:eastAsia="en-GB"/>
        </w:rPr>
      </w:pPr>
    </w:p>
    <w:p w14:paraId="4F454E80" w14:textId="77777777" w:rsidR="0016272F" w:rsidRDefault="0016272F" w:rsidP="0016272F">
      <w:pPr>
        <w:shd w:val="clear" w:color="auto" w:fill="FFFFFF"/>
        <w:spacing w:after="0" w:line="240" w:lineRule="auto"/>
        <w:rPr>
          <w:rFonts w:ascii="Helvetica" w:eastAsia="Times New Roman" w:hAnsi="Helvetica" w:cs="Helvetica"/>
          <w:color w:val="26282A"/>
          <w:sz w:val="20"/>
          <w:szCs w:val="20"/>
          <w:lang w:eastAsia="en-GB"/>
        </w:rPr>
      </w:pPr>
      <w:r>
        <w:rPr>
          <w:rFonts w:ascii="Helvetica" w:eastAsia="Times New Roman" w:hAnsi="Helvetica" w:cs="Helvetica"/>
          <w:color w:val="26282A"/>
          <w:sz w:val="20"/>
          <w:szCs w:val="20"/>
          <w:lang w:eastAsia="en-GB"/>
        </w:rPr>
        <w:t>For other schools, the DfE and Ofsted express no view at all.</w:t>
      </w:r>
    </w:p>
    <w:p w14:paraId="30E1732C" w14:textId="77777777" w:rsidR="0016272F" w:rsidRDefault="0016272F" w:rsidP="0016272F">
      <w:pPr>
        <w:shd w:val="clear" w:color="auto" w:fill="FFFFFF"/>
        <w:spacing w:after="0" w:line="240" w:lineRule="auto"/>
        <w:rPr>
          <w:rFonts w:ascii="Helvetica" w:eastAsia="Times New Roman" w:hAnsi="Helvetica" w:cs="Helvetica"/>
          <w:color w:val="26282A"/>
          <w:sz w:val="20"/>
          <w:szCs w:val="20"/>
          <w:lang w:eastAsia="en-GB"/>
        </w:rPr>
      </w:pPr>
      <w:r>
        <w:rPr>
          <w:rFonts w:ascii="Helvetica" w:eastAsia="Times New Roman" w:hAnsi="Helvetica" w:cs="Helvetica"/>
          <w:color w:val="26282A"/>
          <w:sz w:val="20"/>
          <w:szCs w:val="20"/>
          <w:lang w:eastAsia="en-GB"/>
        </w:rPr>
        <w:t>(In the old guidance it was three years.)</w:t>
      </w:r>
    </w:p>
    <w:p w14:paraId="540C1D53" w14:textId="77777777" w:rsidR="0016272F" w:rsidRDefault="0016272F" w:rsidP="0016272F">
      <w:pPr>
        <w:shd w:val="clear" w:color="auto" w:fill="FFFFFF"/>
        <w:spacing w:after="0" w:line="240" w:lineRule="auto"/>
        <w:rPr>
          <w:rFonts w:ascii="Helvetica" w:eastAsia="Times New Roman" w:hAnsi="Helvetica" w:cs="Helvetica"/>
          <w:color w:val="26282A"/>
          <w:sz w:val="20"/>
          <w:szCs w:val="20"/>
          <w:lang w:eastAsia="en-GB"/>
        </w:rPr>
      </w:pPr>
    </w:p>
    <w:p w14:paraId="6FCDD7C9" w14:textId="77777777" w:rsidR="0016272F" w:rsidRDefault="0016272F" w:rsidP="0016272F">
      <w:pPr>
        <w:pStyle w:val="Default"/>
        <w:tabs>
          <w:tab w:val="left" w:pos="2580"/>
        </w:tabs>
        <w:rPr>
          <w:sz w:val="20"/>
          <w:szCs w:val="20"/>
        </w:rPr>
      </w:pPr>
      <w:r>
        <w:rPr>
          <w:sz w:val="20"/>
          <w:szCs w:val="20"/>
        </w:rPr>
        <w:t>Points to consider:</w:t>
      </w:r>
    </w:p>
    <w:p w14:paraId="46DC23AB" w14:textId="77777777" w:rsidR="0016272F" w:rsidRDefault="0016272F" w:rsidP="0016272F">
      <w:pPr>
        <w:pStyle w:val="Default"/>
        <w:tabs>
          <w:tab w:val="left" w:pos="2580"/>
        </w:tabs>
        <w:rPr>
          <w:sz w:val="20"/>
          <w:szCs w:val="20"/>
        </w:rPr>
      </w:pPr>
    </w:p>
    <w:p w14:paraId="06513576" w14:textId="77777777" w:rsidR="0016272F" w:rsidRDefault="0016272F" w:rsidP="0016272F">
      <w:pPr>
        <w:pStyle w:val="Default"/>
        <w:numPr>
          <w:ilvl w:val="0"/>
          <w:numId w:val="1"/>
        </w:numPr>
        <w:tabs>
          <w:tab w:val="left" w:pos="1860"/>
        </w:tabs>
        <w:rPr>
          <w:sz w:val="20"/>
          <w:szCs w:val="20"/>
        </w:rPr>
      </w:pPr>
      <w:r>
        <w:rPr>
          <w:sz w:val="20"/>
          <w:szCs w:val="20"/>
        </w:rPr>
        <w:t>Person arrived back from Spain 3 years ago and is currently employed in a school. KCSIE states that it should be assumed the current school has undertaken the relevant overseas checks – there is no need to repeat</w:t>
      </w:r>
    </w:p>
    <w:p w14:paraId="747C9747" w14:textId="77777777" w:rsidR="0016272F" w:rsidRDefault="0016272F" w:rsidP="0016272F">
      <w:pPr>
        <w:pStyle w:val="Default"/>
        <w:numPr>
          <w:ilvl w:val="0"/>
          <w:numId w:val="1"/>
        </w:numPr>
        <w:tabs>
          <w:tab w:val="left" w:pos="1860"/>
        </w:tabs>
        <w:rPr>
          <w:sz w:val="20"/>
          <w:szCs w:val="20"/>
        </w:rPr>
      </w:pPr>
      <w:r>
        <w:rPr>
          <w:sz w:val="20"/>
          <w:szCs w:val="20"/>
        </w:rPr>
        <w:t>If the person arrived from Spain and has been working in a non-education setting – overseas checks should be done</w:t>
      </w:r>
    </w:p>
    <w:p w14:paraId="6AC46D76" w14:textId="77777777" w:rsidR="0016272F" w:rsidRPr="001A194B" w:rsidRDefault="0016272F" w:rsidP="0016272F">
      <w:pPr>
        <w:pStyle w:val="Default"/>
        <w:numPr>
          <w:ilvl w:val="0"/>
          <w:numId w:val="1"/>
        </w:numPr>
        <w:tabs>
          <w:tab w:val="left" w:pos="1860"/>
        </w:tabs>
      </w:pPr>
      <w:r w:rsidRPr="001A194B">
        <w:rPr>
          <w:rFonts w:eastAsia="Times New Roman"/>
          <w:sz w:val="20"/>
          <w:szCs w:val="20"/>
          <w:lang w:eastAsia="en-GB"/>
        </w:rPr>
        <w:t>Person was a teacher in the UK , went to teach in America for a year and now coming back to UK</w:t>
      </w:r>
      <w:r>
        <w:rPr>
          <w:rFonts w:eastAsia="Times New Roman"/>
          <w:sz w:val="20"/>
          <w:szCs w:val="20"/>
          <w:lang w:eastAsia="en-GB"/>
        </w:rPr>
        <w:t xml:space="preserve"> </w:t>
      </w:r>
      <w:r w:rsidRPr="001A194B">
        <w:rPr>
          <w:rFonts w:eastAsia="Times New Roman"/>
          <w:sz w:val="20"/>
          <w:szCs w:val="20"/>
          <w:lang w:eastAsia="en-GB"/>
        </w:rPr>
        <w:t>- new school would take up police check from the USA and a reference from the American school</w:t>
      </w:r>
      <w:r>
        <w:rPr>
          <w:rFonts w:eastAsia="Times New Roman"/>
          <w:sz w:val="20"/>
          <w:szCs w:val="20"/>
          <w:lang w:eastAsia="en-GB"/>
        </w:rPr>
        <w:t xml:space="preserve"> plus the last UK school they were employed in.</w:t>
      </w:r>
    </w:p>
    <w:p w14:paraId="0CA82CA6" w14:textId="77777777" w:rsidR="0016272F" w:rsidRPr="001A194B" w:rsidRDefault="0016272F" w:rsidP="0016272F">
      <w:pPr>
        <w:pStyle w:val="Default"/>
        <w:tabs>
          <w:tab w:val="left" w:pos="2580"/>
        </w:tabs>
        <w:ind w:left="720"/>
        <w:rPr>
          <w:sz w:val="20"/>
          <w:szCs w:val="20"/>
        </w:rPr>
      </w:pPr>
      <w:r w:rsidRPr="001A194B">
        <w:rPr>
          <w:sz w:val="20"/>
          <w:szCs w:val="20"/>
        </w:rPr>
        <w:tab/>
      </w:r>
    </w:p>
    <w:p w14:paraId="2AC59B9F" w14:textId="77777777" w:rsidR="0016272F" w:rsidRPr="001A194B" w:rsidRDefault="0016272F" w:rsidP="0016272F">
      <w:pPr>
        <w:spacing w:after="0" w:line="240" w:lineRule="auto"/>
        <w:rPr>
          <w:rFonts w:ascii="Arial" w:eastAsia="Times New Roman" w:hAnsi="Arial" w:cs="Arial"/>
          <w:sz w:val="20"/>
          <w:szCs w:val="20"/>
          <w:lang w:eastAsia="en-GB"/>
        </w:rPr>
      </w:pPr>
      <w:r w:rsidRPr="001A194B">
        <w:rPr>
          <w:rFonts w:ascii="Arial" w:eastAsia="Times New Roman" w:hAnsi="Arial" w:cs="Arial"/>
          <w:sz w:val="20"/>
          <w:szCs w:val="20"/>
          <w:lang w:eastAsia="en-GB"/>
        </w:rPr>
        <w:t>Rather than an absolute rule it might be better for schools to adopt a policy of, for example "we undertake additional overseas checks where necessary; this would be determined on a case by case basis but would generally apply to anyone that has lived or worked overseas for more than 3 months in the last 5 years." or something similar. </w:t>
      </w:r>
    </w:p>
    <w:p w14:paraId="79EFE8E4" w14:textId="77777777" w:rsidR="0016272F" w:rsidRDefault="0016272F" w:rsidP="0016272F">
      <w:pPr>
        <w:spacing w:after="0" w:line="240" w:lineRule="auto"/>
        <w:rPr>
          <w:rFonts w:ascii="Times New Roman" w:eastAsia="Times New Roman" w:hAnsi="Times New Roman"/>
          <w:sz w:val="24"/>
          <w:szCs w:val="24"/>
          <w:lang w:eastAsia="en-GB"/>
        </w:rPr>
      </w:pPr>
    </w:p>
    <w:p w14:paraId="03C673A2" w14:textId="77777777" w:rsidR="0016272F" w:rsidRDefault="0016272F" w:rsidP="0016272F">
      <w:pPr>
        <w:shd w:val="clear" w:color="auto" w:fill="FFFFFF"/>
        <w:spacing w:after="0" w:line="240" w:lineRule="auto"/>
        <w:rPr>
          <w:rFonts w:ascii="Helvetica" w:eastAsia="Times New Roman" w:hAnsi="Helvetica" w:cs="Helvetica"/>
          <w:color w:val="26282A"/>
          <w:sz w:val="20"/>
          <w:szCs w:val="20"/>
          <w:lang w:eastAsia="en-GB"/>
        </w:rPr>
      </w:pPr>
      <w:r>
        <w:rPr>
          <w:rFonts w:ascii="Helvetica" w:eastAsia="Times New Roman" w:hAnsi="Helvetica" w:cs="Helvetica"/>
          <w:color w:val="26282A"/>
          <w:sz w:val="20"/>
          <w:szCs w:val="20"/>
          <w:lang w:eastAsia="en-GB"/>
        </w:rPr>
        <w:t>The crux of the discussion should be:</w:t>
      </w:r>
    </w:p>
    <w:p w14:paraId="6F4ECA9E" w14:textId="77777777" w:rsidR="0016272F" w:rsidRDefault="0016272F" w:rsidP="0016272F">
      <w:pPr>
        <w:pStyle w:val="ListParagraph"/>
        <w:numPr>
          <w:ilvl w:val="0"/>
          <w:numId w:val="2"/>
        </w:numPr>
        <w:shd w:val="clear" w:color="auto" w:fill="FFFFFF"/>
        <w:spacing w:after="0" w:line="240" w:lineRule="auto"/>
        <w:rPr>
          <w:rFonts w:ascii="Helvetica" w:eastAsia="Times New Roman" w:hAnsi="Helvetica" w:cs="Helvetica"/>
          <w:color w:val="26282A"/>
          <w:sz w:val="20"/>
          <w:szCs w:val="20"/>
          <w:lang w:eastAsia="en-GB"/>
        </w:rPr>
      </w:pPr>
      <w:r>
        <w:rPr>
          <w:rFonts w:ascii="Helvetica" w:eastAsia="Times New Roman" w:hAnsi="Helvetica" w:cs="Helvetica"/>
          <w:color w:val="26282A"/>
          <w:sz w:val="20"/>
          <w:szCs w:val="20"/>
          <w:lang w:eastAsia="en-GB"/>
        </w:rPr>
        <w:t xml:space="preserve">"has lived or worked" - suggests being settled in one place for </w:t>
      </w:r>
      <w:proofErr w:type="gramStart"/>
      <w:r>
        <w:rPr>
          <w:rFonts w:ascii="Helvetica" w:eastAsia="Times New Roman" w:hAnsi="Helvetica" w:cs="Helvetica"/>
          <w:color w:val="26282A"/>
          <w:sz w:val="20"/>
          <w:szCs w:val="20"/>
          <w:lang w:eastAsia="en-GB"/>
        </w:rPr>
        <w:t>a period of time</w:t>
      </w:r>
      <w:proofErr w:type="gramEnd"/>
      <w:r>
        <w:rPr>
          <w:rFonts w:ascii="Helvetica" w:eastAsia="Times New Roman" w:hAnsi="Helvetica" w:cs="Helvetica"/>
          <w:color w:val="26282A"/>
          <w:sz w:val="20"/>
          <w:szCs w:val="20"/>
          <w:lang w:eastAsia="en-GB"/>
        </w:rPr>
        <w:t xml:space="preserve"> so any policy would need to be time limited. For example, anyone that has lived or worked overseas for more than 3 months in the last 3 years, or 3 months in the last 10 years</w:t>
      </w:r>
    </w:p>
    <w:p w14:paraId="3CBFF527" w14:textId="77777777" w:rsidR="0016272F" w:rsidRDefault="0016272F" w:rsidP="0016272F">
      <w:pPr>
        <w:pStyle w:val="ListParagraph"/>
        <w:numPr>
          <w:ilvl w:val="0"/>
          <w:numId w:val="3"/>
        </w:numPr>
        <w:shd w:val="clear" w:color="auto" w:fill="FFFFFF"/>
        <w:spacing w:before="100" w:after="100" w:line="240" w:lineRule="auto"/>
        <w:rPr>
          <w:rFonts w:ascii="Helvetica" w:eastAsia="Times New Roman" w:hAnsi="Helvetica" w:cs="Helvetica"/>
          <w:color w:val="26282A"/>
          <w:sz w:val="20"/>
          <w:szCs w:val="20"/>
          <w:lang w:eastAsia="en-GB"/>
        </w:rPr>
      </w:pPr>
      <w:r>
        <w:rPr>
          <w:rFonts w:ascii="Helvetica" w:eastAsia="Times New Roman" w:hAnsi="Helvetica" w:cs="Helvetica"/>
          <w:color w:val="26282A"/>
          <w:sz w:val="20"/>
          <w:szCs w:val="20"/>
          <w:lang w:eastAsia="en-GB"/>
        </w:rPr>
        <w:t xml:space="preserve">Not expected that schools do multiple overseas checks on someone who travelled / backpacked through many countries but </w:t>
      </w:r>
      <w:proofErr w:type="gramStart"/>
      <w:r>
        <w:rPr>
          <w:rFonts w:ascii="Helvetica" w:eastAsia="Times New Roman" w:hAnsi="Helvetica" w:cs="Helvetica"/>
          <w:color w:val="26282A"/>
          <w:sz w:val="20"/>
          <w:szCs w:val="20"/>
          <w:lang w:eastAsia="en-GB"/>
        </w:rPr>
        <w:t>didn't</w:t>
      </w:r>
      <w:proofErr w:type="gramEnd"/>
      <w:r>
        <w:rPr>
          <w:rFonts w:ascii="Helvetica" w:eastAsia="Times New Roman" w:hAnsi="Helvetica" w:cs="Helvetica"/>
          <w:color w:val="26282A"/>
          <w:sz w:val="20"/>
          <w:szCs w:val="20"/>
          <w:lang w:eastAsia="en-GB"/>
        </w:rPr>
        <w:t xml:space="preserve"> settle to work in any one place for a significant period</w:t>
      </w:r>
    </w:p>
    <w:p w14:paraId="2B2CA66C" w14:textId="77777777" w:rsidR="0016272F" w:rsidRDefault="0016272F" w:rsidP="0016272F">
      <w:pPr>
        <w:numPr>
          <w:ilvl w:val="0"/>
          <w:numId w:val="3"/>
        </w:numPr>
        <w:shd w:val="clear" w:color="auto" w:fill="FFFFFF"/>
        <w:suppressAutoHyphens/>
        <w:autoSpaceDN w:val="0"/>
        <w:spacing w:before="100" w:after="100" w:line="240" w:lineRule="auto"/>
        <w:textAlignment w:val="baseline"/>
        <w:rPr>
          <w:rFonts w:ascii="Helvetica" w:eastAsia="Times New Roman" w:hAnsi="Helvetica" w:cs="Helvetica"/>
          <w:color w:val="26282A"/>
          <w:sz w:val="20"/>
          <w:szCs w:val="20"/>
          <w:lang w:eastAsia="en-GB"/>
        </w:rPr>
      </w:pPr>
      <w:r>
        <w:rPr>
          <w:rFonts w:ascii="Helvetica" w:eastAsia="Times New Roman" w:hAnsi="Helvetica" w:cs="Helvetica"/>
          <w:color w:val="26282A"/>
          <w:sz w:val="20"/>
          <w:szCs w:val="20"/>
          <w:lang w:eastAsia="en-GB"/>
        </w:rPr>
        <w:t>An inspector might want to know (if a school policy was 3 months in the last 5 years, for example) “why are you doing it for someone that arrived here 5 years ago, but not for someone who arrived 5 years 1 month ago?” It is about having a rationale for whatever policy you adopt</w:t>
      </w:r>
    </w:p>
    <w:p w14:paraId="6AF93B1F" w14:textId="4D06B2B8" w:rsidR="0016272F" w:rsidRDefault="0016272F" w:rsidP="0016272F">
      <w:pPr>
        <w:numPr>
          <w:ilvl w:val="0"/>
          <w:numId w:val="3"/>
        </w:numPr>
        <w:shd w:val="clear" w:color="auto" w:fill="FFFFFF"/>
        <w:suppressAutoHyphens/>
        <w:autoSpaceDN w:val="0"/>
        <w:spacing w:before="100" w:after="0" w:line="240" w:lineRule="auto"/>
        <w:textAlignment w:val="baseline"/>
        <w:rPr>
          <w:rFonts w:ascii="Helvetica" w:eastAsia="Times New Roman" w:hAnsi="Helvetica" w:cs="Helvetica"/>
          <w:color w:val="26282A"/>
          <w:sz w:val="20"/>
          <w:szCs w:val="20"/>
          <w:lang w:eastAsia="en-GB"/>
        </w:rPr>
      </w:pPr>
      <w:r>
        <w:rPr>
          <w:rFonts w:ascii="Helvetica" w:eastAsia="Times New Roman" w:hAnsi="Helvetica" w:cs="Helvetica"/>
          <w:color w:val="26282A"/>
          <w:sz w:val="20"/>
          <w:szCs w:val="20"/>
          <w:lang w:eastAsia="en-GB"/>
        </w:rPr>
        <w:t>Overseas checks might include references instead of / as well as police certificates.</w:t>
      </w:r>
    </w:p>
    <w:p w14:paraId="15030A3F" w14:textId="30ACDEB7" w:rsidR="0016272F" w:rsidRDefault="0016272F" w:rsidP="0016272F">
      <w:pPr>
        <w:shd w:val="clear" w:color="auto" w:fill="FFFFFF"/>
        <w:suppressAutoHyphens/>
        <w:autoSpaceDN w:val="0"/>
        <w:spacing w:before="100" w:after="0" w:line="240" w:lineRule="auto"/>
        <w:textAlignment w:val="baseline"/>
        <w:rPr>
          <w:rFonts w:ascii="Helvetica" w:eastAsia="Times New Roman" w:hAnsi="Helvetica" w:cs="Helvetica"/>
          <w:color w:val="26282A"/>
          <w:sz w:val="20"/>
          <w:szCs w:val="20"/>
          <w:lang w:eastAsia="en-GB"/>
        </w:rPr>
      </w:pPr>
    </w:p>
    <w:p w14:paraId="72E8E56C" w14:textId="77777777" w:rsidR="0016272F" w:rsidRDefault="0016272F" w:rsidP="0016272F">
      <w:pPr>
        <w:shd w:val="clear" w:color="auto" w:fill="FFFFFF"/>
        <w:suppressAutoHyphens/>
        <w:autoSpaceDN w:val="0"/>
        <w:spacing w:before="100" w:after="0" w:line="240" w:lineRule="auto"/>
        <w:textAlignment w:val="baseline"/>
        <w:rPr>
          <w:rFonts w:ascii="Helvetica" w:eastAsia="Times New Roman" w:hAnsi="Helvetica" w:cs="Helvetica"/>
          <w:color w:val="26282A"/>
          <w:sz w:val="20"/>
          <w:szCs w:val="20"/>
          <w:lang w:eastAsia="en-GB"/>
        </w:rPr>
      </w:pPr>
    </w:p>
    <w:p w14:paraId="765E15CF" w14:textId="3273495F" w:rsidR="0016272F" w:rsidRDefault="0016272F" w:rsidP="0016272F">
      <w:pPr>
        <w:shd w:val="clear" w:color="auto" w:fill="FFFFFF"/>
        <w:spacing w:after="0" w:line="240" w:lineRule="auto"/>
        <w:rPr>
          <w:rFonts w:ascii="Helvetica" w:eastAsia="Times New Roman" w:hAnsi="Helvetica" w:cs="Helvetica"/>
          <w:color w:val="26282A"/>
          <w:sz w:val="20"/>
          <w:szCs w:val="20"/>
          <w:lang w:eastAsia="en-GB"/>
        </w:rPr>
      </w:pPr>
      <w:proofErr w:type="gramStart"/>
      <w:r>
        <w:rPr>
          <w:rFonts w:ascii="Helvetica" w:eastAsia="Times New Roman" w:hAnsi="Helvetica" w:cs="Helvetica"/>
          <w:color w:val="26282A"/>
          <w:sz w:val="20"/>
          <w:szCs w:val="20"/>
          <w:lang w:eastAsia="en-GB"/>
        </w:rPr>
        <w:t>NB  Not</w:t>
      </w:r>
      <w:proofErr w:type="gramEnd"/>
      <w:r>
        <w:rPr>
          <w:rFonts w:ascii="Helvetica" w:eastAsia="Times New Roman" w:hAnsi="Helvetica" w:cs="Helvetica"/>
          <w:color w:val="26282A"/>
          <w:sz w:val="20"/>
          <w:szCs w:val="20"/>
          <w:lang w:eastAsia="en-GB"/>
        </w:rPr>
        <w:t xml:space="preserve"> to be confused with separate guidance for applicants being recruited from outside the EU to take up a teaching / SLT post or other tier 2 professions such as nursing. To get a visa from the Home Office, they must have an overseas police check if they have lived abroad for more than 12 months in the last 10 years. There is info on this on the Home Office website. </w:t>
      </w:r>
    </w:p>
    <w:p w14:paraId="4F0E9577" w14:textId="7D88D65C" w:rsidR="0016272F" w:rsidRDefault="0016272F" w:rsidP="0016272F">
      <w:pPr>
        <w:shd w:val="clear" w:color="auto" w:fill="FFFFFF"/>
        <w:spacing w:after="0" w:line="240" w:lineRule="auto"/>
        <w:rPr>
          <w:rFonts w:ascii="Helvetica" w:eastAsia="Times New Roman" w:hAnsi="Helvetica" w:cs="Helvetica"/>
          <w:color w:val="26282A"/>
          <w:sz w:val="20"/>
          <w:szCs w:val="20"/>
          <w:lang w:eastAsia="en-GB"/>
        </w:rPr>
      </w:pPr>
    </w:p>
    <w:p w14:paraId="0594895A" w14:textId="2E65F3F9" w:rsidR="0016272F" w:rsidRDefault="0016272F" w:rsidP="0016272F">
      <w:pPr>
        <w:shd w:val="clear" w:color="auto" w:fill="FFFFFF"/>
        <w:spacing w:after="0" w:line="240" w:lineRule="auto"/>
        <w:rPr>
          <w:rFonts w:ascii="Helvetica" w:eastAsia="Times New Roman" w:hAnsi="Helvetica" w:cs="Helvetica"/>
          <w:color w:val="26282A"/>
          <w:sz w:val="20"/>
          <w:szCs w:val="20"/>
          <w:lang w:eastAsia="en-GB"/>
        </w:rPr>
      </w:pPr>
    </w:p>
    <w:p w14:paraId="184D6CBA" w14:textId="6D50EA2B" w:rsidR="0016272F" w:rsidRDefault="0016272F" w:rsidP="0016272F">
      <w:pPr>
        <w:shd w:val="clear" w:color="auto" w:fill="FFFFFF"/>
        <w:spacing w:after="0" w:line="240" w:lineRule="auto"/>
        <w:rPr>
          <w:rFonts w:ascii="Helvetica" w:eastAsia="Times New Roman" w:hAnsi="Helvetica" w:cs="Helvetica"/>
          <w:color w:val="26282A"/>
          <w:sz w:val="20"/>
          <w:szCs w:val="20"/>
          <w:lang w:eastAsia="en-GB"/>
        </w:rPr>
      </w:pPr>
    </w:p>
    <w:p w14:paraId="54346237" w14:textId="6997730E" w:rsidR="0016272F" w:rsidRDefault="0016272F" w:rsidP="0016272F">
      <w:pPr>
        <w:shd w:val="clear" w:color="auto" w:fill="FFFFFF"/>
        <w:spacing w:after="0" w:line="240" w:lineRule="auto"/>
      </w:pPr>
      <w:r>
        <w:rPr>
          <w:noProof/>
        </w:rPr>
        <w:lastRenderedPageBreak/>
        <w:drawing>
          <wp:inline distT="0" distB="0" distL="0" distR="0" wp14:anchorId="7FAF6ABE" wp14:editId="1AFE9DF2">
            <wp:extent cx="6515100" cy="8984443"/>
            <wp:effectExtent l="0" t="0" r="0" b="7620"/>
            <wp:docPr id="8" name="Picture 8"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AC68B5.tmp"/>
                    <pic:cNvPicPr/>
                  </pic:nvPicPr>
                  <pic:blipFill>
                    <a:blip r:embed="rId9">
                      <a:extLst>
                        <a:ext uri="{28A0092B-C50C-407E-A947-70E740481C1C}">
                          <a14:useLocalDpi xmlns:a14="http://schemas.microsoft.com/office/drawing/2010/main" val="0"/>
                        </a:ext>
                      </a:extLst>
                    </a:blip>
                    <a:stretch>
                      <a:fillRect/>
                    </a:stretch>
                  </pic:blipFill>
                  <pic:spPr>
                    <a:xfrm>
                      <a:off x="0" y="0"/>
                      <a:ext cx="6521680" cy="8993516"/>
                    </a:xfrm>
                    <a:prstGeom prst="rect">
                      <a:avLst/>
                    </a:prstGeom>
                  </pic:spPr>
                </pic:pic>
              </a:graphicData>
            </a:graphic>
          </wp:inline>
        </w:drawing>
      </w:r>
    </w:p>
    <w:p w14:paraId="7225C05E" w14:textId="2D51BFA6" w:rsidR="00E71769" w:rsidRDefault="00E71769" w:rsidP="0016272F">
      <w:pPr>
        <w:shd w:val="clear" w:color="auto" w:fill="FFFFFF"/>
        <w:spacing w:after="0" w:line="240" w:lineRule="auto"/>
      </w:pPr>
    </w:p>
    <w:p w14:paraId="3432138E" w14:textId="77777777" w:rsidR="00E71769" w:rsidRDefault="00E71769" w:rsidP="0016272F">
      <w:pPr>
        <w:shd w:val="clear" w:color="auto" w:fill="FFFFFF"/>
        <w:spacing w:after="0" w:line="240" w:lineRule="auto"/>
      </w:pPr>
    </w:p>
    <w:p w14:paraId="1327A28D" w14:textId="22FB9226" w:rsidR="0016272F" w:rsidRDefault="0016272F" w:rsidP="0016272F">
      <w:pPr>
        <w:shd w:val="clear" w:color="auto" w:fill="FFFFFF"/>
        <w:spacing w:after="0" w:line="240" w:lineRule="auto"/>
      </w:pPr>
    </w:p>
    <w:p w14:paraId="282285E9" w14:textId="4F7807C5" w:rsidR="0016272F" w:rsidRDefault="0016272F" w:rsidP="0016272F">
      <w:pPr>
        <w:shd w:val="clear" w:color="auto" w:fill="FFFFFF"/>
        <w:spacing w:after="0" w:line="240" w:lineRule="auto"/>
      </w:pPr>
    </w:p>
    <w:p w14:paraId="4ACEFF63" w14:textId="0228453F" w:rsidR="0016272F" w:rsidRDefault="0016272F" w:rsidP="0016272F">
      <w:pPr>
        <w:shd w:val="clear" w:color="auto" w:fill="FFFFFF"/>
        <w:spacing w:after="0" w:line="240" w:lineRule="auto"/>
      </w:pPr>
    </w:p>
    <w:p w14:paraId="5DF531EA" w14:textId="42346A9C" w:rsidR="0016272F" w:rsidRDefault="0016272F" w:rsidP="0016272F">
      <w:pPr>
        <w:shd w:val="clear" w:color="auto" w:fill="FFFFFF"/>
        <w:spacing w:after="0" w:line="240" w:lineRule="auto"/>
      </w:pPr>
    </w:p>
    <w:p w14:paraId="6FEAB2EB" w14:textId="19DECFD1" w:rsidR="00F70E66" w:rsidRDefault="00F70E66" w:rsidP="0016272F">
      <w:pPr>
        <w:shd w:val="clear" w:color="auto" w:fill="FFFFFF"/>
        <w:spacing w:after="0" w:line="240" w:lineRule="auto"/>
      </w:pPr>
    </w:p>
    <w:p w14:paraId="13D754E1" w14:textId="46DFE7F2" w:rsidR="00F70E66" w:rsidRDefault="00F70E66" w:rsidP="0016272F">
      <w:pPr>
        <w:shd w:val="clear" w:color="auto" w:fill="FFFFFF"/>
        <w:spacing w:after="0" w:line="240" w:lineRule="auto"/>
      </w:pPr>
    </w:p>
    <w:p w14:paraId="16D20F33" w14:textId="77777777" w:rsidR="00F70E66" w:rsidRDefault="00F70E66" w:rsidP="0016272F">
      <w:pPr>
        <w:shd w:val="clear" w:color="auto" w:fill="FFFFFF"/>
        <w:spacing w:after="0" w:line="240" w:lineRule="auto"/>
      </w:pPr>
    </w:p>
    <w:p w14:paraId="28791162" w14:textId="77777777" w:rsidR="00F70E66" w:rsidRPr="001E6B26" w:rsidRDefault="00F70E66" w:rsidP="00F70E66">
      <w:pPr>
        <w:pStyle w:val="Title"/>
        <w:shd w:val="clear" w:color="auto" w:fill="B4C6E7" w:themeFill="accent1" w:themeFillTint="66"/>
        <w:jc w:val="center"/>
        <w:rPr>
          <w:b/>
          <w:sz w:val="44"/>
          <w:szCs w:val="44"/>
        </w:rPr>
      </w:pPr>
      <w:r>
        <w:rPr>
          <w:b/>
          <w:sz w:val="44"/>
          <w:szCs w:val="44"/>
        </w:rPr>
        <w:t>Annual s</w:t>
      </w:r>
      <w:r w:rsidRPr="001E6B26">
        <w:rPr>
          <w:b/>
          <w:sz w:val="44"/>
          <w:szCs w:val="44"/>
        </w:rPr>
        <w:t xml:space="preserve">taff </w:t>
      </w:r>
      <w:r>
        <w:rPr>
          <w:b/>
          <w:sz w:val="44"/>
          <w:szCs w:val="44"/>
        </w:rPr>
        <w:t>d</w:t>
      </w:r>
      <w:r w:rsidRPr="001E6B26">
        <w:rPr>
          <w:b/>
          <w:sz w:val="44"/>
          <w:szCs w:val="44"/>
        </w:rPr>
        <w:t>eclaration</w:t>
      </w:r>
      <w:r>
        <w:rPr>
          <w:b/>
          <w:sz w:val="44"/>
          <w:szCs w:val="44"/>
        </w:rPr>
        <w:t xml:space="preserve"> of suitability</w:t>
      </w:r>
    </w:p>
    <w:p w14:paraId="479CB3F8" w14:textId="77777777" w:rsidR="00F70E66" w:rsidRDefault="00F70E66" w:rsidP="00F70E66">
      <w:r>
        <w:t xml:space="preserve"> </w:t>
      </w:r>
    </w:p>
    <w:p w14:paraId="61B102FD" w14:textId="77777777" w:rsidR="00F70E66" w:rsidRDefault="00F70E66" w:rsidP="00F70E66">
      <w:pPr>
        <w:jc w:val="both"/>
      </w:pPr>
      <w:r>
        <w:t xml:space="preserve"> </w:t>
      </w:r>
    </w:p>
    <w:p w14:paraId="5ECC9234" w14:textId="77777777" w:rsidR="00F70E66" w:rsidRDefault="00F70E66" w:rsidP="00F70E66">
      <w:pPr>
        <w:jc w:val="both"/>
      </w:pPr>
      <w:r>
        <w:t xml:space="preserve">As part of our duty to safeguard and promote the welfare of children and young people and to ensure that staff are suitable to work with vulnerable groups , it is necessary for all staff to complete this declaration of suitability in addition to the declaration you made on your original application form relating to convictions, cautions or pending court cases. </w:t>
      </w:r>
    </w:p>
    <w:p w14:paraId="6911BD1D" w14:textId="77777777" w:rsidR="00F70E66" w:rsidRPr="00416EF4" w:rsidRDefault="00F70E66" w:rsidP="00F70E66">
      <w:pPr>
        <w:jc w:val="both"/>
        <w:rPr>
          <w:b/>
        </w:rPr>
      </w:pPr>
      <w:r w:rsidRPr="00416EF4">
        <w:rPr>
          <w:b/>
        </w:rPr>
        <w:t>Please complete all sections of the form below, s</w:t>
      </w:r>
      <w:r>
        <w:rPr>
          <w:b/>
        </w:rPr>
        <w:t>ign it and return it to the</w:t>
      </w:r>
      <w:r w:rsidRPr="00416EF4">
        <w:rPr>
          <w:b/>
        </w:rPr>
        <w:t xml:space="preserve"> HR department. </w:t>
      </w:r>
    </w:p>
    <w:p w14:paraId="6890F4C6" w14:textId="77777777" w:rsidR="00F70E66" w:rsidRDefault="00F70E66" w:rsidP="00F70E66">
      <w:pPr>
        <w:jc w:val="both"/>
      </w:pPr>
      <w:r>
        <w:t xml:space="preserve"> If you are unsure </w:t>
      </w:r>
      <w:proofErr w:type="gramStart"/>
      <w:r>
        <w:t>whether or not</w:t>
      </w:r>
      <w:proofErr w:type="gramEnd"/>
      <w:r>
        <w:t xml:space="preserve"> to disclose a piece of information, please speak to the Principal / HT / HR in confidence to gain more information or look at the relevant legislation </w:t>
      </w:r>
    </w:p>
    <w:tbl>
      <w:tblPr>
        <w:tblStyle w:val="TableGrid"/>
        <w:tblW w:w="10201" w:type="dxa"/>
        <w:tblLook w:val="04A0" w:firstRow="1" w:lastRow="0" w:firstColumn="1" w:lastColumn="0" w:noHBand="0" w:noVBand="1"/>
      </w:tblPr>
      <w:tblGrid>
        <w:gridCol w:w="5239"/>
        <w:gridCol w:w="3119"/>
        <w:gridCol w:w="1843"/>
      </w:tblGrid>
      <w:tr w:rsidR="00F70E66" w14:paraId="29D83A3D" w14:textId="77777777" w:rsidTr="00EC1AF0">
        <w:tc>
          <w:tcPr>
            <w:tcW w:w="5239" w:type="dxa"/>
          </w:tcPr>
          <w:p w14:paraId="1C0B37B5" w14:textId="77777777" w:rsidR="00F70E66" w:rsidRPr="005F37F2" w:rsidRDefault="00F70E66" w:rsidP="00EC1AF0">
            <w:pPr>
              <w:rPr>
                <w:b/>
                <w:sz w:val="24"/>
                <w:szCs w:val="24"/>
              </w:rPr>
            </w:pPr>
            <w:r w:rsidRPr="005F37F2">
              <w:rPr>
                <w:b/>
              </w:rPr>
              <w:t xml:space="preserve"> </w:t>
            </w:r>
            <w:r w:rsidRPr="005F37F2">
              <w:rPr>
                <w:b/>
                <w:sz w:val="24"/>
                <w:szCs w:val="24"/>
              </w:rPr>
              <w:t>NAME:</w:t>
            </w:r>
          </w:p>
          <w:p w14:paraId="7564E42E" w14:textId="77777777" w:rsidR="00F70E66" w:rsidRPr="005F37F2" w:rsidRDefault="00F70E66" w:rsidP="00EC1AF0">
            <w:pPr>
              <w:rPr>
                <w:b/>
              </w:rPr>
            </w:pPr>
          </w:p>
        </w:tc>
        <w:tc>
          <w:tcPr>
            <w:tcW w:w="4962" w:type="dxa"/>
            <w:gridSpan w:val="2"/>
          </w:tcPr>
          <w:p w14:paraId="3A92B937" w14:textId="77777777" w:rsidR="00F70E66" w:rsidRPr="005F37F2" w:rsidRDefault="00F70E66" w:rsidP="00EC1AF0">
            <w:pPr>
              <w:rPr>
                <w:b/>
              </w:rPr>
            </w:pPr>
            <w:r w:rsidRPr="005F37F2">
              <w:rPr>
                <w:b/>
              </w:rPr>
              <w:t>ROLE:</w:t>
            </w:r>
          </w:p>
        </w:tc>
      </w:tr>
      <w:tr w:rsidR="00F70E66" w14:paraId="77D752DE" w14:textId="77777777" w:rsidTr="00EC1AF0">
        <w:tc>
          <w:tcPr>
            <w:tcW w:w="10201" w:type="dxa"/>
            <w:gridSpan w:val="3"/>
          </w:tcPr>
          <w:p w14:paraId="673F0608" w14:textId="77777777" w:rsidR="00F70E66" w:rsidRPr="00C41F66" w:rsidRDefault="00F70E66" w:rsidP="00EC1AF0">
            <w:r w:rsidRPr="00C41F66">
              <w:t>Please circle one option for each question</w:t>
            </w:r>
          </w:p>
        </w:tc>
      </w:tr>
      <w:tr w:rsidR="00F70E66" w14:paraId="5C33C3B4" w14:textId="77777777" w:rsidTr="00EC1AF0">
        <w:tc>
          <w:tcPr>
            <w:tcW w:w="8358" w:type="dxa"/>
            <w:gridSpan w:val="2"/>
          </w:tcPr>
          <w:p w14:paraId="1A93196B" w14:textId="77777777" w:rsidR="00F70E66" w:rsidRDefault="00F70E66" w:rsidP="00EC1AF0">
            <w:r>
              <w:t>In the last 12 months, have</w:t>
            </w:r>
            <w:r w:rsidRPr="00C41F66">
              <w:t xml:space="preserve"> </w:t>
            </w:r>
            <w:r>
              <w:t xml:space="preserve">you </w:t>
            </w:r>
            <w:r w:rsidRPr="00C41F66">
              <w:t xml:space="preserve">been cautioned, reprimanded, given a warning </w:t>
            </w:r>
            <w:proofErr w:type="gramStart"/>
            <w:r w:rsidRPr="00C41F66">
              <w:t>for</w:t>
            </w:r>
            <w:proofErr w:type="gramEnd"/>
            <w:r w:rsidRPr="00C41F66">
              <w:t xml:space="preserve"> or convicted of any offence</w:t>
            </w:r>
            <w:r>
              <w:t>?</w:t>
            </w:r>
            <w:r w:rsidRPr="00C41F66">
              <w:t xml:space="preserve"> </w:t>
            </w:r>
          </w:p>
          <w:p w14:paraId="1842E0A3" w14:textId="77777777" w:rsidR="00F70E66" w:rsidRDefault="00F70E66" w:rsidP="00EC1AF0"/>
        </w:tc>
        <w:tc>
          <w:tcPr>
            <w:tcW w:w="1843" w:type="dxa"/>
          </w:tcPr>
          <w:p w14:paraId="58B07A9F" w14:textId="77777777" w:rsidR="00F70E66" w:rsidRDefault="00F70E66" w:rsidP="00EC1AF0">
            <w:pPr>
              <w:jc w:val="center"/>
            </w:pPr>
          </w:p>
          <w:p w14:paraId="055D0274" w14:textId="77777777" w:rsidR="00F70E66" w:rsidRDefault="00F70E66" w:rsidP="00EC1AF0">
            <w:pPr>
              <w:jc w:val="center"/>
            </w:pPr>
            <w:r w:rsidRPr="004B6519">
              <w:t>Yes / No</w:t>
            </w:r>
          </w:p>
        </w:tc>
      </w:tr>
      <w:tr w:rsidR="00F70E66" w14:paraId="34039D18" w14:textId="77777777" w:rsidTr="00EC1AF0">
        <w:tc>
          <w:tcPr>
            <w:tcW w:w="8358" w:type="dxa"/>
            <w:gridSpan w:val="2"/>
          </w:tcPr>
          <w:p w14:paraId="48E7A6A2" w14:textId="77777777" w:rsidR="00F70E66" w:rsidRDefault="00F70E66" w:rsidP="00EC1AF0">
            <w:r>
              <w:t xml:space="preserve"> In the last 12 months, h</w:t>
            </w:r>
            <w:r w:rsidRPr="00C41F66">
              <w:t xml:space="preserve">ave you been cautioned, reprimanded, given a warning </w:t>
            </w:r>
            <w:proofErr w:type="gramStart"/>
            <w:r w:rsidRPr="00C41F66">
              <w:t>for</w:t>
            </w:r>
            <w:proofErr w:type="gramEnd"/>
            <w:r w:rsidRPr="00C41F66">
              <w:t xml:space="preserve"> or convicted of any offences in another country?</w:t>
            </w:r>
          </w:p>
          <w:p w14:paraId="79F0714F" w14:textId="77777777" w:rsidR="00F70E66" w:rsidRDefault="00F70E66" w:rsidP="00EC1AF0"/>
        </w:tc>
        <w:tc>
          <w:tcPr>
            <w:tcW w:w="1843" w:type="dxa"/>
          </w:tcPr>
          <w:p w14:paraId="1837E973" w14:textId="77777777" w:rsidR="00F70E66" w:rsidRDefault="00F70E66" w:rsidP="00EC1AF0">
            <w:pPr>
              <w:jc w:val="center"/>
            </w:pPr>
            <w:r w:rsidRPr="004B6519">
              <w:t>Yes / No</w:t>
            </w:r>
          </w:p>
        </w:tc>
      </w:tr>
      <w:tr w:rsidR="00F70E66" w14:paraId="56A9C44E" w14:textId="77777777" w:rsidTr="00EC1AF0">
        <w:tc>
          <w:tcPr>
            <w:tcW w:w="8358" w:type="dxa"/>
            <w:gridSpan w:val="2"/>
          </w:tcPr>
          <w:p w14:paraId="09AE8407" w14:textId="77777777" w:rsidR="00F70E66" w:rsidRPr="00C41F66" w:rsidRDefault="00F70E66" w:rsidP="00EC1AF0">
            <w:r>
              <w:t xml:space="preserve">In the last 12 months, has there been any other change </w:t>
            </w:r>
            <w:proofErr w:type="gramStart"/>
            <w:r>
              <w:t xml:space="preserve">in </w:t>
            </w:r>
            <w:r w:rsidRPr="00C41F66">
              <w:t xml:space="preserve"> you</w:t>
            </w:r>
            <w:r>
              <w:t>r</w:t>
            </w:r>
            <w:proofErr w:type="gramEnd"/>
            <w:r>
              <w:t xml:space="preserve"> personal circumstances that may affect your suitability to work with children or adults at risk?</w:t>
            </w:r>
          </w:p>
          <w:p w14:paraId="070BC003" w14:textId="77777777" w:rsidR="00F70E66" w:rsidRPr="00C41F66" w:rsidRDefault="00F70E66" w:rsidP="00EC1AF0"/>
        </w:tc>
        <w:tc>
          <w:tcPr>
            <w:tcW w:w="1843" w:type="dxa"/>
          </w:tcPr>
          <w:p w14:paraId="68D1E0CB" w14:textId="77777777" w:rsidR="00F70E66" w:rsidRDefault="00F70E66" w:rsidP="00EC1AF0">
            <w:pPr>
              <w:jc w:val="center"/>
            </w:pPr>
            <w:r w:rsidRPr="00121619">
              <w:t>Yes / No</w:t>
            </w:r>
          </w:p>
        </w:tc>
      </w:tr>
      <w:tr w:rsidR="00F70E66" w14:paraId="5BB51AAA" w14:textId="77777777" w:rsidTr="00EC1AF0">
        <w:tc>
          <w:tcPr>
            <w:tcW w:w="10201" w:type="dxa"/>
            <w:gridSpan w:val="3"/>
            <w:shd w:val="clear" w:color="auto" w:fill="B4C6E7" w:themeFill="accent1" w:themeFillTint="66"/>
          </w:tcPr>
          <w:p w14:paraId="49DCC824" w14:textId="77777777" w:rsidR="00F70E66" w:rsidRDefault="00F70E66" w:rsidP="00EC1AF0">
            <w:pPr>
              <w:rPr>
                <w:b/>
              </w:rPr>
            </w:pPr>
            <w:r w:rsidRPr="00C41F66">
              <w:rPr>
                <w:b/>
              </w:rPr>
              <w:t xml:space="preserve"> </w:t>
            </w:r>
          </w:p>
          <w:p w14:paraId="35F6E4D2" w14:textId="77777777" w:rsidR="00F70E66" w:rsidRDefault="00F70E66" w:rsidP="00EC1AF0">
            <w:pPr>
              <w:jc w:val="center"/>
            </w:pPr>
          </w:p>
        </w:tc>
      </w:tr>
      <w:tr w:rsidR="00F70E66" w14:paraId="43BF9083" w14:textId="77777777" w:rsidTr="00EC1AF0">
        <w:tc>
          <w:tcPr>
            <w:tcW w:w="10201" w:type="dxa"/>
            <w:gridSpan w:val="3"/>
          </w:tcPr>
          <w:p w14:paraId="4DCCC572" w14:textId="77777777" w:rsidR="00F70E66" w:rsidRDefault="00F70E66" w:rsidP="00EC1AF0">
            <w:r w:rsidRPr="005F37F2">
              <w:t>If you have answered</w:t>
            </w:r>
            <w:r w:rsidRPr="005F37F2">
              <w:rPr>
                <w:b/>
              </w:rPr>
              <w:t xml:space="preserve"> YES</w:t>
            </w:r>
            <w:r w:rsidRPr="005F37F2">
              <w:t xml:space="preserve"> to any of the above, please provide details </w:t>
            </w:r>
            <w:r>
              <w:t>below</w:t>
            </w:r>
            <w:r w:rsidRPr="005F37F2">
              <w:t xml:space="preserve">. If you wish to provide this information separately and in </w:t>
            </w:r>
            <w:proofErr w:type="gramStart"/>
            <w:r w:rsidRPr="005F37F2">
              <w:t>confidence</w:t>
            </w:r>
            <w:proofErr w:type="gramEnd"/>
            <w:r w:rsidRPr="005F37F2">
              <w:t xml:space="preserve"> then plea</w:t>
            </w:r>
            <w:r>
              <w:t>se arrange to meet with the Principal.</w:t>
            </w:r>
          </w:p>
        </w:tc>
      </w:tr>
      <w:tr w:rsidR="00F70E66" w14:paraId="43B223E1" w14:textId="77777777" w:rsidTr="00EC1AF0">
        <w:tc>
          <w:tcPr>
            <w:tcW w:w="5239" w:type="dxa"/>
          </w:tcPr>
          <w:p w14:paraId="2717D339" w14:textId="77777777" w:rsidR="00F70E66" w:rsidRPr="00426C9F" w:rsidRDefault="00F70E66" w:rsidP="00EC1AF0">
            <w:pPr>
              <w:rPr>
                <w:b/>
                <w:bCs/>
              </w:rPr>
            </w:pPr>
          </w:p>
          <w:p w14:paraId="580EFF2F" w14:textId="77777777" w:rsidR="00F70E66" w:rsidRPr="00426C9F" w:rsidRDefault="00F70E66" w:rsidP="00EC1AF0">
            <w:pPr>
              <w:rPr>
                <w:b/>
                <w:bCs/>
              </w:rPr>
            </w:pPr>
            <w:r w:rsidRPr="00426C9F">
              <w:rPr>
                <w:b/>
                <w:bCs/>
              </w:rPr>
              <w:t>Details of the order, restriction, conviction, caution</w:t>
            </w:r>
          </w:p>
        </w:tc>
        <w:tc>
          <w:tcPr>
            <w:tcW w:w="4962" w:type="dxa"/>
            <w:gridSpan w:val="2"/>
          </w:tcPr>
          <w:p w14:paraId="526080DF" w14:textId="77777777" w:rsidR="00F70E66" w:rsidRPr="00426C9F" w:rsidRDefault="00F70E66" w:rsidP="00EC1AF0">
            <w:pPr>
              <w:rPr>
                <w:b/>
                <w:bCs/>
              </w:rPr>
            </w:pPr>
          </w:p>
          <w:p w14:paraId="5B3CB9D6" w14:textId="77777777" w:rsidR="00F70E66" w:rsidRPr="00426C9F" w:rsidRDefault="00F70E66" w:rsidP="00EC1AF0">
            <w:pPr>
              <w:rPr>
                <w:b/>
                <w:bCs/>
              </w:rPr>
            </w:pPr>
            <w:r w:rsidRPr="00426C9F">
              <w:rPr>
                <w:b/>
                <w:bCs/>
              </w:rPr>
              <w:t>Details of the relevant Court /Body</w:t>
            </w:r>
          </w:p>
        </w:tc>
      </w:tr>
      <w:tr w:rsidR="00F70E66" w14:paraId="08A1DF95" w14:textId="77777777" w:rsidTr="00EC1AF0">
        <w:tc>
          <w:tcPr>
            <w:tcW w:w="5239" w:type="dxa"/>
          </w:tcPr>
          <w:p w14:paraId="2417401D" w14:textId="77777777" w:rsidR="00F70E66" w:rsidRDefault="00F70E66" w:rsidP="00EC1AF0"/>
          <w:p w14:paraId="2B03560E" w14:textId="77777777" w:rsidR="00F70E66" w:rsidRPr="005F37F2" w:rsidRDefault="00F70E66" w:rsidP="00EC1AF0"/>
        </w:tc>
        <w:tc>
          <w:tcPr>
            <w:tcW w:w="4962" w:type="dxa"/>
            <w:gridSpan w:val="2"/>
          </w:tcPr>
          <w:p w14:paraId="3A090F6F" w14:textId="77777777" w:rsidR="00F70E66" w:rsidRPr="005F37F2" w:rsidRDefault="00F70E66" w:rsidP="00EC1AF0"/>
        </w:tc>
      </w:tr>
      <w:tr w:rsidR="00F70E66" w14:paraId="5B53793C" w14:textId="77777777" w:rsidTr="00EC1AF0">
        <w:tc>
          <w:tcPr>
            <w:tcW w:w="5239" w:type="dxa"/>
          </w:tcPr>
          <w:p w14:paraId="450B0AD4" w14:textId="77777777" w:rsidR="00F70E66" w:rsidRDefault="00F70E66" w:rsidP="00EC1AF0"/>
          <w:p w14:paraId="53AB4D97" w14:textId="77777777" w:rsidR="00F70E66" w:rsidRPr="005F37F2" w:rsidRDefault="00F70E66" w:rsidP="00EC1AF0"/>
        </w:tc>
        <w:tc>
          <w:tcPr>
            <w:tcW w:w="4962" w:type="dxa"/>
            <w:gridSpan w:val="2"/>
          </w:tcPr>
          <w:p w14:paraId="6DCC8D3E" w14:textId="77777777" w:rsidR="00F70E66" w:rsidRPr="005F37F2" w:rsidRDefault="00F70E66" w:rsidP="00EC1AF0"/>
        </w:tc>
      </w:tr>
      <w:tr w:rsidR="00F70E66" w14:paraId="71193817" w14:textId="77777777" w:rsidTr="00EC1AF0">
        <w:tc>
          <w:tcPr>
            <w:tcW w:w="5239" w:type="dxa"/>
          </w:tcPr>
          <w:p w14:paraId="2C5EDA6D" w14:textId="77777777" w:rsidR="00F70E66" w:rsidRDefault="00F70E66" w:rsidP="00EC1AF0"/>
          <w:p w14:paraId="4DEE4317" w14:textId="77777777" w:rsidR="00F70E66" w:rsidRPr="005F37F2" w:rsidRDefault="00F70E66" w:rsidP="00EC1AF0"/>
        </w:tc>
        <w:tc>
          <w:tcPr>
            <w:tcW w:w="4962" w:type="dxa"/>
            <w:gridSpan w:val="2"/>
          </w:tcPr>
          <w:p w14:paraId="4890ABBC" w14:textId="77777777" w:rsidR="00F70E66" w:rsidRPr="005F37F2" w:rsidRDefault="00F70E66" w:rsidP="00EC1AF0"/>
        </w:tc>
      </w:tr>
      <w:tr w:rsidR="00F70E66" w14:paraId="0CEAD765" w14:textId="77777777" w:rsidTr="00EC1AF0">
        <w:tc>
          <w:tcPr>
            <w:tcW w:w="5239" w:type="dxa"/>
          </w:tcPr>
          <w:p w14:paraId="6F89C0AA" w14:textId="77777777" w:rsidR="00F70E66" w:rsidRDefault="00F70E66" w:rsidP="00EC1AF0"/>
          <w:p w14:paraId="12B132C5" w14:textId="77777777" w:rsidR="00F70E66" w:rsidRPr="005F37F2" w:rsidRDefault="00F70E66" w:rsidP="00EC1AF0"/>
        </w:tc>
        <w:tc>
          <w:tcPr>
            <w:tcW w:w="4962" w:type="dxa"/>
            <w:gridSpan w:val="2"/>
          </w:tcPr>
          <w:p w14:paraId="32F57088" w14:textId="77777777" w:rsidR="00F70E66" w:rsidRPr="005F37F2" w:rsidRDefault="00F70E66" w:rsidP="00EC1AF0"/>
        </w:tc>
      </w:tr>
      <w:tr w:rsidR="00F70E66" w14:paraId="02122751" w14:textId="77777777" w:rsidTr="00EC1AF0">
        <w:tc>
          <w:tcPr>
            <w:tcW w:w="10201" w:type="dxa"/>
            <w:gridSpan w:val="3"/>
          </w:tcPr>
          <w:p w14:paraId="2855E3D5" w14:textId="77777777" w:rsidR="00F70E66" w:rsidRPr="005F37F2" w:rsidRDefault="00F70E66" w:rsidP="00EC1AF0">
            <w:r w:rsidRPr="005F37F2">
              <w:t>Please provide a copy of the relevant order (s), caution(s), conviction(s) etc</w:t>
            </w:r>
          </w:p>
        </w:tc>
      </w:tr>
      <w:tr w:rsidR="00F70E66" w14:paraId="4990D720" w14:textId="77777777" w:rsidTr="00EC1AF0">
        <w:tc>
          <w:tcPr>
            <w:tcW w:w="10201" w:type="dxa"/>
            <w:gridSpan w:val="3"/>
            <w:shd w:val="clear" w:color="auto" w:fill="B4C6E7" w:themeFill="accent1" w:themeFillTint="66"/>
          </w:tcPr>
          <w:p w14:paraId="0D7B061A" w14:textId="77777777" w:rsidR="00F70E66" w:rsidRDefault="00F70E66" w:rsidP="00EC1AF0">
            <w:pPr>
              <w:rPr>
                <w:b/>
              </w:rPr>
            </w:pPr>
            <w:r>
              <w:rPr>
                <w:b/>
              </w:rPr>
              <w:t>Declara</w:t>
            </w:r>
            <w:r w:rsidRPr="005F37F2">
              <w:rPr>
                <w:b/>
                <w:shd w:val="clear" w:color="auto" w:fill="B4C6E7" w:themeFill="accent1" w:themeFillTint="66"/>
              </w:rPr>
              <w:t xml:space="preserve">tion </w:t>
            </w:r>
          </w:p>
          <w:p w14:paraId="43A5C55A" w14:textId="77777777" w:rsidR="00F70E66" w:rsidRPr="005F37F2" w:rsidRDefault="00F70E66" w:rsidP="00EC1AF0"/>
        </w:tc>
      </w:tr>
      <w:tr w:rsidR="00F70E66" w14:paraId="5ED136BC" w14:textId="77777777" w:rsidTr="00EC1AF0">
        <w:tc>
          <w:tcPr>
            <w:tcW w:w="5239" w:type="dxa"/>
          </w:tcPr>
          <w:p w14:paraId="5499C0C3" w14:textId="77777777" w:rsidR="00F70E66" w:rsidRPr="005F37F2" w:rsidRDefault="00F70E66" w:rsidP="00EC1AF0">
            <w:r w:rsidRPr="005F37F2">
              <w:t>Signed:</w:t>
            </w:r>
          </w:p>
          <w:p w14:paraId="2984E663" w14:textId="77777777" w:rsidR="00F70E66" w:rsidRPr="005F37F2" w:rsidRDefault="00F70E66" w:rsidP="00EC1AF0"/>
        </w:tc>
        <w:tc>
          <w:tcPr>
            <w:tcW w:w="4962" w:type="dxa"/>
            <w:gridSpan w:val="2"/>
          </w:tcPr>
          <w:p w14:paraId="6A872CDE" w14:textId="77777777" w:rsidR="00F70E66" w:rsidRPr="00C41F66" w:rsidRDefault="00F70E66" w:rsidP="00EC1AF0">
            <w:pPr>
              <w:rPr>
                <w:b/>
              </w:rPr>
            </w:pPr>
            <w:r>
              <w:rPr>
                <w:b/>
              </w:rPr>
              <w:t>Date:</w:t>
            </w:r>
          </w:p>
        </w:tc>
      </w:tr>
    </w:tbl>
    <w:p w14:paraId="1B2DAE54" w14:textId="77777777" w:rsidR="00F70E66" w:rsidRPr="00FF3E75" w:rsidRDefault="00F70E66" w:rsidP="00F70E66">
      <w:pPr>
        <w:tabs>
          <w:tab w:val="left" w:pos="7530"/>
        </w:tabs>
      </w:pPr>
      <w:r>
        <w:tab/>
      </w:r>
    </w:p>
    <w:p w14:paraId="470E4818" w14:textId="6C2361C6" w:rsidR="00E71769" w:rsidRDefault="00E71769" w:rsidP="008E4A63">
      <w:pPr>
        <w:shd w:val="clear" w:color="auto" w:fill="FFFFFF"/>
        <w:spacing w:after="0" w:line="240" w:lineRule="auto"/>
      </w:pPr>
    </w:p>
    <w:p w14:paraId="246AE2EA" w14:textId="3FAE586F" w:rsidR="00AC2CCC" w:rsidRDefault="00AC2CCC" w:rsidP="008E4A63">
      <w:pPr>
        <w:shd w:val="clear" w:color="auto" w:fill="FFFFFF"/>
        <w:spacing w:after="0" w:line="240" w:lineRule="auto"/>
      </w:pPr>
    </w:p>
    <w:p w14:paraId="1E837DD5" w14:textId="357F103F" w:rsidR="00AC2CCC" w:rsidRDefault="00AC2CCC" w:rsidP="008E4A63">
      <w:pPr>
        <w:shd w:val="clear" w:color="auto" w:fill="FFFFFF"/>
        <w:spacing w:after="0" w:line="240" w:lineRule="auto"/>
      </w:pPr>
    </w:p>
    <w:p w14:paraId="669F1FBE" w14:textId="0191BA95" w:rsidR="00AC2CCC" w:rsidRDefault="00AC2CCC" w:rsidP="008E4A63">
      <w:pPr>
        <w:shd w:val="clear" w:color="auto" w:fill="FFFFFF"/>
        <w:spacing w:after="0" w:line="240" w:lineRule="auto"/>
      </w:pPr>
    </w:p>
    <w:p w14:paraId="4EAF9196" w14:textId="40710ED2" w:rsidR="00AC2CCC" w:rsidRDefault="00AC2CCC" w:rsidP="008E4A63">
      <w:pPr>
        <w:shd w:val="clear" w:color="auto" w:fill="FFFFFF"/>
        <w:spacing w:after="0" w:line="240" w:lineRule="auto"/>
      </w:pPr>
    </w:p>
    <w:p w14:paraId="132F5AC9" w14:textId="77777777" w:rsidR="00AC2CCC" w:rsidRDefault="00AC2CCC" w:rsidP="00AC2CCC">
      <w:pPr>
        <w:jc w:val="center"/>
      </w:pPr>
      <w:r>
        <w:lastRenderedPageBreak/>
        <w:t>Excerpt from DBS code of practice</w:t>
      </w:r>
      <w:r>
        <w:t xml:space="preserve"> </w:t>
      </w:r>
    </w:p>
    <w:p w14:paraId="2033DFFC" w14:textId="0DE305E5" w:rsidR="00AC2CCC" w:rsidRDefault="00AC2CCC" w:rsidP="00AC2CCC">
      <w:pPr>
        <w:jc w:val="center"/>
      </w:pPr>
      <w:hyperlink r:id="rId10" w:history="1">
        <w:r w:rsidRPr="00B406EB">
          <w:rPr>
            <w:rStyle w:val="Hyperlink"/>
          </w:rPr>
          <w:t>https://assets.publishing.service.gov.uk/government/uploads/system/uploads/attachment_data/file/474742/Code_of_Practice_for_Disclosure_and_Barring_Service_Nov_15.pdf</w:t>
        </w:r>
      </w:hyperlink>
    </w:p>
    <w:p w14:paraId="0854DA02" w14:textId="618E03C7" w:rsidR="00AC2CCC" w:rsidRDefault="00AC2CCC" w:rsidP="00AC2CCC">
      <w:pPr>
        <w:jc w:val="center"/>
      </w:pPr>
      <w:r>
        <w:t xml:space="preserve"> </w:t>
      </w:r>
    </w:p>
    <w:p w14:paraId="4C525FBC" w14:textId="664DEEFC" w:rsidR="00AC2CCC" w:rsidRDefault="00AC2CCC" w:rsidP="00AC2CCC">
      <w:pPr>
        <w:shd w:val="clear" w:color="auto" w:fill="FFFFFF"/>
        <w:spacing w:after="0" w:line="240" w:lineRule="auto"/>
        <w:jc w:val="center"/>
      </w:pPr>
      <w:r>
        <w:rPr>
          <w:noProof/>
        </w:rPr>
        <w:drawing>
          <wp:inline distT="0" distB="0" distL="0" distR="0" wp14:anchorId="56D617BB" wp14:editId="137EEB43">
            <wp:extent cx="6613281" cy="8201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90A176.tmp"/>
                    <pic:cNvPicPr/>
                  </pic:nvPicPr>
                  <pic:blipFill>
                    <a:blip r:embed="rId11">
                      <a:extLst>
                        <a:ext uri="{28A0092B-C50C-407E-A947-70E740481C1C}">
                          <a14:useLocalDpi xmlns:a14="http://schemas.microsoft.com/office/drawing/2010/main" val="0"/>
                        </a:ext>
                      </a:extLst>
                    </a:blip>
                    <a:stretch>
                      <a:fillRect/>
                    </a:stretch>
                  </pic:blipFill>
                  <pic:spPr>
                    <a:xfrm>
                      <a:off x="0" y="0"/>
                      <a:ext cx="6626084" cy="8216901"/>
                    </a:xfrm>
                    <a:prstGeom prst="rect">
                      <a:avLst/>
                    </a:prstGeom>
                  </pic:spPr>
                </pic:pic>
              </a:graphicData>
            </a:graphic>
          </wp:inline>
        </w:drawing>
      </w:r>
    </w:p>
    <w:sectPr w:rsidR="00AC2CCC" w:rsidSect="008E4A63">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36AAB"/>
    <w:multiLevelType w:val="multilevel"/>
    <w:tmpl w:val="C34CCC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7631AB5"/>
    <w:multiLevelType w:val="multilevel"/>
    <w:tmpl w:val="9D08D3B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7C286919"/>
    <w:multiLevelType w:val="multilevel"/>
    <w:tmpl w:val="8034AE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36B"/>
    <w:rsid w:val="0004000B"/>
    <w:rsid w:val="0016272F"/>
    <w:rsid w:val="00227D4B"/>
    <w:rsid w:val="00394CA9"/>
    <w:rsid w:val="00651F1A"/>
    <w:rsid w:val="0069469B"/>
    <w:rsid w:val="007B5DE2"/>
    <w:rsid w:val="007E536B"/>
    <w:rsid w:val="008E4A63"/>
    <w:rsid w:val="00A05003"/>
    <w:rsid w:val="00AC2CCC"/>
    <w:rsid w:val="00BE0375"/>
    <w:rsid w:val="00C4727B"/>
    <w:rsid w:val="00D50757"/>
    <w:rsid w:val="00E71769"/>
    <w:rsid w:val="00EF10FA"/>
    <w:rsid w:val="00F70E66"/>
    <w:rsid w:val="00F80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4C568"/>
  <w15:chartTrackingRefBased/>
  <w15:docId w15:val="{87D971B6-7369-431D-9A31-8E356ABB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5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DE2"/>
    <w:rPr>
      <w:rFonts w:ascii="Segoe UI" w:hAnsi="Segoe UI" w:cs="Segoe UI"/>
      <w:sz w:val="18"/>
      <w:szCs w:val="18"/>
    </w:rPr>
  </w:style>
  <w:style w:type="paragraph" w:styleId="ListParagraph">
    <w:name w:val="List Paragraph"/>
    <w:basedOn w:val="Normal"/>
    <w:rsid w:val="0016272F"/>
    <w:pPr>
      <w:suppressAutoHyphens/>
      <w:autoSpaceDN w:val="0"/>
      <w:spacing w:after="200" w:line="276" w:lineRule="auto"/>
      <w:ind w:left="720"/>
      <w:textAlignment w:val="baseline"/>
    </w:pPr>
    <w:rPr>
      <w:rFonts w:ascii="Calibri" w:eastAsia="Calibri" w:hAnsi="Calibri" w:cs="Times New Roman"/>
    </w:rPr>
  </w:style>
  <w:style w:type="paragraph" w:customStyle="1" w:styleId="Default">
    <w:name w:val="Default"/>
    <w:rsid w:val="0016272F"/>
    <w:pPr>
      <w:suppressAutoHyphens/>
      <w:autoSpaceDE w:val="0"/>
      <w:autoSpaceDN w:val="0"/>
      <w:spacing w:after="0" w:line="240" w:lineRule="auto"/>
      <w:textAlignment w:val="baseline"/>
    </w:pPr>
    <w:rPr>
      <w:rFonts w:ascii="Arial" w:eastAsia="Calibri" w:hAnsi="Arial" w:cs="Arial"/>
      <w:color w:val="000000"/>
      <w:sz w:val="24"/>
      <w:szCs w:val="24"/>
    </w:rPr>
  </w:style>
  <w:style w:type="table" w:styleId="TableGrid">
    <w:name w:val="Table Grid"/>
    <w:basedOn w:val="TableNormal"/>
    <w:rsid w:val="00F70E66"/>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70E66"/>
    <w:pPr>
      <w:spacing w:after="0" w:line="240" w:lineRule="auto"/>
      <w:contextualSpacing/>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uiPriority w:val="10"/>
    <w:rsid w:val="00F70E66"/>
    <w:rPr>
      <w:rFonts w:asciiTheme="majorHAnsi" w:eastAsiaTheme="majorEastAsia" w:hAnsiTheme="majorHAnsi" w:cstheme="majorBidi"/>
      <w:spacing w:val="-10"/>
      <w:kern w:val="28"/>
      <w:sz w:val="56"/>
      <w:szCs w:val="56"/>
      <w:lang w:eastAsia="en-GB"/>
    </w:rPr>
  </w:style>
  <w:style w:type="character" w:styleId="Hyperlink">
    <w:name w:val="Hyperlink"/>
    <w:basedOn w:val="DefaultParagraphFont"/>
    <w:uiPriority w:val="99"/>
    <w:unhideWhenUsed/>
    <w:rsid w:val="00AC2CCC"/>
    <w:rPr>
      <w:color w:val="0563C1" w:themeColor="hyperlink"/>
      <w:u w:val="single"/>
    </w:rPr>
  </w:style>
  <w:style w:type="character" w:styleId="UnresolvedMention">
    <w:name w:val="Unresolved Mention"/>
    <w:basedOn w:val="DefaultParagraphFont"/>
    <w:uiPriority w:val="99"/>
    <w:semiHidden/>
    <w:unhideWhenUsed/>
    <w:rsid w:val="00AC2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5479714">
      <w:bodyDiv w:val="1"/>
      <w:marLeft w:val="0"/>
      <w:marRight w:val="0"/>
      <w:marTop w:val="0"/>
      <w:marBottom w:val="0"/>
      <w:divBdr>
        <w:top w:val="none" w:sz="0" w:space="0" w:color="auto"/>
        <w:left w:val="none" w:sz="0" w:space="0" w:color="auto"/>
        <w:bottom w:val="none" w:sz="0" w:space="0" w:color="auto"/>
        <w:right w:val="none" w:sz="0" w:space="0" w:color="auto"/>
      </w:divBdr>
    </w:div>
    <w:div w:id="167440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tm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tmp"/><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mp"/><Relationship Id="rId11" Type="http://schemas.openxmlformats.org/officeDocument/2006/relationships/image" Target="media/image6.tmp"/><Relationship Id="rId5" Type="http://schemas.openxmlformats.org/officeDocument/2006/relationships/image" Target="media/image1.tmp"/><Relationship Id="rId10" Type="http://schemas.openxmlformats.org/officeDocument/2006/relationships/hyperlink" Target="https://assets.publishing.service.gov.uk/government/uploads/system/uploads/attachment_data/file/474742/Code_of_Practice_for_Disclosure_and_Barring_Service_Nov_15.pdf" TargetMode="External"/><Relationship Id="rId4" Type="http://schemas.openxmlformats.org/officeDocument/2006/relationships/webSettings" Target="webSettings.xml"/><Relationship Id="rId9" Type="http://schemas.openxmlformats.org/officeDocument/2006/relationships/image" Target="media/image5.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878</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dc:creator>
  <cp:keywords/>
  <dc:description/>
  <cp:lastModifiedBy>Carolyn Eyre</cp:lastModifiedBy>
  <cp:revision>2</cp:revision>
  <cp:lastPrinted>2020-06-10T00:19:00Z</cp:lastPrinted>
  <dcterms:created xsi:type="dcterms:W3CDTF">2020-09-08T15:35:00Z</dcterms:created>
  <dcterms:modified xsi:type="dcterms:W3CDTF">2020-09-08T15:35:00Z</dcterms:modified>
</cp:coreProperties>
</file>