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39" w:rsidRPr="00B60039" w:rsidRDefault="00B60039" w:rsidP="00B60039">
      <w:pPr>
        <w:pBdr>
          <w:bottom w:val="single" w:sz="6" w:space="2" w:color="CCCCCC"/>
        </w:pBdr>
        <w:shd w:val="clear" w:color="auto" w:fill="FFFFFF"/>
        <w:spacing w:after="150" w:line="384" w:lineRule="atLeast"/>
        <w:outlineLvl w:val="1"/>
        <w:rPr>
          <w:rFonts w:ascii="inherit" w:eastAsia="Times New Roman" w:hAnsi="inherit" w:cs="Helvetica"/>
          <w:b/>
          <w:color w:val="000000" w:themeColor="text1"/>
          <w:kern w:val="36"/>
          <w:sz w:val="29"/>
          <w:szCs w:val="29"/>
        </w:rPr>
      </w:pPr>
      <w:r w:rsidRPr="00B60039">
        <w:rPr>
          <w:rFonts w:ascii="inherit" w:eastAsia="Times New Roman" w:hAnsi="inherit" w:cs="Helvetica"/>
          <w:b/>
          <w:color w:val="000000" w:themeColor="text1"/>
          <w:kern w:val="36"/>
          <w:sz w:val="29"/>
          <w:szCs w:val="29"/>
        </w:rPr>
        <w:t>Clinical Supervision and ‘Money Gouging’</w:t>
      </w:r>
    </w:p>
    <w:p w:rsidR="00B60039" w:rsidRPr="00B60039" w:rsidRDefault="00B60039" w:rsidP="00B60039">
      <w:pPr>
        <w:shd w:val="clear" w:color="auto" w:fill="FFFFFF"/>
        <w:spacing w:line="420" w:lineRule="atLeast"/>
        <w:rPr>
          <w:rFonts w:ascii="Helvetica" w:eastAsia="Times New Roman" w:hAnsi="Helvetica" w:cs="Helvetica"/>
          <w:b/>
          <w:color w:val="000000" w:themeColor="text1"/>
          <w:sz w:val="17"/>
          <w:szCs w:val="17"/>
        </w:rPr>
      </w:pPr>
      <w:proofErr w:type="gramStart"/>
      <w:r w:rsidRPr="00B60039">
        <w:rPr>
          <w:rFonts w:ascii="Helvetica" w:eastAsia="Times New Roman" w:hAnsi="Helvetica" w:cs="Helvetica"/>
          <w:b/>
          <w:color w:val="000000" w:themeColor="text1"/>
          <w:sz w:val="17"/>
          <w:szCs w:val="17"/>
        </w:rPr>
        <w:t>by</w:t>
      </w:r>
      <w:proofErr w:type="gramEnd"/>
      <w:r w:rsidRPr="00B60039">
        <w:rPr>
          <w:rFonts w:ascii="Helvetica" w:eastAsia="Times New Roman" w:hAnsi="Helvetica" w:cs="Helvetica"/>
          <w:b/>
          <w:color w:val="000000" w:themeColor="text1"/>
          <w:sz w:val="17"/>
          <w:szCs w:val="17"/>
        </w:rPr>
        <w:t xml:space="preserve"> </w:t>
      </w:r>
      <w:hyperlink r:id="rId8" w:tooltip="Posts by Tamara Suttle" w:history="1">
        <w:r w:rsidRPr="00B60039">
          <w:rPr>
            <w:rFonts w:ascii="Helvetica" w:eastAsia="Times New Roman" w:hAnsi="Helvetica" w:cs="Helvetica"/>
            <w:b/>
            <w:bCs/>
            <w:color w:val="000000" w:themeColor="text1"/>
            <w:sz w:val="17"/>
            <w:szCs w:val="17"/>
          </w:rPr>
          <w:t xml:space="preserve">Tamara </w:t>
        </w:r>
        <w:proofErr w:type="spellStart"/>
        <w:r w:rsidRPr="00B60039">
          <w:rPr>
            <w:rFonts w:ascii="Helvetica" w:eastAsia="Times New Roman" w:hAnsi="Helvetica" w:cs="Helvetica"/>
            <w:b/>
            <w:bCs/>
            <w:color w:val="000000" w:themeColor="text1"/>
            <w:sz w:val="17"/>
            <w:szCs w:val="17"/>
          </w:rPr>
          <w:t>Suttle</w:t>
        </w:r>
        <w:proofErr w:type="spellEnd"/>
      </w:hyperlink>
      <w:r w:rsidRPr="00B60039">
        <w:rPr>
          <w:rFonts w:ascii="Helvetica" w:eastAsia="Times New Roman" w:hAnsi="Helvetica" w:cs="Helvetica"/>
          <w:b/>
          <w:color w:val="000000" w:themeColor="text1"/>
          <w:sz w:val="17"/>
          <w:szCs w:val="17"/>
        </w:rPr>
        <w:t xml:space="preserve"> </w:t>
      </w:r>
      <w:bookmarkStart w:id="0" w:name="_GoBack"/>
      <w:bookmarkEnd w:id="0"/>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b/>
          <w:bCs/>
          <w:color w:val="333333"/>
        </w:rPr>
        <w:t xml:space="preserve">The Basics of </w:t>
      </w:r>
      <w:r w:rsidRPr="00B60039">
        <w:rPr>
          <w:rFonts w:ascii="Helvetica" w:eastAsia="Times New Roman" w:hAnsi="Helvetica" w:cs="Helvetica"/>
          <w:b/>
          <w:bCs/>
          <w:i/>
          <w:iCs/>
          <w:color w:val="333333"/>
        </w:rPr>
        <w:t xml:space="preserve">Clinical </w:t>
      </w:r>
      <w:r w:rsidRPr="00B60039">
        <w:rPr>
          <w:rFonts w:ascii="Helvetica" w:eastAsia="Times New Roman" w:hAnsi="Helvetica" w:cs="Helvetica"/>
          <w:b/>
          <w:bCs/>
          <w:color w:val="333333"/>
        </w:rPr>
        <w:t xml:space="preserve">Supervision </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 xml:space="preserve">Lately, I’ve found myself in a lot of conversations about </w:t>
      </w:r>
      <w:r w:rsidRPr="00B60039">
        <w:rPr>
          <w:rFonts w:ascii="Helvetica" w:eastAsia="Times New Roman" w:hAnsi="Helvetica" w:cs="Helvetica"/>
          <w:i/>
          <w:iCs/>
          <w:color w:val="333333"/>
        </w:rPr>
        <w:t>clinical supervision</w:t>
      </w:r>
      <w:r w:rsidRPr="00B60039">
        <w:rPr>
          <w:rFonts w:ascii="Helvetica" w:eastAsia="Times New Roman" w:hAnsi="Helvetica" w:cs="Helvetica"/>
          <w:color w:val="333333"/>
        </w:rPr>
        <w:t>. If you’re getting ready to graduate from your clinical program in one of the mental health professions, it’s time to start thinking about your own clinical supervision.</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Prior to obtaining your license as a professional counselor, social worker, or psychologist, you will be required to obtain 1500-4000 hours under clinical supervision. If you are fortunate enough to work in an agency, hospital, or school, it is likely that your employer will provide clinical supervision for you on site at no expense to you. If that’s the case, consider it a benefit of the job.</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 xml:space="preserve">However, if following graduate school you attempt to go directly into private practice (as is the option in </w:t>
      </w:r>
      <w:r w:rsidRPr="00B60039">
        <w:rPr>
          <w:rFonts w:ascii="Helvetica" w:eastAsia="Times New Roman" w:hAnsi="Helvetica" w:cs="Helvetica"/>
          <w:i/>
          <w:iCs/>
          <w:color w:val="333333"/>
        </w:rPr>
        <w:t>some</w:t>
      </w:r>
      <w:r w:rsidRPr="00B60039">
        <w:rPr>
          <w:rFonts w:ascii="Helvetica" w:eastAsia="Times New Roman" w:hAnsi="Helvetica" w:cs="Helvetica"/>
          <w:color w:val="333333"/>
        </w:rPr>
        <w:t xml:space="preserve"> states) or end up working for an employer that does not provide your clinical supervision, then you will need to find a supervisor and pay for supervision on your own. </w:t>
      </w:r>
      <w:r w:rsidRPr="00B60039">
        <w:rPr>
          <w:rFonts w:ascii="Helvetica" w:eastAsia="Times New Roman" w:hAnsi="Helvetica" w:cs="Helvetica"/>
          <w:i/>
          <w:iCs/>
          <w:color w:val="333333"/>
        </w:rPr>
        <w:t xml:space="preserve">(Look for </w:t>
      </w:r>
      <w:r w:rsidRPr="00B60039">
        <w:rPr>
          <w:rFonts w:ascii="Helvetica" w:eastAsia="Times New Roman" w:hAnsi="Helvetica" w:cs="Helvetica"/>
          <w:b/>
          <w:bCs/>
          <w:i/>
          <w:iCs/>
          <w:color w:val="333333"/>
        </w:rPr>
        <w:t>10 Questions You Must Ask Your Potential Supervisor</w:t>
      </w:r>
      <w:r w:rsidRPr="00B60039">
        <w:rPr>
          <w:rFonts w:ascii="Helvetica" w:eastAsia="Times New Roman" w:hAnsi="Helvetica" w:cs="Helvetica"/>
          <w:i/>
          <w:iCs/>
          <w:color w:val="333333"/>
        </w:rPr>
        <w:t xml:space="preserve"> next week to learn more about how to find a great supervisor.</w:t>
      </w:r>
      <w:r w:rsidRPr="00B60039">
        <w:rPr>
          <w:rFonts w:ascii="Helvetica" w:eastAsia="Times New Roman" w:hAnsi="Helvetica" w:cs="Helvetica"/>
          <w:color w:val="333333"/>
        </w:rPr>
        <w:t>)</w:t>
      </w:r>
    </w:p>
    <w:p w:rsidR="00B60039" w:rsidRPr="00B60039" w:rsidRDefault="00B60039" w:rsidP="00B60039">
      <w:pPr>
        <w:shd w:val="clear" w:color="auto" w:fill="F3F3F3"/>
        <w:spacing w:after="0" w:line="420" w:lineRule="atLeast"/>
        <w:jc w:val="center"/>
        <w:rPr>
          <w:rFonts w:ascii="Helvetica" w:eastAsia="Times New Roman" w:hAnsi="Helvetica" w:cs="Helvetica"/>
          <w:color w:val="333333"/>
        </w:rPr>
      </w:pPr>
      <w:r w:rsidRPr="00B60039">
        <w:rPr>
          <w:rFonts w:ascii="Helvetica" w:eastAsia="Times New Roman" w:hAnsi="Helvetica" w:cs="Helvetica"/>
          <w:b/>
          <w:bCs/>
          <w:noProof/>
          <w:color w:val="B7BE47"/>
        </w:rPr>
        <w:drawing>
          <wp:inline distT="0" distB="0" distL="0" distR="0" wp14:anchorId="5791C2EF" wp14:editId="0DF01C80">
            <wp:extent cx="1141171" cy="1219200"/>
            <wp:effectExtent l="0" t="0" r="1905" b="0"/>
            <wp:docPr id="1" name="Picture 1" descr="Money Jar by Automania / Mi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Jar by Automania / Mik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171" cy="1219200"/>
                    </a:xfrm>
                    <a:prstGeom prst="rect">
                      <a:avLst/>
                    </a:prstGeom>
                    <a:noFill/>
                    <a:ln>
                      <a:noFill/>
                    </a:ln>
                  </pic:spPr>
                </pic:pic>
              </a:graphicData>
            </a:graphic>
          </wp:inline>
        </w:drawing>
      </w:r>
    </w:p>
    <w:p w:rsidR="00B60039" w:rsidRPr="00B60039" w:rsidRDefault="00B60039" w:rsidP="00B60039">
      <w:pPr>
        <w:shd w:val="clear" w:color="auto" w:fill="F3F3F3"/>
        <w:spacing w:before="100" w:beforeAutospacing="1" w:after="100" w:afterAutospacing="1" w:line="420" w:lineRule="atLeast"/>
        <w:jc w:val="center"/>
        <w:rPr>
          <w:rFonts w:ascii="Helvetica" w:eastAsia="Times New Roman" w:hAnsi="Helvetica" w:cs="Helvetica"/>
          <w:color w:val="333333"/>
        </w:rPr>
      </w:pPr>
      <w:r w:rsidRPr="00B60039">
        <w:rPr>
          <w:rFonts w:ascii="Helvetica" w:eastAsia="Times New Roman" w:hAnsi="Helvetica" w:cs="Helvetica"/>
          <w:color w:val="333333"/>
        </w:rPr>
        <w:t xml:space="preserve">"Money Jar" by </w:t>
      </w:r>
      <w:proofErr w:type="spellStart"/>
      <w:r w:rsidRPr="00B60039">
        <w:rPr>
          <w:rFonts w:ascii="Helvetica" w:eastAsia="Times New Roman" w:hAnsi="Helvetica" w:cs="Helvetica"/>
          <w:color w:val="333333"/>
        </w:rPr>
        <w:t>Automania</w:t>
      </w:r>
      <w:proofErr w:type="spellEnd"/>
      <w:r w:rsidRPr="00B60039">
        <w:rPr>
          <w:rFonts w:ascii="Helvetica" w:eastAsia="Times New Roman" w:hAnsi="Helvetica" w:cs="Helvetica"/>
          <w:color w:val="333333"/>
        </w:rPr>
        <w:t xml:space="preserve"> / Mike</w:t>
      </w:r>
    </w:p>
    <w:p w:rsidR="00B60039" w:rsidRDefault="00B60039" w:rsidP="00B60039">
      <w:pPr>
        <w:shd w:val="clear" w:color="auto" w:fill="FFFFFF"/>
        <w:spacing w:before="100" w:beforeAutospacing="1" w:after="100" w:afterAutospacing="1" w:line="420" w:lineRule="atLeast"/>
        <w:rPr>
          <w:rFonts w:ascii="Helvetica" w:eastAsia="Times New Roman" w:hAnsi="Helvetica" w:cs="Helvetica"/>
          <w:b/>
          <w:bCs/>
          <w:color w:val="333333"/>
        </w:rPr>
      </w:pPr>
    </w:p>
    <w:p w:rsidR="00B60039" w:rsidRDefault="00B60039" w:rsidP="00B60039">
      <w:pPr>
        <w:shd w:val="clear" w:color="auto" w:fill="FFFFFF"/>
        <w:spacing w:before="100" w:beforeAutospacing="1" w:after="100" w:afterAutospacing="1" w:line="420" w:lineRule="atLeast"/>
        <w:rPr>
          <w:rFonts w:ascii="Helvetica" w:eastAsia="Times New Roman" w:hAnsi="Helvetica" w:cs="Helvetica"/>
          <w:b/>
          <w:bCs/>
          <w:color w:val="333333"/>
        </w:rPr>
      </w:pP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b/>
          <w:bCs/>
          <w:color w:val="333333"/>
        </w:rPr>
        <w:lastRenderedPageBreak/>
        <w:t>Supervision and Money</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I’m not sure why but not one of my professors in graduate school ever thought to talk with us about those additional costs that we would incur following graduation. So . . . let me break the news to you. . . .</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 xml:space="preserve">One of the </w:t>
      </w:r>
      <w:r w:rsidRPr="00B60039">
        <w:rPr>
          <w:rFonts w:ascii="Helvetica" w:eastAsia="Times New Roman" w:hAnsi="Helvetica" w:cs="Helvetica"/>
          <w:i/>
          <w:iCs/>
          <w:color w:val="333333"/>
        </w:rPr>
        <w:t>many</w:t>
      </w:r>
      <w:r w:rsidRPr="00B60039">
        <w:rPr>
          <w:rFonts w:ascii="Helvetica" w:eastAsia="Times New Roman" w:hAnsi="Helvetica" w:cs="Helvetica"/>
          <w:color w:val="333333"/>
        </w:rPr>
        <w:t xml:space="preserve"> reasons you may want to start out working for an agency that provides your clinical supervision is that it can be </w:t>
      </w:r>
      <w:r w:rsidRPr="00B60039">
        <w:rPr>
          <w:rFonts w:ascii="Helvetica" w:eastAsia="Times New Roman" w:hAnsi="Helvetica" w:cs="Helvetica"/>
          <w:i/>
          <w:iCs/>
          <w:color w:val="333333"/>
        </w:rPr>
        <w:t xml:space="preserve">expensive </w:t>
      </w:r>
      <w:r w:rsidRPr="00B60039">
        <w:rPr>
          <w:rFonts w:ascii="Helvetica" w:eastAsia="Times New Roman" w:hAnsi="Helvetica" w:cs="Helvetica"/>
          <w:color w:val="333333"/>
        </w:rPr>
        <w:t>if you have to pay for it on your own</w:t>
      </w:r>
      <w:r w:rsidRPr="00B60039">
        <w:rPr>
          <w:rFonts w:ascii="Helvetica" w:eastAsia="Times New Roman" w:hAnsi="Helvetica" w:cs="Helvetica"/>
          <w:i/>
          <w:iCs/>
          <w:color w:val="333333"/>
        </w:rPr>
        <w:t xml:space="preserve">. </w:t>
      </w:r>
      <w:r w:rsidRPr="00B60039">
        <w:rPr>
          <w:rFonts w:ascii="Helvetica" w:eastAsia="Times New Roman" w:hAnsi="Helvetica" w:cs="Helvetica"/>
          <w:color w:val="333333"/>
        </w:rPr>
        <w:t xml:space="preserve">If you are paying out of pocket, you should expect to pay whatever a typical </w:t>
      </w:r>
      <w:r w:rsidRPr="00B60039">
        <w:rPr>
          <w:rFonts w:ascii="Helvetica" w:eastAsia="Times New Roman" w:hAnsi="Helvetica" w:cs="Helvetica"/>
          <w:i/>
          <w:iCs/>
          <w:color w:val="333333"/>
        </w:rPr>
        <w:t>clinical hour</w:t>
      </w:r>
      <w:r w:rsidRPr="00B60039">
        <w:rPr>
          <w:rFonts w:ascii="Helvetica" w:eastAsia="Times New Roman" w:hAnsi="Helvetica" w:cs="Helvetica"/>
          <w:color w:val="333333"/>
        </w:rPr>
        <w:t xml:space="preserve"> costs in your geographic area.</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b/>
          <w:color w:val="333333"/>
        </w:rPr>
      </w:pPr>
      <w:r w:rsidRPr="00B60039">
        <w:rPr>
          <w:rFonts w:ascii="Helvetica" w:eastAsia="Times New Roman" w:hAnsi="Helvetica" w:cs="Helvetica"/>
          <w:color w:val="333333"/>
        </w:rPr>
        <w:t>I charge the UCR – usual and customary rates – for those working on the Front Range in Colorado</w:t>
      </w:r>
      <w:r w:rsidRPr="00B60039">
        <w:rPr>
          <w:rFonts w:ascii="Helvetica" w:eastAsia="Times New Roman" w:hAnsi="Helvetica" w:cs="Helvetica"/>
          <w:b/>
          <w:color w:val="333333"/>
        </w:rPr>
        <w:t>. My fees are $100 – $125 / hour for individual counseling and $60 / hour for group counseling. I charge the</w:t>
      </w:r>
      <w:r w:rsidRPr="00B60039">
        <w:rPr>
          <w:rFonts w:ascii="Helvetica" w:eastAsia="Times New Roman" w:hAnsi="Helvetica" w:cs="Helvetica"/>
          <w:b/>
          <w:i/>
          <w:iCs/>
          <w:color w:val="333333"/>
        </w:rPr>
        <w:t xml:space="preserve"> same rates / hour f</w:t>
      </w:r>
      <w:r w:rsidRPr="00B60039">
        <w:rPr>
          <w:rFonts w:ascii="Helvetica" w:eastAsia="Times New Roman" w:hAnsi="Helvetica" w:cs="Helvetica"/>
          <w:b/>
          <w:color w:val="333333"/>
        </w:rPr>
        <w:t xml:space="preserve">or clinical supervision and you will find that </w:t>
      </w:r>
      <w:r w:rsidRPr="00B60039">
        <w:rPr>
          <w:rFonts w:ascii="Helvetica" w:eastAsia="Times New Roman" w:hAnsi="Helvetica" w:cs="Helvetica"/>
          <w:b/>
          <w:i/>
          <w:iCs/>
          <w:color w:val="333333"/>
        </w:rPr>
        <w:t>most reputable supervisors</w:t>
      </w:r>
      <w:r w:rsidRPr="00B60039">
        <w:rPr>
          <w:rFonts w:ascii="Helvetica" w:eastAsia="Times New Roman" w:hAnsi="Helvetica" w:cs="Helvetica"/>
          <w:b/>
          <w:color w:val="333333"/>
        </w:rPr>
        <w:t xml:space="preserve"> charge based on their hourly clinical rate as well.</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b/>
          <w:bCs/>
          <w:color w:val="333333"/>
        </w:rPr>
        <w:t>Too Expensive</w:t>
      </w:r>
    </w:p>
    <w:p w:rsidR="00B60039" w:rsidRPr="00B60039" w:rsidRDefault="00B60039" w:rsidP="00B60039">
      <w:pPr>
        <w:shd w:val="clear" w:color="auto" w:fill="FFFFFF"/>
        <w:spacing w:before="100" w:beforeAutospacing="1" w:after="100" w:afterAutospacing="1" w:line="420" w:lineRule="atLeast"/>
        <w:rPr>
          <w:rFonts w:ascii="Helvetica" w:eastAsia="Times New Roman" w:hAnsi="Helvetica" w:cs="Helvetica"/>
          <w:color w:val="333333"/>
        </w:rPr>
      </w:pPr>
      <w:r w:rsidRPr="00B60039">
        <w:rPr>
          <w:rFonts w:ascii="Helvetica" w:eastAsia="Times New Roman" w:hAnsi="Helvetica" w:cs="Helvetica"/>
          <w:color w:val="333333"/>
        </w:rPr>
        <w:t>If you find those rates to be objectionable,</w:t>
      </w:r>
      <w:r w:rsidRPr="00B60039">
        <w:rPr>
          <w:rFonts w:ascii="Helvetica" w:eastAsia="Times New Roman" w:hAnsi="Helvetica" w:cs="Helvetica"/>
          <w:i/>
          <w:iCs/>
          <w:color w:val="333333"/>
        </w:rPr>
        <w:t xml:space="preserve"> y</w:t>
      </w:r>
      <w:r w:rsidRPr="00B60039">
        <w:rPr>
          <w:rFonts w:ascii="Helvetica" w:eastAsia="Times New Roman" w:hAnsi="Helvetica" w:cs="Helvetica"/>
          <w:color w:val="333333"/>
        </w:rPr>
        <w:t xml:space="preserve">ou have a right to understand </w:t>
      </w:r>
      <w:r w:rsidRPr="00B60039">
        <w:rPr>
          <w:rFonts w:ascii="Helvetica" w:eastAsia="Times New Roman" w:hAnsi="Helvetica" w:cs="Helvetica"/>
          <w:i/>
          <w:iCs/>
          <w:color w:val="333333"/>
        </w:rPr>
        <w:t>why</w:t>
      </w:r>
      <w:r w:rsidRPr="00B60039">
        <w:rPr>
          <w:rFonts w:ascii="Helvetica" w:eastAsia="Times New Roman" w:hAnsi="Helvetica" w:cs="Helvetica"/>
          <w:color w:val="333333"/>
        </w:rPr>
        <w:t xml:space="preserve"> these are actually reasonable fees and that </w:t>
      </w:r>
      <w:r w:rsidRPr="00B60039">
        <w:rPr>
          <w:rFonts w:ascii="Helvetica" w:eastAsia="Times New Roman" w:hAnsi="Helvetica" w:cs="Helvetica"/>
          <w:i/>
          <w:iCs/>
          <w:color w:val="333333"/>
        </w:rPr>
        <w:t>good</w:t>
      </w:r>
      <w:r w:rsidRPr="00B60039">
        <w:rPr>
          <w:rFonts w:ascii="Helvetica" w:eastAsia="Times New Roman" w:hAnsi="Helvetica" w:cs="Helvetica"/>
          <w:color w:val="333333"/>
        </w:rPr>
        <w:t xml:space="preserve"> supervisors are not simply gouging you for “easy money” (as one new graduate noted this week on a discussion list). Here are some things to consider . . . .</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b/>
          <w:color w:val="333333"/>
        </w:rPr>
        <w:t xml:space="preserve">The professional standard for clinical supervision has shifted in recent years. Your clinical supervisor is now expected (and in many cases, </w:t>
      </w:r>
      <w:r w:rsidRPr="00B60039">
        <w:rPr>
          <w:rFonts w:ascii="Helvetica" w:eastAsia="Times New Roman" w:hAnsi="Helvetica" w:cs="Helvetica"/>
          <w:b/>
          <w:i/>
          <w:iCs/>
          <w:color w:val="333333"/>
        </w:rPr>
        <w:t>required</w:t>
      </w:r>
      <w:r w:rsidRPr="00B60039">
        <w:rPr>
          <w:rFonts w:ascii="Helvetica" w:eastAsia="Times New Roman" w:hAnsi="Helvetica" w:cs="Helvetica"/>
          <w:b/>
          <w:color w:val="333333"/>
        </w:rPr>
        <w:t xml:space="preserve">) to obtain formal training in clinical supervision at </w:t>
      </w:r>
      <w:r w:rsidRPr="00B60039">
        <w:rPr>
          <w:rFonts w:ascii="Helvetica" w:eastAsia="Times New Roman" w:hAnsi="Helvetica" w:cs="Helvetica"/>
          <w:b/>
          <w:i/>
          <w:iCs/>
          <w:color w:val="333333"/>
        </w:rPr>
        <w:t>her own expense</w:t>
      </w:r>
      <w:r w:rsidRPr="00B60039">
        <w:rPr>
          <w:rFonts w:ascii="Helvetica" w:eastAsia="Times New Roman" w:hAnsi="Helvetica" w:cs="Helvetica"/>
          <w:b/>
          <w:color w:val="333333"/>
        </w:rPr>
        <w:t>.</w:t>
      </w:r>
      <w:r w:rsidRPr="00B60039">
        <w:rPr>
          <w:rFonts w:ascii="Helvetica" w:eastAsia="Times New Roman" w:hAnsi="Helvetica" w:cs="Helvetica"/>
          <w:color w:val="333333"/>
        </w:rPr>
        <w:t xml:space="preserve"> In the State of Texas, that requirement is a minimum of 40 hours plus ongoing continuing education in the area of supervision.</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b/>
          <w:color w:val="333333"/>
        </w:rPr>
        <w:t>Your clinical supervisor is legally and ethically responsible for each and every client that you come in contact with.</w:t>
      </w:r>
      <w:r w:rsidRPr="00B60039">
        <w:rPr>
          <w:rFonts w:ascii="Helvetica" w:eastAsia="Times New Roman" w:hAnsi="Helvetica" w:cs="Helvetica"/>
          <w:color w:val="333333"/>
        </w:rPr>
        <w:t xml:space="preserve"> S/he is also responsible for every decision that you do / do not make and every action that you do / do not take. That’s a LOT of additional responsibility.</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color w:val="333333"/>
        </w:rPr>
        <w:lastRenderedPageBreak/>
        <w:t>Your supervisor is responsible for reading every bit of your initial client assessments, progress notes, all correspondence, and termination paperwork and providing feedback as needed. That’s a LOT of time.</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color w:val="333333"/>
        </w:rPr>
        <w:t>Your clinical supervisor will typically meet with you on a weekly basis for 1-2 years. That’s additional time out of her schedule every week s/he could be using to see a client and earn her hourly fee.</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b/>
          <w:color w:val="333333"/>
        </w:rPr>
      </w:pPr>
      <w:r w:rsidRPr="00B60039">
        <w:rPr>
          <w:rFonts w:ascii="Helvetica" w:eastAsia="Times New Roman" w:hAnsi="Helvetica" w:cs="Helvetica"/>
          <w:color w:val="333333"/>
        </w:rPr>
        <w:t xml:space="preserve">During your weekly meeting with your clinical supervisor, s/he is required to essentially develop your abilities as a mental health professional. </w:t>
      </w:r>
      <w:r w:rsidRPr="00B60039">
        <w:rPr>
          <w:rFonts w:ascii="Helvetica" w:eastAsia="Times New Roman" w:hAnsi="Helvetica" w:cs="Helvetica"/>
          <w:b/>
          <w:color w:val="333333"/>
        </w:rPr>
        <w:t>Her roles will alternate between teacher, mentor, consultant and evaluator.</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color w:val="333333"/>
        </w:rPr>
        <w:t>For every hour that your clinical supervisor spends with you, s/he is most likely spending another hour in preparation — completing paperwork, refining a plan to help develop you as a counselor, gathering materials, reviewing literature to meet your unique needs and interests. That’s MORE TIME.</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color w:val="333333"/>
        </w:rPr>
      </w:pPr>
      <w:r w:rsidRPr="00B60039">
        <w:rPr>
          <w:rFonts w:ascii="Helvetica" w:eastAsia="Times New Roman" w:hAnsi="Helvetica" w:cs="Helvetica"/>
          <w:color w:val="333333"/>
        </w:rPr>
        <w:t>Your clinical supervisor remains on call for you 24 hours / day.</w:t>
      </w:r>
    </w:p>
    <w:p w:rsidR="00B60039" w:rsidRPr="00B60039" w:rsidRDefault="00B60039" w:rsidP="00B60039">
      <w:pPr>
        <w:numPr>
          <w:ilvl w:val="0"/>
          <w:numId w:val="1"/>
        </w:numPr>
        <w:shd w:val="clear" w:color="auto" w:fill="FFFFFF"/>
        <w:spacing w:before="100" w:beforeAutospacing="1" w:after="100" w:afterAutospacing="1" w:line="432" w:lineRule="atLeast"/>
        <w:rPr>
          <w:rFonts w:ascii="Helvetica" w:eastAsia="Times New Roman" w:hAnsi="Helvetica" w:cs="Helvetica"/>
          <w:b/>
          <w:color w:val="333333"/>
        </w:rPr>
      </w:pPr>
      <w:r w:rsidRPr="00B60039">
        <w:rPr>
          <w:rFonts w:ascii="Helvetica" w:eastAsia="Times New Roman" w:hAnsi="Helvetica" w:cs="Helvetica"/>
          <w:color w:val="333333"/>
        </w:rPr>
        <w:t xml:space="preserve">And, long after you have completed your hours of clinical supervision, s/he remains liable for all those decisions you made while under supervision. Assuming </w:t>
      </w:r>
      <w:r w:rsidRPr="00B60039">
        <w:rPr>
          <w:rFonts w:ascii="Helvetica" w:eastAsia="Times New Roman" w:hAnsi="Helvetica" w:cs="Helvetica"/>
          <w:i/>
          <w:iCs/>
          <w:color w:val="333333"/>
        </w:rPr>
        <w:t>you</w:t>
      </w:r>
      <w:r w:rsidRPr="00B60039">
        <w:rPr>
          <w:rFonts w:ascii="Helvetica" w:eastAsia="Times New Roman" w:hAnsi="Helvetica" w:cs="Helvetica"/>
          <w:color w:val="333333"/>
        </w:rPr>
        <w:t xml:space="preserve"> are seeing 20-30 clients / week while your supervisor is also seeing that many clients / week, her choice to supervise you, in effect, </w:t>
      </w:r>
      <w:r w:rsidRPr="00B60039">
        <w:rPr>
          <w:rFonts w:ascii="Helvetica" w:eastAsia="Times New Roman" w:hAnsi="Helvetica" w:cs="Helvetica"/>
          <w:b/>
          <w:i/>
          <w:iCs/>
          <w:color w:val="333333"/>
        </w:rPr>
        <w:t xml:space="preserve">doubles her risk </w:t>
      </w:r>
      <w:r w:rsidRPr="00B60039">
        <w:rPr>
          <w:rFonts w:ascii="Helvetica" w:eastAsia="Times New Roman" w:hAnsi="Helvetica" w:cs="Helvetica"/>
          <w:b/>
          <w:color w:val="333333"/>
        </w:rPr>
        <w:t>of being sued.</w:t>
      </w:r>
    </w:p>
    <w:p w:rsidR="00D9666E" w:rsidRDefault="00E0647F"/>
    <w:sectPr w:rsidR="00D966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7F" w:rsidRDefault="00E0647F" w:rsidP="00B60039">
      <w:pPr>
        <w:spacing w:after="0" w:line="240" w:lineRule="auto"/>
      </w:pPr>
      <w:r>
        <w:separator/>
      </w:r>
    </w:p>
  </w:endnote>
  <w:endnote w:type="continuationSeparator" w:id="0">
    <w:p w:rsidR="00E0647F" w:rsidRDefault="00E0647F" w:rsidP="00B6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76283"/>
      <w:docPartObj>
        <w:docPartGallery w:val="Page Numbers (Bottom of Page)"/>
        <w:docPartUnique/>
      </w:docPartObj>
    </w:sdtPr>
    <w:sdtEndPr>
      <w:rPr>
        <w:noProof/>
      </w:rPr>
    </w:sdtEndPr>
    <w:sdtContent>
      <w:p w:rsidR="00B60039" w:rsidRDefault="00B60039">
        <w:pPr>
          <w:pStyle w:val="Footer"/>
          <w:jc w:val="center"/>
        </w:pPr>
        <w:r>
          <w:fldChar w:fldCharType="begin"/>
        </w:r>
        <w:r>
          <w:instrText xml:space="preserve"> PAGE   \* MERGEFORMAT </w:instrText>
        </w:r>
        <w:r>
          <w:fldChar w:fldCharType="separate"/>
        </w:r>
        <w:r w:rsidR="006E482A">
          <w:rPr>
            <w:noProof/>
          </w:rPr>
          <w:t>1</w:t>
        </w:r>
        <w:r>
          <w:rPr>
            <w:noProof/>
          </w:rPr>
          <w:fldChar w:fldCharType="end"/>
        </w:r>
      </w:p>
    </w:sdtContent>
  </w:sdt>
  <w:p w:rsidR="00B60039" w:rsidRDefault="00B6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7F" w:rsidRDefault="00E0647F" w:rsidP="00B60039">
      <w:pPr>
        <w:spacing w:after="0" w:line="240" w:lineRule="auto"/>
      </w:pPr>
      <w:r>
        <w:separator/>
      </w:r>
    </w:p>
  </w:footnote>
  <w:footnote w:type="continuationSeparator" w:id="0">
    <w:p w:rsidR="00E0647F" w:rsidRDefault="00E0647F" w:rsidP="00B6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4E1"/>
    <w:multiLevelType w:val="multilevel"/>
    <w:tmpl w:val="CE3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39"/>
    <w:rsid w:val="001F04AD"/>
    <w:rsid w:val="00234E90"/>
    <w:rsid w:val="006E482A"/>
    <w:rsid w:val="00B60039"/>
    <w:rsid w:val="00E0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39"/>
    <w:rPr>
      <w:rFonts w:ascii="Tahoma" w:hAnsi="Tahoma" w:cs="Tahoma"/>
      <w:sz w:val="16"/>
      <w:szCs w:val="16"/>
    </w:rPr>
  </w:style>
  <w:style w:type="paragraph" w:styleId="Header">
    <w:name w:val="header"/>
    <w:basedOn w:val="Normal"/>
    <w:link w:val="HeaderChar"/>
    <w:uiPriority w:val="99"/>
    <w:unhideWhenUsed/>
    <w:rsid w:val="00B60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039"/>
  </w:style>
  <w:style w:type="paragraph" w:styleId="Footer">
    <w:name w:val="footer"/>
    <w:basedOn w:val="Normal"/>
    <w:link w:val="FooterChar"/>
    <w:uiPriority w:val="99"/>
    <w:unhideWhenUsed/>
    <w:rsid w:val="00B60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39"/>
    <w:rPr>
      <w:rFonts w:ascii="Tahoma" w:hAnsi="Tahoma" w:cs="Tahoma"/>
      <w:sz w:val="16"/>
      <w:szCs w:val="16"/>
    </w:rPr>
  </w:style>
  <w:style w:type="paragraph" w:styleId="Header">
    <w:name w:val="header"/>
    <w:basedOn w:val="Normal"/>
    <w:link w:val="HeaderChar"/>
    <w:uiPriority w:val="99"/>
    <w:unhideWhenUsed/>
    <w:rsid w:val="00B60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039"/>
  </w:style>
  <w:style w:type="paragraph" w:styleId="Footer">
    <w:name w:val="footer"/>
    <w:basedOn w:val="Normal"/>
    <w:link w:val="FooterChar"/>
    <w:uiPriority w:val="99"/>
    <w:unhideWhenUsed/>
    <w:rsid w:val="00B60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44864">
      <w:bodyDiv w:val="1"/>
      <w:marLeft w:val="0"/>
      <w:marRight w:val="0"/>
      <w:marTop w:val="0"/>
      <w:marBottom w:val="0"/>
      <w:divBdr>
        <w:top w:val="none" w:sz="0" w:space="0" w:color="auto"/>
        <w:left w:val="none" w:sz="0" w:space="0" w:color="auto"/>
        <w:bottom w:val="none" w:sz="0" w:space="0" w:color="auto"/>
        <w:right w:val="none" w:sz="0" w:space="0" w:color="auto"/>
      </w:divBdr>
      <w:divsChild>
        <w:div w:id="948201291">
          <w:marLeft w:val="0"/>
          <w:marRight w:val="0"/>
          <w:marTop w:val="0"/>
          <w:marBottom w:val="0"/>
          <w:divBdr>
            <w:top w:val="none" w:sz="0" w:space="0" w:color="auto"/>
            <w:left w:val="none" w:sz="0" w:space="0" w:color="auto"/>
            <w:bottom w:val="none" w:sz="0" w:space="0" w:color="auto"/>
            <w:right w:val="none" w:sz="0" w:space="0" w:color="auto"/>
          </w:divBdr>
          <w:divsChild>
            <w:div w:id="374695431">
              <w:marLeft w:val="0"/>
              <w:marRight w:val="0"/>
              <w:marTop w:val="225"/>
              <w:marBottom w:val="0"/>
              <w:divBdr>
                <w:top w:val="none" w:sz="0" w:space="0" w:color="auto"/>
                <w:left w:val="none" w:sz="0" w:space="0" w:color="auto"/>
                <w:bottom w:val="none" w:sz="0" w:space="0" w:color="auto"/>
                <w:right w:val="none" w:sz="0" w:space="0" w:color="auto"/>
              </w:divBdr>
              <w:divsChild>
                <w:div w:id="1042024696">
                  <w:marLeft w:val="0"/>
                  <w:marRight w:val="0"/>
                  <w:marTop w:val="0"/>
                  <w:marBottom w:val="0"/>
                  <w:divBdr>
                    <w:top w:val="none" w:sz="0" w:space="0" w:color="auto"/>
                    <w:left w:val="none" w:sz="0" w:space="0" w:color="auto"/>
                    <w:bottom w:val="none" w:sz="0" w:space="0" w:color="auto"/>
                    <w:right w:val="none" w:sz="0" w:space="0" w:color="auto"/>
                  </w:divBdr>
                  <w:divsChild>
                    <w:div w:id="997919616">
                      <w:marLeft w:val="0"/>
                      <w:marRight w:val="0"/>
                      <w:marTop w:val="0"/>
                      <w:marBottom w:val="0"/>
                      <w:divBdr>
                        <w:top w:val="none" w:sz="0" w:space="0" w:color="auto"/>
                        <w:left w:val="none" w:sz="0" w:space="0" w:color="auto"/>
                        <w:bottom w:val="none" w:sz="0" w:space="0" w:color="auto"/>
                        <w:right w:val="none" w:sz="0" w:space="0" w:color="auto"/>
                      </w:divBdr>
                      <w:divsChild>
                        <w:div w:id="963998886">
                          <w:marLeft w:val="0"/>
                          <w:marRight w:val="0"/>
                          <w:marTop w:val="0"/>
                          <w:marBottom w:val="0"/>
                          <w:divBdr>
                            <w:top w:val="none" w:sz="0" w:space="0" w:color="auto"/>
                            <w:left w:val="none" w:sz="0" w:space="0" w:color="auto"/>
                            <w:bottom w:val="none" w:sz="0" w:space="0" w:color="auto"/>
                            <w:right w:val="none" w:sz="0" w:space="0" w:color="auto"/>
                          </w:divBdr>
                          <w:divsChild>
                            <w:div w:id="1624843030">
                              <w:marLeft w:val="0"/>
                              <w:marRight w:val="0"/>
                              <w:marTop w:val="0"/>
                              <w:marBottom w:val="225"/>
                              <w:divBdr>
                                <w:top w:val="none" w:sz="0" w:space="0" w:color="auto"/>
                                <w:left w:val="none" w:sz="0" w:space="0" w:color="auto"/>
                                <w:bottom w:val="none" w:sz="0" w:space="0" w:color="auto"/>
                                <w:right w:val="none" w:sz="0" w:space="0" w:color="auto"/>
                              </w:divBdr>
                            </w:div>
                            <w:div w:id="958687274">
                              <w:marLeft w:val="0"/>
                              <w:marRight w:val="0"/>
                              <w:marTop w:val="0"/>
                              <w:marBottom w:val="0"/>
                              <w:divBdr>
                                <w:top w:val="none" w:sz="0" w:space="0" w:color="auto"/>
                                <w:left w:val="none" w:sz="0" w:space="0" w:color="auto"/>
                                <w:bottom w:val="none" w:sz="0" w:space="0" w:color="auto"/>
                                <w:right w:val="none" w:sz="0" w:space="0" w:color="auto"/>
                              </w:divBdr>
                              <w:divsChild>
                                <w:div w:id="440733390">
                                  <w:marLeft w:val="0"/>
                                  <w:marRight w:val="0"/>
                                  <w:marTop w:val="0"/>
                                  <w:marBottom w:val="0"/>
                                  <w:divBdr>
                                    <w:top w:val="single" w:sz="6" w:space="8" w:color="DDDDDD"/>
                                    <w:left w:val="single" w:sz="6" w:space="4" w:color="DDDDDD"/>
                                    <w:bottom w:val="single" w:sz="6" w:space="0" w:color="DDDDDD"/>
                                    <w:right w:val="single" w:sz="6" w:space="4"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ingsprivatepractice.com/author/tama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lickr.com/photos/aut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2</cp:revision>
  <dcterms:created xsi:type="dcterms:W3CDTF">2012-09-09T18:22:00Z</dcterms:created>
  <dcterms:modified xsi:type="dcterms:W3CDTF">2012-09-09T18:22:00Z</dcterms:modified>
</cp:coreProperties>
</file>