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67" w:rsidRPr="00C847DC" w:rsidRDefault="00084A57" w:rsidP="00C847DC">
      <w:pPr>
        <w:pStyle w:val="Heading1"/>
      </w:pPr>
      <w:r w:rsidRPr="00C847DC">
        <w:t>14041</w:t>
      </w:r>
      <w:r w:rsidR="00F913D0">
        <w:t>4</w:t>
      </w:r>
      <w:r w:rsidRPr="00C847DC">
        <w:t xml:space="preserve"> NTF </w:t>
      </w:r>
      <w:proofErr w:type="spellStart"/>
      <w:r w:rsidR="00F913D0">
        <w:t>Stirling’s</w:t>
      </w:r>
      <w:proofErr w:type="spellEnd"/>
      <w:r w:rsidR="00F913D0">
        <w:t xml:space="preserve"> Approximation</w:t>
      </w:r>
    </w:p>
    <w:p w:rsidR="00084A57" w:rsidRPr="00C847DC" w:rsidRDefault="00084A57">
      <w:pPr>
        <w:rPr>
          <w:sz w:val="28"/>
        </w:rPr>
      </w:pPr>
    </w:p>
    <w:p w:rsidR="00084A57" w:rsidRPr="00C847DC" w:rsidRDefault="00084A57">
      <w:pPr>
        <w:rPr>
          <w:sz w:val="28"/>
        </w:rPr>
      </w:pPr>
      <w:r w:rsidRPr="00C847DC">
        <w:rPr>
          <w:sz w:val="28"/>
        </w:rPr>
        <w:t>Note To File:</w:t>
      </w:r>
    </w:p>
    <w:p w:rsidR="00084A57" w:rsidRPr="00C847DC" w:rsidRDefault="00084A57">
      <w:pPr>
        <w:rPr>
          <w:sz w:val="28"/>
        </w:rPr>
      </w:pPr>
      <w:r w:rsidRPr="00C847DC">
        <w:rPr>
          <w:sz w:val="28"/>
        </w:rPr>
        <w:t>G. H. Boyle</w:t>
      </w:r>
    </w:p>
    <w:p w:rsidR="00084A57" w:rsidRDefault="00084A57">
      <w:pPr>
        <w:rPr>
          <w:sz w:val="28"/>
        </w:rPr>
      </w:pPr>
      <w:r w:rsidRPr="00C847DC">
        <w:rPr>
          <w:sz w:val="28"/>
        </w:rPr>
        <w:t>14 April 2014</w:t>
      </w:r>
    </w:p>
    <w:p w:rsidR="00F913D0" w:rsidRDefault="00F913D0">
      <w:pPr>
        <w:rPr>
          <w:sz w:val="28"/>
        </w:rPr>
      </w:pPr>
    </w:p>
    <w:p w:rsidR="00F913D0" w:rsidRDefault="00F913D0" w:rsidP="00F913D0">
      <w:pPr>
        <w:pStyle w:val="Heading2"/>
      </w:pPr>
      <w:r>
        <w:t>References:</w:t>
      </w:r>
    </w:p>
    <w:p w:rsidR="008D633C" w:rsidRDefault="008D633C" w:rsidP="00F913D0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140209 </w:t>
      </w:r>
      <w:r w:rsidR="0004167F">
        <w:rPr>
          <w:sz w:val="28"/>
        </w:rPr>
        <w:t xml:space="preserve">NTF </w:t>
      </w:r>
      <w:r>
        <w:rPr>
          <w:sz w:val="28"/>
        </w:rPr>
        <w:t>How to write a function in Excel</w:t>
      </w:r>
    </w:p>
    <w:p w:rsidR="008D633C" w:rsidRDefault="008D633C" w:rsidP="008D633C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140409 NTF </w:t>
      </w:r>
      <w:proofErr w:type="gramStart"/>
      <w:r>
        <w:rPr>
          <w:sz w:val="28"/>
        </w:rPr>
        <w:t>Discussion</w:t>
      </w:r>
      <w:proofErr w:type="gramEnd"/>
      <w:r>
        <w:rPr>
          <w:sz w:val="28"/>
        </w:rPr>
        <w:t xml:space="preserve"> with </w:t>
      </w:r>
      <w:proofErr w:type="spellStart"/>
      <w:r>
        <w:rPr>
          <w:sz w:val="28"/>
        </w:rPr>
        <w:t>Dr</w:t>
      </w:r>
      <w:proofErr w:type="spellEnd"/>
      <w:r>
        <w:rPr>
          <w:sz w:val="28"/>
        </w:rPr>
        <w:t xml:space="preserve"> Yakovenko.</w:t>
      </w:r>
    </w:p>
    <w:p w:rsidR="008D633C" w:rsidRDefault="008D633C" w:rsidP="008D633C">
      <w:pPr>
        <w:pStyle w:val="ListParagraph"/>
        <w:numPr>
          <w:ilvl w:val="0"/>
          <w:numId w:val="7"/>
        </w:numPr>
        <w:rPr>
          <w:sz w:val="28"/>
        </w:rPr>
      </w:pPr>
      <w:proofErr w:type="gramStart"/>
      <w:r>
        <w:rPr>
          <w:sz w:val="28"/>
        </w:rPr>
        <w:t>140412 NTF Entropy in a Histogram.</w:t>
      </w:r>
      <w:proofErr w:type="gramEnd"/>
    </w:p>
    <w:p w:rsidR="00F913D0" w:rsidRDefault="00F913D0" w:rsidP="00F913D0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140414 </w:t>
      </w:r>
      <w:proofErr w:type="spellStart"/>
      <w:r>
        <w:rPr>
          <w:sz w:val="28"/>
        </w:rPr>
        <w:t>Stirling’s</w:t>
      </w:r>
      <w:proofErr w:type="spellEnd"/>
      <w:r>
        <w:rPr>
          <w:sz w:val="28"/>
        </w:rPr>
        <w:t xml:space="preserve"> Approximation.xlsm (a spreadsheet).</w:t>
      </w:r>
    </w:p>
    <w:p w:rsidR="008D633C" w:rsidRPr="00F913D0" w:rsidRDefault="008D633C" w:rsidP="00F913D0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140416 Entropy Equations with </w:t>
      </w:r>
      <w:proofErr w:type="spellStart"/>
      <w:r>
        <w:rPr>
          <w:sz w:val="28"/>
        </w:rPr>
        <w:t>Stirling’s</w:t>
      </w:r>
      <w:proofErr w:type="spellEnd"/>
      <w:r>
        <w:rPr>
          <w:sz w:val="28"/>
        </w:rPr>
        <w:t xml:space="preserve"> Approximation.</w:t>
      </w:r>
      <w:bookmarkStart w:id="0" w:name="_GoBack"/>
      <w:bookmarkEnd w:id="0"/>
    </w:p>
    <w:p w:rsidR="00C847DC" w:rsidRPr="00C847DC" w:rsidRDefault="00C847DC" w:rsidP="00C847DC">
      <w:pPr>
        <w:pStyle w:val="Heading2"/>
      </w:pPr>
      <w:r>
        <w:t>Background</w:t>
      </w:r>
    </w:p>
    <w:p w:rsidR="00084A57" w:rsidRPr="00C847DC" w:rsidRDefault="00D738AB">
      <w:pPr>
        <w:rPr>
          <w:sz w:val="28"/>
        </w:rPr>
      </w:pPr>
      <w:r>
        <w:rPr>
          <w:sz w:val="28"/>
        </w:rPr>
        <w:t xml:space="preserve">This note is written in an attempt to understand exactly how </w:t>
      </w:r>
      <w:proofErr w:type="spellStart"/>
      <w:r>
        <w:rPr>
          <w:sz w:val="28"/>
        </w:rPr>
        <w:t>Stirling’s</w:t>
      </w:r>
      <w:proofErr w:type="spellEnd"/>
      <w:r>
        <w:rPr>
          <w:sz w:val="28"/>
        </w:rPr>
        <w:t xml:space="preserve"> approximation to </w:t>
      </w:r>
      <w:proofErr w:type="gramStart"/>
      <w:r>
        <w:rPr>
          <w:sz w:val="28"/>
        </w:rPr>
        <w:t>ln(</w:t>
      </w:r>
      <w:proofErr w:type="gramEnd"/>
      <w:r>
        <w:rPr>
          <w:sz w:val="28"/>
        </w:rPr>
        <w:t>A!) works.</w:t>
      </w:r>
    </w:p>
    <w:p w:rsidR="00084A57" w:rsidRPr="00C847DC" w:rsidRDefault="00C847DC" w:rsidP="00C847DC">
      <w:pPr>
        <w:pStyle w:val="Heading2"/>
      </w:pPr>
      <w:proofErr w:type="spellStart"/>
      <w:r>
        <w:t>Stirling’s</w:t>
      </w:r>
      <w:proofErr w:type="spellEnd"/>
      <w:r>
        <w:t xml:space="preserve"> Approximation</w:t>
      </w:r>
    </w:p>
    <w:p w:rsidR="00084A57" w:rsidRDefault="00084A57">
      <w:pPr>
        <w:rPr>
          <w:sz w:val="28"/>
        </w:rPr>
      </w:pPr>
      <w:r w:rsidRPr="00C847DC">
        <w:rPr>
          <w:sz w:val="28"/>
        </w:rPr>
        <w:t>This is “</w:t>
      </w:r>
      <w:proofErr w:type="spellStart"/>
      <w:r w:rsidRPr="00C847DC">
        <w:rPr>
          <w:sz w:val="28"/>
        </w:rPr>
        <w:t>Stirling’s</w:t>
      </w:r>
      <w:proofErr w:type="spellEnd"/>
      <w:r w:rsidRPr="00C847DC">
        <w:rPr>
          <w:sz w:val="28"/>
        </w:rPr>
        <w:t xml:space="preserve"> approximation” for </w:t>
      </w:r>
      <w:proofErr w:type="gramStart"/>
      <w:r w:rsidRPr="00C847DC">
        <w:rPr>
          <w:sz w:val="28"/>
        </w:rPr>
        <w:t>ln(</w:t>
      </w:r>
      <w:proofErr w:type="gramEnd"/>
      <w:r w:rsidRPr="00C847DC">
        <w:rPr>
          <w:sz w:val="28"/>
        </w:rPr>
        <w:t>N!):</w:t>
      </w:r>
    </w:p>
    <w:p w:rsidR="00BB4616" w:rsidRPr="00C847DC" w:rsidRDefault="00BB4616">
      <w:pPr>
        <w:rPr>
          <w:sz w:val="28"/>
        </w:rPr>
      </w:pPr>
    </w:p>
    <w:p w:rsidR="00084A57" w:rsidRPr="00F643F5" w:rsidRDefault="006E44CC">
      <w:pPr>
        <w:rPr>
          <w:sz w:val="28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N!</m:t>
                  </m:r>
                </m:e>
              </m:d>
            </m:e>
          </m:func>
          <m:r>
            <w:rPr>
              <w:rFonts w:ascii="Cambria Math" w:hAnsi="Cambria Math"/>
              <w:sz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NLn(N)</m:t>
              </m:r>
            </m:e>
          </m:d>
          <m:r>
            <w:rPr>
              <w:rFonts w:ascii="Cambria Math" w:hAnsi="Cambria Math"/>
              <w:sz w:val="28"/>
            </w:rPr>
            <m:t>-N</m:t>
          </m:r>
        </m:oMath>
      </m:oMathPara>
    </w:p>
    <w:p w:rsidR="00F643F5" w:rsidRDefault="00F643F5">
      <w:pPr>
        <w:rPr>
          <w:sz w:val="28"/>
        </w:rPr>
      </w:pPr>
    </w:p>
    <w:p w:rsidR="00F643F5" w:rsidRPr="00C847DC" w:rsidRDefault="00F643F5">
      <w:pPr>
        <w:rPr>
          <w:sz w:val="28"/>
        </w:rPr>
      </w:pPr>
      <w:r>
        <w:rPr>
          <w:sz w:val="28"/>
        </w:rPr>
        <w:t xml:space="preserve">It is used in the formulae for entropy when </w:t>
      </w:r>
      <w:r w:rsidR="0067165C">
        <w:rPr>
          <w:sz w:val="28"/>
        </w:rPr>
        <w:t>N</w:t>
      </w:r>
      <w:r>
        <w:rPr>
          <w:sz w:val="28"/>
        </w:rPr>
        <w:t xml:space="preserve">! </w:t>
      </w:r>
      <w:proofErr w:type="gramStart"/>
      <w:r>
        <w:rPr>
          <w:sz w:val="28"/>
        </w:rPr>
        <w:t>is</w:t>
      </w:r>
      <w:proofErr w:type="gramEnd"/>
      <w:r>
        <w:rPr>
          <w:sz w:val="28"/>
        </w:rPr>
        <w:t xml:space="preserve"> too large to be calculated.</w:t>
      </w:r>
    </w:p>
    <w:p w:rsidR="00084A57" w:rsidRPr="00C847DC" w:rsidRDefault="00C847DC" w:rsidP="00C847DC">
      <w:pPr>
        <w:pStyle w:val="Heading2"/>
      </w:pPr>
      <w:r>
        <w:t>Standard Definition of Entropy</w:t>
      </w:r>
    </w:p>
    <w:p w:rsidR="00084A57" w:rsidRPr="00C847DC" w:rsidRDefault="00084A57">
      <w:pPr>
        <w:rPr>
          <w:sz w:val="28"/>
        </w:rPr>
      </w:pPr>
      <w:r w:rsidRPr="00C847DC">
        <w:rPr>
          <w:sz w:val="28"/>
        </w:rPr>
        <w:t>This is the standard equation for the definition of entropy:</w:t>
      </w:r>
    </w:p>
    <w:p w:rsidR="00084A57" w:rsidRPr="00C847DC" w:rsidRDefault="00084A57">
      <w:pPr>
        <w:rPr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S=</m:t>
          </m:r>
          <m:r>
            <m:rPr>
              <m:sty m:val="p"/>
            </m:rPr>
            <w:rPr>
              <w:rFonts w:ascii="Cambria Math" w:hAnsi="Cambria Math"/>
              <w:sz w:val="28"/>
            </w:rPr>
            <m:t>ln⁡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i/>
                  <w:sz w:val="28"/>
                </w:rPr>
                <w:sym w:font="Symbol" w:char="F057"/>
              </m:r>
            </m:e>
          </m:d>
        </m:oMath>
      </m:oMathPara>
    </w:p>
    <w:p w:rsidR="00084A57" w:rsidRPr="00C847DC" w:rsidRDefault="00084A57">
      <w:pPr>
        <w:rPr>
          <w:sz w:val="28"/>
        </w:rPr>
      </w:pPr>
    </w:p>
    <w:p w:rsidR="00084A57" w:rsidRPr="00C847DC" w:rsidRDefault="00C847DC">
      <w:pPr>
        <w:rPr>
          <w:sz w:val="28"/>
        </w:rPr>
      </w:pPr>
      <w:proofErr w:type="gramStart"/>
      <w:r>
        <w:rPr>
          <w:sz w:val="28"/>
        </w:rPr>
        <w:t>w</w:t>
      </w:r>
      <w:r w:rsidR="00084A57" w:rsidRPr="00C847DC">
        <w:rPr>
          <w:sz w:val="28"/>
        </w:rPr>
        <w:t>here</w:t>
      </w:r>
      <w:proofErr w:type="gramEnd"/>
      <w:r w:rsidR="00B15290">
        <w:rPr>
          <w:sz w:val="28"/>
        </w:rPr>
        <w:t xml:space="preserve"> </w:t>
      </w:r>
      <w:r w:rsidR="00B15290">
        <w:rPr>
          <w:sz w:val="28"/>
        </w:rPr>
        <w:sym w:font="Symbol" w:char="F057"/>
      </w:r>
      <w:r w:rsidR="00B15290">
        <w:rPr>
          <w:sz w:val="28"/>
        </w:rPr>
        <w:t xml:space="preserve"> is the total number of possible microstates </w:t>
      </w:r>
      <w:r w:rsidR="00F913D0">
        <w:rPr>
          <w:sz w:val="28"/>
        </w:rPr>
        <w:t>associated with one configuration of a histogram</w:t>
      </w:r>
      <w:r w:rsidR="00084A57" w:rsidRPr="00C847DC">
        <w:rPr>
          <w:sz w:val="28"/>
        </w:rPr>
        <w:t>:</w:t>
      </w:r>
    </w:p>
    <w:p w:rsidR="00B5597F" w:rsidRDefault="00B5597F">
      <w:pPr>
        <w:rPr>
          <w:sz w:val="28"/>
        </w:rPr>
      </w:pPr>
      <m:oMathPara>
        <m:oMath>
          <m:r>
            <w:rPr>
              <w:rFonts w:ascii="Cambria Math" w:hAnsi="Cambria Math"/>
              <w:i/>
              <w:sz w:val="28"/>
            </w:rPr>
            <w:sym w:font="Symbol" w:char="F057"/>
          </m:r>
          <m:r>
            <w:rPr>
              <w:rFonts w:ascii="Cambria Math" w:hAnsi="Cambria Math"/>
              <w:sz w:val="28"/>
            </w:rPr>
            <m:t>=</m:t>
          </m:r>
          <m:f>
            <m:fPr>
              <m:type m:val="skw"/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N!</m:t>
              </m:r>
            </m:num>
            <m:den>
              <m:nary>
                <m:naryPr>
                  <m:chr m:val="∏"/>
                  <m:limLoc m:val="subSup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28"/>
                    </w:rPr>
                    <m:t>K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</w:rPr>
                        <m:t>!</m:t>
                      </m:r>
                    </m:e>
                  </m:d>
                </m:e>
              </m:nary>
            </m:den>
          </m:f>
        </m:oMath>
      </m:oMathPara>
    </w:p>
    <w:p w:rsidR="00B5597F" w:rsidRPr="00C847DC" w:rsidRDefault="00B5597F">
      <w:pPr>
        <w:rPr>
          <w:sz w:val="28"/>
        </w:rPr>
      </w:pPr>
      <w:proofErr w:type="gramStart"/>
      <w:r>
        <w:rPr>
          <w:sz w:val="28"/>
        </w:rPr>
        <w:t>in</w:t>
      </w:r>
      <w:proofErr w:type="gramEnd"/>
      <w:r>
        <w:rPr>
          <w:sz w:val="28"/>
        </w:rPr>
        <w:t xml:space="preserve"> a K-bin histogram.</w:t>
      </w:r>
    </w:p>
    <w:p w:rsidR="00F643F5" w:rsidRPr="00997F95" w:rsidRDefault="00F643F5" w:rsidP="00F643F5">
      <w:pPr>
        <w:rPr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S=ln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N!</m:t>
                  </m:r>
                </m:num>
                <m:den>
                  <m:nary>
                    <m:naryPr>
                      <m:chr m:val="∏"/>
                      <m:limLoc m:val="subSup"/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K</m:t>
                      </m:r>
                    </m:sup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8"/>
                            </w:rPr>
                            <m:t>!</m:t>
                          </m:r>
                        </m:e>
                      </m:d>
                    </m:e>
                  </m:nary>
                </m:den>
              </m:f>
            </m:e>
          </m:d>
          <m:func>
            <m:funcPr>
              <m:ctrlPr>
                <w:rPr>
                  <w:rFonts w:ascii="Cambria Math" w:hAnsi="Cambria Math"/>
                  <w:sz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=ln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N!</m:t>
                  </m:r>
                </m:e>
              </m:d>
            </m:e>
          </m:func>
          <m:r>
            <w:rPr>
              <w:rFonts w:ascii="Cambria Math" w:hAnsi="Cambria Math"/>
              <w:sz w:val="28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</w:rPr>
                <m:t>K</m:t>
              </m:r>
            </m:sup>
            <m:e>
              <m:r>
                <w:rPr>
                  <w:rFonts w:ascii="Cambria Math" w:hAnsi="Cambria Math"/>
                  <w:sz w:val="28"/>
                </w:rPr>
                <m:t>ln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</w:rPr>
                    <m:t>!</m:t>
                  </m:r>
                </m:e>
              </m:d>
            </m:e>
          </m:nary>
        </m:oMath>
      </m:oMathPara>
    </w:p>
    <w:p w:rsidR="00F034AF" w:rsidRPr="00F034AF" w:rsidRDefault="00F034AF">
      <w:pPr>
        <w:rPr>
          <w:sz w:val="28"/>
        </w:rPr>
      </w:pPr>
    </w:p>
    <w:p w:rsidR="00F034AF" w:rsidRDefault="00F034AF">
      <w:pPr>
        <w:rPr>
          <w:sz w:val="28"/>
        </w:rPr>
      </w:pPr>
      <w:r>
        <w:rPr>
          <w:sz w:val="28"/>
        </w:rPr>
        <w:lastRenderedPageBreak/>
        <w:t xml:space="preserve">But MS Excel cannot calculate </w:t>
      </w:r>
      <w:proofErr w:type="gramStart"/>
      <w:r>
        <w:rPr>
          <w:sz w:val="28"/>
        </w:rPr>
        <w:t>ln(</w:t>
      </w:r>
      <w:proofErr w:type="gramEnd"/>
      <w:r w:rsidR="0067165C">
        <w:rPr>
          <w:sz w:val="28"/>
        </w:rPr>
        <w:t>N</w:t>
      </w:r>
      <w:r>
        <w:rPr>
          <w:sz w:val="28"/>
        </w:rPr>
        <w:t xml:space="preserve">!) if </w:t>
      </w:r>
      <w:r w:rsidR="0067165C">
        <w:rPr>
          <w:sz w:val="28"/>
        </w:rPr>
        <w:t xml:space="preserve">N </w:t>
      </w:r>
      <w:r>
        <w:rPr>
          <w:sz w:val="28"/>
        </w:rPr>
        <w:sym w:font="Symbol" w:char="F03E"/>
      </w:r>
      <w:r>
        <w:rPr>
          <w:sz w:val="28"/>
        </w:rPr>
        <w:t xml:space="preserve"> 170.  That’s a pretty small number.  To compare my analytical results (developed in MS Excel) with my experimental results (developed using C++ in the </w:t>
      </w:r>
      <w:proofErr w:type="spellStart"/>
      <w:r>
        <w:rPr>
          <w:sz w:val="28"/>
        </w:rPr>
        <w:t>EiLab</w:t>
      </w:r>
      <w:proofErr w:type="spellEnd"/>
      <w:r>
        <w:rPr>
          <w:sz w:val="28"/>
        </w:rPr>
        <w:t xml:space="preserve"> application) usefully, I need to use </w:t>
      </w:r>
      <w:proofErr w:type="spellStart"/>
      <w:r>
        <w:rPr>
          <w:sz w:val="28"/>
        </w:rPr>
        <w:t>Stirling’s</w:t>
      </w:r>
      <w:proofErr w:type="spellEnd"/>
      <w:r>
        <w:rPr>
          <w:sz w:val="28"/>
        </w:rPr>
        <w:t xml:space="preserve"> approximation whenever one of the following happens:</w:t>
      </w:r>
    </w:p>
    <w:p w:rsidR="00F034AF" w:rsidRDefault="0067165C" w:rsidP="00F034AF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N</w:t>
      </w:r>
      <w:r w:rsidR="00F034AF">
        <w:rPr>
          <w:sz w:val="28"/>
        </w:rPr>
        <w:t xml:space="preserve"> </w:t>
      </w:r>
      <w:r w:rsidR="00F034AF">
        <w:rPr>
          <w:sz w:val="28"/>
        </w:rPr>
        <w:sym w:font="Symbol" w:char="F03E"/>
      </w:r>
      <w:r w:rsidR="00F034AF">
        <w:rPr>
          <w:sz w:val="28"/>
        </w:rPr>
        <w:t xml:space="preserve"> 170;</w:t>
      </w:r>
      <w:r w:rsidR="00F913D0">
        <w:rPr>
          <w:sz w:val="28"/>
        </w:rPr>
        <w:t xml:space="preserve"> or</w:t>
      </w:r>
    </w:p>
    <w:p w:rsidR="00F034AF" w:rsidRPr="00F913D0" w:rsidRDefault="0067165C" w:rsidP="00F034AF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N</w:t>
      </w:r>
      <w:r w:rsidR="00F034AF" w:rsidRPr="00F913D0">
        <w:rPr>
          <w:sz w:val="28"/>
          <w:vertAlign w:val="subscript"/>
        </w:rPr>
        <w:t>i</w:t>
      </w:r>
      <w:r w:rsidR="00F034AF" w:rsidRPr="00F913D0">
        <w:rPr>
          <w:sz w:val="28"/>
        </w:rPr>
        <w:t xml:space="preserve"> </w:t>
      </w:r>
      <w:r w:rsidR="00F034AF">
        <w:rPr>
          <w:sz w:val="28"/>
        </w:rPr>
        <w:sym w:font="Symbol" w:char="F03E"/>
      </w:r>
      <w:r w:rsidR="00F034AF" w:rsidRPr="00F913D0">
        <w:rPr>
          <w:sz w:val="28"/>
        </w:rPr>
        <w:t xml:space="preserve"> 170.</w:t>
      </w:r>
    </w:p>
    <w:p w:rsidR="00BB4616" w:rsidRDefault="00BB4616" w:rsidP="00315F7B">
      <w:pPr>
        <w:rPr>
          <w:sz w:val="28"/>
        </w:rPr>
      </w:pPr>
    </w:p>
    <w:p w:rsidR="00F913D0" w:rsidRDefault="00F913D0" w:rsidP="00F913D0">
      <w:pPr>
        <w:pStyle w:val="Heading2"/>
      </w:pPr>
      <w:r>
        <w:t>Spreadsheet outputs</w:t>
      </w:r>
    </w:p>
    <w:p w:rsidR="00BB4616" w:rsidRDefault="00BB4616" w:rsidP="00315F7B">
      <w:pPr>
        <w:rPr>
          <w:sz w:val="28"/>
        </w:rPr>
      </w:pPr>
      <w:r>
        <w:rPr>
          <w:sz w:val="28"/>
        </w:rPr>
        <w:t xml:space="preserve">If you calculate </w:t>
      </w:r>
      <w:proofErr w:type="gramStart"/>
      <w:r>
        <w:rPr>
          <w:sz w:val="28"/>
        </w:rPr>
        <w:t>ln(</w:t>
      </w:r>
      <w:proofErr w:type="gramEnd"/>
      <w:r w:rsidR="0067165C">
        <w:rPr>
          <w:sz w:val="28"/>
        </w:rPr>
        <w:t>N</w:t>
      </w:r>
      <w:r>
        <w:rPr>
          <w:sz w:val="28"/>
        </w:rPr>
        <w:t xml:space="preserve">!) for </w:t>
      </w:r>
      <w:r w:rsidR="0067165C">
        <w:rPr>
          <w:sz w:val="28"/>
        </w:rPr>
        <w:t>N</w:t>
      </w:r>
      <w:r>
        <w:rPr>
          <w:sz w:val="28"/>
        </w:rPr>
        <w:t xml:space="preserve"> in [0, 170], which can be done exactly, and </w:t>
      </w:r>
      <w:proofErr w:type="spellStart"/>
      <w:r>
        <w:rPr>
          <w:sz w:val="28"/>
        </w:rPr>
        <w:t>Stirling’s</w:t>
      </w:r>
      <w:proofErr w:type="spellEnd"/>
      <w:r>
        <w:rPr>
          <w:sz w:val="28"/>
        </w:rPr>
        <w:t xml:space="preserve"> approximation for the same </w:t>
      </w:r>
      <w:r w:rsidR="0067165C">
        <w:rPr>
          <w:sz w:val="28"/>
        </w:rPr>
        <w:t>N</w:t>
      </w:r>
      <w:r>
        <w:rPr>
          <w:sz w:val="28"/>
        </w:rPr>
        <w:t>, and take the difference as a % of ln(</w:t>
      </w:r>
      <w:r w:rsidR="0067165C">
        <w:rPr>
          <w:sz w:val="28"/>
        </w:rPr>
        <w:t>N</w:t>
      </w:r>
      <w:r>
        <w:rPr>
          <w:sz w:val="28"/>
        </w:rPr>
        <w:t>!), you get an interesting graph:</w:t>
      </w:r>
    </w:p>
    <w:p w:rsidR="00BB4616" w:rsidRDefault="00BB4616" w:rsidP="00315F7B">
      <w:pPr>
        <w:rPr>
          <w:sz w:val="28"/>
        </w:rPr>
      </w:pPr>
      <w:r w:rsidRPr="00BB4616">
        <w:rPr>
          <w:noProof/>
          <w:sz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DA075" wp14:editId="2811A3B0">
                <wp:simplePos x="0" y="0"/>
                <wp:positionH relativeFrom="column">
                  <wp:posOffset>704850</wp:posOffset>
                </wp:positionH>
                <wp:positionV relativeFrom="paragraph">
                  <wp:posOffset>130810</wp:posOffset>
                </wp:positionV>
                <wp:extent cx="4248150" cy="1403985"/>
                <wp:effectExtent l="0" t="0" r="1905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961" w:rsidRDefault="008822D3" w:rsidP="00BB461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8"/>
                                <w:lang w:val="en-CA" w:eastAsia="en-CA"/>
                              </w:rPr>
                              <w:drawing>
                                <wp:inline distT="0" distB="0" distL="0" distR="0" wp14:anchorId="40CB0DD5" wp14:editId="48DE6AF6">
                                  <wp:extent cx="4048125" cy="2562225"/>
                                  <wp:effectExtent l="0" t="0" r="9525" b="952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7767" cy="25683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5pt;margin-top:10.3pt;width:334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">
                <v:textbox style="mso-fit-shape-to-text:t">
                  <w:txbxContent>
                    <w:p w:rsidR="00AC7961" w:rsidRDefault="008822D3" w:rsidP="00BB4616">
                      <w:pPr>
                        <w:jc w:val="center"/>
                      </w:pPr>
                      <w:r>
                        <w:rPr>
                          <w:noProof/>
                          <w:sz w:val="28"/>
                        </w:rPr>
                        <w:drawing>
                          <wp:inline distT="0" distB="0" distL="0" distR="0" wp14:anchorId="40CB0DD5" wp14:editId="48DE6AF6">
                            <wp:extent cx="4048125" cy="2562225"/>
                            <wp:effectExtent l="0" t="0" r="9525" b="952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57767" cy="25683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B4616" w:rsidRDefault="00BB4616" w:rsidP="00315F7B">
      <w:pPr>
        <w:rPr>
          <w:sz w:val="28"/>
        </w:rPr>
      </w:pPr>
    </w:p>
    <w:p w:rsidR="00BB4616" w:rsidRDefault="00BB4616" w:rsidP="00315F7B">
      <w:pPr>
        <w:rPr>
          <w:sz w:val="28"/>
        </w:rPr>
      </w:pPr>
    </w:p>
    <w:p w:rsidR="00BB4616" w:rsidRDefault="00BB4616" w:rsidP="00315F7B">
      <w:pPr>
        <w:rPr>
          <w:sz w:val="28"/>
        </w:rPr>
      </w:pPr>
    </w:p>
    <w:p w:rsidR="00BB4616" w:rsidRDefault="00BB4616" w:rsidP="00315F7B">
      <w:pPr>
        <w:rPr>
          <w:sz w:val="28"/>
        </w:rPr>
      </w:pPr>
    </w:p>
    <w:p w:rsidR="00BB4616" w:rsidRDefault="00BB4616" w:rsidP="00315F7B">
      <w:pPr>
        <w:rPr>
          <w:sz w:val="28"/>
        </w:rPr>
      </w:pPr>
    </w:p>
    <w:p w:rsidR="00BB4616" w:rsidRDefault="00BB4616" w:rsidP="00315F7B">
      <w:pPr>
        <w:rPr>
          <w:sz w:val="28"/>
        </w:rPr>
      </w:pPr>
    </w:p>
    <w:p w:rsidR="00BB4616" w:rsidRDefault="00BB4616" w:rsidP="00315F7B">
      <w:pPr>
        <w:rPr>
          <w:sz w:val="28"/>
        </w:rPr>
      </w:pPr>
    </w:p>
    <w:p w:rsidR="00BB4616" w:rsidRDefault="00BB4616" w:rsidP="00315F7B">
      <w:pPr>
        <w:rPr>
          <w:sz w:val="28"/>
        </w:rPr>
      </w:pPr>
    </w:p>
    <w:p w:rsidR="00BB4616" w:rsidRDefault="00BB4616" w:rsidP="00315F7B">
      <w:pPr>
        <w:rPr>
          <w:sz w:val="28"/>
        </w:rPr>
      </w:pPr>
    </w:p>
    <w:p w:rsidR="00BB4616" w:rsidRDefault="00BB4616" w:rsidP="00315F7B">
      <w:pPr>
        <w:rPr>
          <w:sz w:val="28"/>
        </w:rPr>
      </w:pPr>
    </w:p>
    <w:p w:rsidR="00BB4616" w:rsidRDefault="00BB4616" w:rsidP="00315F7B">
      <w:pPr>
        <w:rPr>
          <w:sz w:val="28"/>
        </w:rPr>
      </w:pPr>
    </w:p>
    <w:p w:rsidR="00BB4616" w:rsidRDefault="00BB4616" w:rsidP="00315F7B">
      <w:pPr>
        <w:rPr>
          <w:sz w:val="28"/>
        </w:rPr>
      </w:pPr>
    </w:p>
    <w:p w:rsidR="00BB4616" w:rsidRDefault="00BB4616" w:rsidP="00315F7B">
      <w:pPr>
        <w:rPr>
          <w:sz w:val="28"/>
        </w:rPr>
      </w:pPr>
      <w:r>
        <w:rPr>
          <w:sz w:val="28"/>
        </w:rPr>
        <w:t xml:space="preserve">When you get to </w:t>
      </w:r>
      <w:r w:rsidR="0067165C">
        <w:rPr>
          <w:sz w:val="28"/>
        </w:rPr>
        <w:t xml:space="preserve">N </w:t>
      </w:r>
      <w:r>
        <w:rPr>
          <w:sz w:val="28"/>
        </w:rPr>
        <w:t>=</w:t>
      </w:r>
      <w:r w:rsidR="0067165C">
        <w:rPr>
          <w:sz w:val="28"/>
        </w:rPr>
        <w:t xml:space="preserve"> </w:t>
      </w:r>
      <w:r>
        <w:rPr>
          <w:sz w:val="28"/>
        </w:rPr>
        <w:t xml:space="preserve">170 the relative error is 0.005%.  The absolute error is rising, but the value of </w:t>
      </w:r>
      <w:proofErr w:type="gramStart"/>
      <w:r>
        <w:rPr>
          <w:sz w:val="28"/>
        </w:rPr>
        <w:t>ln(</w:t>
      </w:r>
      <w:proofErr w:type="gramEnd"/>
      <w:r w:rsidR="0067165C">
        <w:rPr>
          <w:sz w:val="28"/>
        </w:rPr>
        <w:t>N</w:t>
      </w:r>
      <w:r>
        <w:rPr>
          <w:sz w:val="28"/>
        </w:rPr>
        <w:t xml:space="preserve">!) is rising faster, so the relative error continues to decline as </w:t>
      </w:r>
      <w:r w:rsidR="0067165C">
        <w:rPr>
          <w:sz w:val="28"/>
        </w:rPr>
        <w:t>N</w:t>
      </w:r>
      <w:r>
        <w:rPr>
          <w:sz w:val="28"/>
        </w:rPr>
        <w:t xml:space="preserve"> gets larger.  But for small </w:t>
      </w:r>
      <w:r w:rsidR="0067165C">
        <w:rPr>
          <w:sz w:val="28"/>
        </w:rPr>
        <w:t>N</w:t>
      </w:r>
      <w:r>
        <w:rPr>
          <w:sz w:val="28"/>
        </w:rPr>
        <w:t xml:space="preserve">, in the area where </w:t>
      </w:r>
      <w:r w:rsidR="008822D3">
        <w:rPr>
          <w:sz w:val="28"/>
        </w:rPr>
        <w:t xml:space="preserve">my </w:t>
      </w:r>
      <w:r>
        <w:rPr>
          <w:sz w:val="28"/>
        </w:rPr>
        <w:t xml:space="preserve">ABMs will be active, the relative error in </w:t>
      </w:r>
      <w:proofErr w:type="spellStart"/>
      <w:r>
        <w:rPr>
          <w:sz w:val="28"/>
        </w:rPr>
        <w:t>Stirling’s</w:t>
      </w:r>
      <w:proofErr w:type="spellEnd"/>
      <w:r>
        <w:rPr>
          <w:sz w:val="28"/>
        </w:rPr>
        <w:t xml:space="preserve"> approximation can be quite large.</w:t>
      </w:r>
    </w:p>
    <w:p w:rsidR="00BB4616" w:rsidRDefault="00BB4616" w:rsidP="00315F7B">
      <w:pPr>
        <w:rPr>
          <w:sz w:val="28"/>
        </w:rPr>
      </w:pPr>
    </w:p>
    <w:p w:rsidR="00BB4616" w:rsidRDefault="00BB4616" w:rsidP="00315F7B">
      <w:pPr>
        <w:rPr>
          <w:sz w:val="28"/>
        </w:rPr>
      </w:pPr>
      <w:r>
        <w:rPr>
          <w:sz w:val="28"/>
        </w:rPr>
        <w:t>BUT, a graph of the absolute error over the same domain is also interesting:</w:t>
      </w:r>
    </w:p>
    <w:p w:rsidR="00BB4616" w:rsidRDefault="00BB4616" w:rsidP="00315F7B">
      <w:pPr>
        <w:rPr>
          <w:sz w:val="28"/>
        </w:rPr>
      </w:pPr>
    </w:p>
    <w:p w:rsidR="00BB4616" w:rsidRDefault="00BB4616" w:rsidP="00315F7B">
      <w:pPr>
        <w:rPr>
          <w:sz w:val="28"/>
        </w:rPr>
      </w:pPr>
    </w:p>
    <w:p w:rsidR="00AC7961" w:rsidRDefault="00AC7961" w:rsidP="00315F7B">
      <w:pPr>
        <w:rPr>
          <w:sz w:val="28"/>
        </w:rPr>
      </w:pPr>
    </w:p>
    <w:p w:rsidR="00AC7961" w:rsidRDefault="00AC7961" w:rsidP="00315F7B">
      <w:pPr>
        <w:rPr>
          <w:sz w:val="28"/>
        </w:rPr>
      </w:pPr>
    </w:p>
    <w:p w:rsidR="00AC7961" w:rsidRDefault="00AC7961" w:rsidP="00315F7B">
      <w:pPr>
        <w:rPr>
          <w:sz w:val="28"/>
        </w:rPr>
      </w:pPr>
    </w:p>
    <w:p w:rsidR="00AC7961" w:rsidRDefault="00AC7961" w:rsidP="00315F7B">
      <w:pPr>
        <w:rPr>
          <w:sz w:val="28"/>
        </w:rPr>
      </w:pPr>
    </w:p>
    <w:p w:rsidR="00AC7961" w:rsidRDefault="00AC7961" w:rsidP="00315F7B">
      <w:pPr>
        <w:rPr>
          <w:sz w:val="28"/>
        </w:rPr>
      </w:pPr>
    </w:p>
    <w:p w:rsidR="00AC7961" w:rsidRDefault="0067165C" w:rsidP="00315F7B">
      <w:pPr>
        <w:rPr>
          <w:sz w:val="28"/>
        </w:rPr>
      </w:pPr>
      <w:r w:rsidRPr="00BB4616">
        <w:rPr>
          <w:noProof/>
          <w:sz w:val="28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C67AA1" wp14:editId="775B4FB2">
                <wp:simplePos x="0" y="0"/>
                <wp:positionH relativeFrom="column">
                  <wp:posOffset>790575</wp:posOffset>
                </wp:positionH>
                <wp:positionV relativeFrom="paragraph">
                  <wp:posOffset>68580</wp:posOffset>
                </wp:positionV>
                <wp:extent cx="4248150" cy="1403985"/>
                <wp:effectExtent l="0" t="0" r="19050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961" w:rsidRDefault="0095648B" w:rsidP="00AC796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8"/>
                                <w:lang w:val="en-CA" w:eastAsia="en-CA"/>
                              </w:rPr>
                              <w:drawing>
                                <wp:inline distT="0" distB="0" distL="0" distR="0" wp14:anchorId="5A5D026D" wp14:editId="3D32EF0F">
                                  <wp:extent cx="4055455" cy="3048000"/>
                                  <wp:effectExtent l="0" t="0" r="254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5455" cy="304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62.25pt;margin-top:5.4pt;width:334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">
                <v:textbox style="mso-fit-shape-to-text:t">
                  <w:txbxContent>
                    <w:p w:rsidR="00AC7961" w:rsidRDefault="0095648B" w:rsidP="00AC7961">
                      <w:pPr>
                        <w:jc w:val="center"/>
                      </w:pPr>
                      <w:r>
                        <w:rPr>
                          <w:noProof/>
                          <w:sz w:val="28"/>
                        </w:rPr>
                        <w:drawing>
                          <wp:inline distT="0" distB="0" distL="0" distR="0" wp14:anchorId="5A5D026D" wp14:editId="3D32EF0F">
                            <wp:extent cx="4055455" cy="3048000"/>
                            <wp:effectExtent l="0" t="0" r="254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55455" cy="304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C7961" w:rsidRDefault="00AC7961" w:rsidP="00315F7B">
      <w:pPr>
        <w:rPr>
          <w:sz w:val="28"/>
        </w:rPr>
      </w:pPr>
    </w:p>
    <w:p w:rsidR="00382222" w:rsidRDefault="00382222" w:rsidP="00315F7B">
      <w:pPr>
        <w:rPr>
          <w:sz w:val="28"/>
        </w:rPr>
      </w:pPr>
    </w:p>
    <w:p w:rsidR="00382222" w:rsidRDefault="00382222" w:rsidP="00315F7B">
      <w:pPr>
        <w:rPr>
          <w:sz w:val="28"/>
        </w:rPr>
      </w:pPr>
    </w:p>
    <w:p w:rsidR="00382222" w:rsidRDefault="00382222" w:rsidP="00315F7B">
      <w:pPr>
        <w:rPr>
          <w:sz w:val="28"/>
        </w:rPr>
      </w:pPr>
    </w:p>
    <w:p w:rsidR="00382222" w:rsidRDefault="00382222" w:rsidP="00315F7B">
      <w:pPr>
        <w:rPr>
          <w:sz w:val="28"/>
        </w:rPr>
      </w:pPr>
    </w:p>
    <w:p w:rsidR="00382222" w:rsidRDefault="00382222" w:rsidP="00315F7B">
      <w:pPr>
        <w:rPr>
          <w:sz w:val="28"/>
        </w:rPr>
      </w:pPr>
    </w:p>
    <w:p w:rsidR="00382222" w:rsidRDefault="00382222" w:rsidP="00315F7B">
      <w:pPr>
        <w:rPr>
          <w:sz w:val="28"/>
        </w:rPr>
      </w:pPr>
    </w:p>
    <w:p w:rsidR="00382222" w:rsidRDefault="00382222" w:rsidP="00315F7B">
      <w:pPr>
        <w:rPr>
          <w:sz w:val="28"/>
        </w:rPr>
      </w:pPr>
    </w:p>
    <w:p w:rsidR="00382222" w:rsidRDefault="00382222" w:rsidP="00315F7B">
      <w:pPr>
        <w:rPr>
          <w:sz w:val="28"/>
        </w:rPr>
      </w:pPr>
    </w:p>
    <w:p w:rsidR="00382222" w:rsidRDefault="00382222" w:rsidP="00315F7B">
      <w:pPr>
        <w:rPr>
          <w:sz w:val="28"/>
        </w:rPr>
      </w:pPr>
    </w:p>
    <w:p w:rsidR="00382222" w:rsidRDefault="00382222" w:rsidP="00315F7B">
      <w:pPr>
        <w:rPr>
          <w:sz w:val="28"/>
        </w:rPr>
      </w:pPr>
    </w:p>
    <w:p w:rsidR="0067165C" w:rsidRDefault="0067165C" w:rsidP="00315F7B">
      <w:pPr>
        <w:rPr>
          <w:sz w:val="28"/>
        </w:rPr>
      </w:pPr>
    </w:p>
    <w:p w:rsidR="0067165C" w:rsidRDefault="0067165C" w:rsidP="00315F7B">
      <w:pPr>
        <w:rPr>
          <w:sz w:val="28"/>
        </w:rPr>
      </w:pPr>
    </w:p>
    <w:p w:rsidR="0067165C" w:rsidRDefault="0067165C" w:rsidP="00315F7B">
      <w:pPr>
        <w:rPr>
          <w:sz w:val="28"/>
        </w:rPr>
      </w:pPr>
    </w:p>
    <w:p w:rsidR="00382222" w:rsidRDefault="00382222" w:rsidP="00315F7B">
      <w:pPr>
        <w:rPr>
          <w:sz w:val="28"/>
        </w:rPr>
      </w:pPr>
    </w:p>
    <w:p w:rsidR="00382222" w:rsidRDefault="00382222" w:rsidP="00315F7B">
      <w:pPr>
        <w:rPr>
          <w:sz w:val="28"/>
        </w:rPr>
      </w:pPr>
      <w:r>
        <w:rPr>
          <w:sz w:val="28"/>
        </w:rPr>
        <w:t>The blue line is the absolute error.  The black line is a logarithmic trend line produced by MS Excel, with the equation for the trend line.  I altered the formatting of the equation of the trend line to give me 16 digits of accuracy.  Note that the R-squared value is very high.</w:t>
      </w:r>
    </w:p>
    <w:p w:rsidR="00382222" w:rsidRDefault="00382222" w:rsidP="00315F7B">
      <w:pPr>
        <w:rPr>
          <w:sz w:val="28"/>
        </w:rPr>
      </w:pPr>
    </w:p>
    <w:p w:rsidR="00382222" w:rsidRDefault="00382222" w:rsidP="00315F7B">
      <w:pPr>
        <w:rPr>
          <w:sz w:val="28"/>
        </w:rPr>
      </w:pPr>
      <w:r>
        <w:rPr>
          <w:sz w:val="28"/>
        </w:rPr>
        <w:t xml:space="preserve">This gives me an idea for a variation on </w:t>
      </w:r>
      <w:proofErr w:type="spellStart"/>
      <w:r>
        <w:rPr>
          <w:sz w:val="28"/>
        </w:rPr>
        <w:t>Stirling’s</w:t>
      </w:r>
      <w:proofErr w:type="spellEnd"/>
      <w:r>
        <w:rPr>
          <w:sz w:val="28"/>
        </w:rPr>
        <w:t xml:space="preserve"> approximation that might be more useful for small values of </w:t>
      </w:r>
      <w:r w:rsidR="0067165C">
        <w:rPr>
          <w:sz w:val="28"/>
        </w:rPr>
        <w:t>N</w:t>
      </w:r>
      <w:r>
        <w:rPr>
          <w:sz w:val="28"/>
        </w:rPr>
        <w:t>.</w:t>
      </w:r>
    </w:p>
    <w:p w:rsidR="00382222" w:rsidRDefault="00382222" w:rsidP="00315F7B">
      <w:pPr>
        <w:rPr>
          <w:sz w:val="28"/>
        </w:rPr>
      </w:pPr>
    </w:p>
    <w:p w:rsidR="00382222" w:rsidRPr="00783E31" w:rsidRDefault="006E44CC" w:rsidP="00315F7B">
      <w:pPr>
        <w:rPr>
          <w:sz w:val="28"/>
        </w:rPr>
      </w:pPr>
      <m:oMathPara>
        <m:oMath>
          <m:func>
            <m:funcPr>
              <m:ctrlPr>
                <w:rPr>
                  <w:rFonts w:ascii="Cambria Math" w:hAnsi="Cambria Math"/>
                  <w:sz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N!</m:t>
                  </m:r>
                </m:e>
              </m:d>
            </m:e>
          </m:func>
          <m:r>
            <w:rPr>
              <w:rFonts w:ascii="Cambria Math" w:hAnsi="Cambria Math"/>
              <w:sz w:val="28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N+0.494257376544912</m:t>
                  </m:r>
                </m:e>
              </m:d>
              <m:r>
                <w:rPr>
                  <w:rFonts w:ascii="Cambria Math" w:hAnsi="Cambria Math"/>
                  <w:sz w:val="28"/>
                </w:rPr>
                <m:t>*</m:t>
              </m:r>
              <m:func>
                <m:funcPr>
                  <m:ctrlPr>
                    <w:rPr>
                      <w:rFonts w:ascii="Cambria Math" w:hAnsi="Cambria Math"/>
                      <w:sz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ln</m:t>
                  </m: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N</m:t>
                      </m:r>
                    </m:e>
                  </m:d>
                </m:e>
              </m:func>
            </m:e>
          </m:d>
          <m:r>
            <w:rPr>
              <w:rFonts w:ascii="Cambria Math" w:hAnsi="Cambria Math"/>
              <w:sz w:val="28"/>
            </w:rPr>
            <m:t>+0.945592090819170-N</m:t>
          </m:r>
        </m:oMath>
      </m:oMathPara>
    </w:p>
    <w:p w:rsidR="00783E31" w:rsidRDefault="00783E31" w:rsidP="00315F7B">
      <w:pPr>
        <w:rPr>
          <w:sz w:val="28"/>
        </w:rPr>
      </w:pPr>
    </w:p>
    <w:p w:rsidR="00783E31" w:rsidRDefault="00783E31" w:rsidP="00315F7B">
      <w:pPr>
        <w:rPr>
          <w:sz w:val="28"/>
        </w:rPr>
      </w:pPr>
      <w:r>
        <w:rPr>
          <w:sz w:val="28"/>
        </w:rPr>
        <w:t>I note that these numbers are absurdly precise and could possibly be replaced with 0.5 and 1.0 respectively</w:t>
      </w:r>
      <w:r w:rsidR="00DA7A60">
        <w:rPr>
          <w:sz w:val="28"/>
        </w:rPr>
        <w:t>, like this:</w:t>
      </w:r>
      <w:r>
        <w:rPr>
          <w:sz w:val="28"/>
        </w:rPr>
        <w:t xml:space="preserve">  </w:t>
      </w:r>
    </w:p>
    <w:p w:rsidR="00783E31" w:rsidRDefault="00783E31" w:rsidP="00315F7B">
      <w:pPr>
        <w:rPr>
          <w:sz w:val="28"/>
        </w:rPr>
      </w:pPr>
    </w:p>
    <w:p w:rsidR="00783E31" w:rsidRPr="00783E31" w:rsidRDefault="006E44CC" w:rsidP="00783E31">
      <w:pPr>
        <w:rPr>
          <w:sz w:val="28"/>
        </w:rPr>
      </w:pPr>
      <m:oMathPara>
        <m:oMath>
          <m:func>
            <m:funcPr>
              <m:ctrlPr>
                <w:rPr>
                  <w:rFonts w:ascii="Cambria Math" w:hAnsi="Cambria Math"/>
                  <w:sz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N!</m:t>
                  </m:r>
                </m:e>
              </m:d>
            </m:e>
          </m:func>
          <m:r>
            <w:rPr>
              <w:rFonts w:ascii="Cambria Math" w:hAnsi="Cambria Math"/>
              <w:sz w:val="28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N+0.5</m:t>
                  </m:r>
                </m:e>
              </m:d>
              <m:r>
                <w:rPr>
                  <w:rFonts w:ascii="Cambria Math" w:hAnsi="Cambria Math"/>
                  <w:sz w:val="28"/>
                </w:rPr>
                <m:t>*</m:t>
              </m:r>
              <m:func>
                <m:funcPr>
                  <m:ctrlPr>
                    <w:rPr>
                      <w:rFonts w:ascii="Cambria Math" w:hAnsi="Cambria Math"/>
                      <w:sz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ln</m:t>
                  </m: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N</m:t>
                      </m:r>
                    </m:e>
                  </m:d>
                </m:e>
              </m:func>
            </m:e>
          </m:d>
          <m:r>
            <w:rPr>
              <w:rFonts w:ascii="Cambria Math" w:hAnsi="Cambria Math"/>
              <w:sz w:val="28"/>
            </w:rPr>
            <m:t>+1.0-N</m:t>
          </m:r>
        </m:oMath>
      </m:oMathPara>
    </w:p>
    <w:p w:rsidR="00783E31" w:rsidRDefault="00783E31" w:rsidP="00315F7B">
      <w:pPr>
        <w:rPr>
          <w:sz w:val="28"/>
        </w:rPr>
      </w:pPr>
    </w:p>
    <w:p w:rsidR="00783E31" w:rsidRDefault="00DA7A60" w:rsidP="00315F7B">
      <w:pPr>
        <w:rPr>
          <w:sz w:val="28"/>
        </w:rPr>
      </w:pPr>
      <w:r>
        <w:rPr>
          <w:sz w:val="28"/>
        </w:rPr>
        <w:t>But, they are what they are.</w:t>
      </w:r>
    </w:p>
    <w:p w:rsidR="00DA7A60" w:rsidRDefault="00DA7A60" w:rsidP="00315F7B">
      <w:pPr>
        <w:rPr>
          <w:sz w:val="28"/>
        </w:rPr>
      </w:pPr>
    </w:p>
    <w:p w:rsidR="00DA7A60" w:rsidRDefault="00DA7A60" w:rsidP="00315F7B">
      <w:pPr>
        <w:rPr>
          <w:sz w:val="28"/>
        </w:rPr>
      </w:pPr>
    </w:p>
    <w:p w:rsidR="00DA7A60" w:rsidRDefault="00DA7A60" w:rsidP="00315F7B">
      <w:pPr>
        <w:rPr>
          <w:sz w:val="28"/>
        </w:rPr>
      </w:pPr>
    </w:p>
    <w:p w:rsidR="00DA7A60" w:rsidRDefault="00DA7A60" w:rsidP="00315F7B">
      <w:pPr>
        <w:rPr>
          <w:sz w:val="28"/>
        </w:rPr>
      </w:pPr>
    </w:p>
    <w:p w:rsidR="00DA7A60" w:rsidRDefault="00DA7A60" w:rsidP="00315F7B">
      <w:pPr>
        <w:rPr>
          <w:sz w:val="28"/>
        </w:rPr>
      </w:pPr>
    </w:p>
    <w:p w:rsidR="00DA7A60" w:rsidRDefault="0067165C" w:rsidP="00315F7B">
      <w:pPr>
        <w:rPr>
          <w:sz w:val="28"/>
        </w:rPr>
      </w:pPr>
      <w:r w:rsidRPr="00BB4616">
        <w:rPr>
          <w:noProof/>
          <w:sz w:val="28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016E3" wp14:editId="4B1AE0F3">
                <wp:simplePos x="0" y="0"/>
                <wp:positionH relativeFrom="column">
                  <wp:posOffset>171450</wp:posOffset>
                </wp:positionH>
                <wp:positionV relativeFrom="paragraph">
                  <wp:posOffset>-52070</wp:posOffset>
                </wp:positionV>
                <wp:extent cx="5638800" cy="1403985"/>
                <wp:effectExtent l="0" t="0" r="19050" b="139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A60" w:rsidRDefault="0095648B" w:rsidP="0095648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8"/>
                                <w:lang w:val="en-CA" w:eastAsia="en-CA"/>
                              </w:rPr>
                              <w:drawing>
                                <wp:inline distT="0" distB="0" distL="0" distR="0" wp14:anchorId="1710C92A" wp14:editId="7A022094">
                                  <wp:extent cx="2366721" cy="2200275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4461" cy="22074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8"/>
                                <w:lang w:val="en-CA" w:eastAsia="en-CA"/>
                              </w:rPr>
                              <w:drawing>
                                <wp:inline distT="0" distB="0" distL="0" distR="0" wp14:anchorId="34E76658" wp14:editId="2C4DFAE3">
                                  <wp:extent cx="2562225" cy="2282483"/>
                                  <wp:effectExtent l="0" t="0" r="0" b="381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3669" cy="22837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3.5pt;margin-top:-4.1pt;width:444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">
                <v:textbox style="mso-fit-shape-to-text:t">
                  <w:txbxContent>
                    <w:p w:rsidR="00DA7A60" w:rsidRDefault="0095648B" w:rsidP="0095648B">
                      <w:pPr>
                        <w:jc w:val="center"/>
                      </w:pPr>
                      <w:r>
                        <w:rPr>
                          <w:noProof/>
                          <w:sz w:val="28"/>
                        </w:rPr>
                        <w:drawing>
                          <wp:inline distT="0" distB="0" distL="0" distR="0" wp14:anchorId="1710C92A" wp14:editId="7A022094">
                            <wp:extent cx="2366721" cy="2200275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4461" cy="22074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8"/>
                        </w:rPr>
                        <w:drawing>
                          <wp:inline distT="0" distB="0" distL="0" distR="0" wp14:anchorId="34E76658" wp14:editId="2C4DFAE3">
                            <wp:extent cx="2562225" cy="2282483"/>
                            <wp:effectExtent l="0" t="0" r="0" b="381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3669" cy="22837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A7A60" w:rsidRDefault="00DA7A60" w:rsidP="00315F7B">
      <w:pPr>
        <w:rPr>
          <w:sz w:val="28"/>
        </w:rPr>
      </w:pPr>
    </w:p>
    <w:p w:rsidR="00DA7A60" w:rsidRDefault="00DA7A60" w:rsidP="00315F7B">
      <w:pPr>
        <w:rPr>
          <w:sz w:val="28"/>
        </w:rPr>
      </w:pPr>
    </w:p>
    <w:p w:rsidR="00DA7A60" w:rsidRDefault="00DA7A60" w:rsidP="00315F7B">
      <w:pPr>
        <w:rPr>
          <w:sz w:val="28"/>
        </w:rPr>
      </w:pPr>
    </w:p>
    <w:p w:rsidR="00DA7A60" w:rsidRDefault="00DA7A60" w:rsidP="00315F7B">
      <w:pPr>
        <w:rPr>
          <w:sz w:val="28"/>
        </w:rPr>
      </w:pPr>
    </w:p>
    <w:p w:rsidR="00DA7A60" w:rsidRDefault="00DA7A60" w:rsidP="00315F7B">
      <w:pPr>
        <w:rPr>
          <w:sz w:val="28"/>
        </w:rPr>
      </w:pPr>
    </w:p>
    <w:p w:rsidR="00DA7A60" w:rsidRDefault="00DA7A60" w:rsidP="00315F7B">
      <w:pPr>
        <w:rPr>
          <w:sz w:val="28"/>
        </w:rPr>
      </w:pPr>
    </w:p>
    <w:p w:rsidR="0095648B" w:rsidRDefault="0095648B" w:rsidP="00315F7B">
      <w:pPr>
        <w:rPr>
          <w:sz w:val="28"/>
        </w:rPr>
      </w:pPr>
    </w:p>
    <w:p w:rsidR="0095648B" w:rsidRDefault="0095648B" w:rsidP="00315F7B">
      <w:pPr>
        <w:rPr>
          <w:sz w:val="28"/>
        </w:rPr>
      </w:pPr>
    </w:p>
    <w:p w:rsidR="0095648B" w:rsidRDefault="0095648B" w:rsidP="00315F7B">
      <w:pPr>
        <w:rPr>
          <w:sz w:val="28"/>
        </w:rPr>
      </w:pPr>
    </w:p>
    <w:p w:rsidR="00DA7A60" w:rsidRDefault="00DA7A60" w:rsidP="00315F7B">
      <w:pPr>
        <w:rPr>
          <w:sz w:val="28"/>
        </w:rPr>
      </w:pPr>
    </w:p>
    <w:p w:rsidR="00DA7A60" w:rsidRDefault="00DA7A60" w:rsidP="00315F7B">
      <w:pPr>
        <w:rPr>
          <w:sz w:val="28"/>
        </w:rPr>
      </w:pPr>
    </w:p>
    <w:p w:rsidR="00DA7A60" w:rsidRDefault="0014476D" w:rsidP="00315F7B">
      <w:pPr>
        <w:rPr>
          <w:sz w:val="28"/>
        </w:rPr>
      </w:pPr>
      <w:r>
        <w:rPr>
          <w:sz w:val="28"/>
        </w:rPr>
        <w:t xml:space="preserve">A couple of tables will clarify.  Looking at the results when </w:t>
      </w:r>
      <w:r w:rsidR="00EA4B49">
        <w:rPr>
          <w:sz w:val="28"/>
        </w:rPr>
        <w:t>N</w:t>
      </w:r>
      <w:r>
        <w:rPr>
          <w:sz w:val="28"/>
        </w:rPr>
        <w:t xml:space="preserve"> = 169 and 170, for both </w:t>
      </w:r>
      <w:proofErr w:type="spellStart"/>
      <w:r>
        <w:rPr>
          <w:sz w:val="28"/>
        </w:rPr>
        <w:t>Stirling</w:t>
      </w:r>
      <w:proofErr w:type="spellEnd"/>
      <w:r>
        <w:rPr>
          <w:sz w:val="28"/>
        </w:rPr>
        <w:t xml:space="preserve"> and revised </w:t>
      </w:r>
      <w:proofErr w:type="spellStart"/>
      <w:r>
        <w:rPr>
          <w:sz w:val="28"/>
        </w:rPr>
        <w:t>St</w:t>
      </w:r>
      <w:r w:rsidR="0095648B">
        <w:rPr>
          <w:sz w:val="28"/>
        </w:rPr>
        <w:t>irling</w:t>
      </w:r>
      <w:proofErr w:type="spellEnd"/>
      <w:r w:rsidR="0095648B">
        <w:rPr>
          <w:sz w:val="28"/>
        </w:rPr>
        <w:t>, we get these two tables: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07"/>
        <w:gridCol w:w="1915"/>
        <w:gridCol w:w="1915"/>
        <w:gridCol w:w="1915"/>
        <w:gridCol w:w="1718"/>
      </w:tblGrid>
      <w:tr w:rsidR="0014476D" w:rsidTr="0014476D">
        <w:tc>
          <w:tcPr>
            <w:tcW w:w="1807" w:type="dxa"/>
            <w:vAlign w:val="bottom"/>
          </w:tcPr>
          <w:p w:rsidR="0014476D" w:rsidRDefault="0014476D" w:rsidP="00315F7B">
            <w:pPr>
              <w:rPr>
                <w:sz w:val="28"/>
              </w:rPr>
            </w:pPr>
          </w:p>
          <w:p w:rsidR="0014476D" w:rsidRDefault="0067165C" w:rsidP="007517A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N</w:t>
            </w:r>
          </w:p>
        </w:tc>
        <w:tc>
          <w:tcPr>
            <w:tcW w:w="1915" w:type="dxa"/>
            <w:vAlign w:val="bottom"/>
          </w:tcPr>
          <w:p w:rsidR="0014476D" w:rsidRDefault="0014476D" w:rsidP="0067165C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LN(FACT(</w:t>
            </w:r>
            <w:r w:rsidR="0067165C">
              <w:rPr>
                <w:rFonts w:cs="Calibri"/>
                <w:b/>
                <w:bCs/>
                <w:color w:val="000000"/>
              </w:rPr>
              <w:t>N</w:t>
            </w:r>
            <w:r>
              <w:rPr>
                <w:rFonts w:cs="Calibri"/>
                <w:b/>
                <w:bCs/>
                <w:color w:val="000000"/>
              </w:rPr>
              <w:t>))</w:t>
            </w:r>
          </w:p>
        </w:tc>
        <w:tc>
          <w:tcPr>
            <w:tcW w:w="1915" w:type="dxa"/>
            <w:vAlign w:val="bottom"/>
          </w:tcPr>
          <w:p w:rsidR="0014476D" w:rsidRDefault="0014476D" w:rsidP="007517A1">
            <w:pPr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</w:rPr>
              <w:t>Stirling</w:t>
            </w:r>
            <w:r w:rsidR="007517A1">
              <w:rPr>
                <w:rFonts w:cs="Calibri"/>
                <w:b/>
                <w:bCs/>
                <w:color w:val="000000"/>
              </w:rPr>
              <w:t>’s</w:t>
            </w:r>
            <w:proofErr w:type="spellEnd"/>
            <w:r w:rsidR="007517A1">
              <w:rPr>
                <w:rFonts w:cs="Calibri"/>
                <w:b/>
                <w:bCs/>
                <w:color w:val="000000"/>
              </w:rPr>
              <w:t xml:space="preserve"> Approximation</w:t>
            </w:r>
          </w:p>
        </w:tc>
        <w:tc>
          <w:tcPr>
            <w:tcW w:w="1915" w:type="dxa"/>
            <w:vAlign w:val="bottom"/>
          </w:tcPr>
          <w:p w:rsidR="0014476D" w:rsidRDefault="007517A1" w:rsidP="007517A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Absolute </w:t>
            </w:r>
            <w:r w:rsidR="0014476D">
              <w:rPr>
                <w:rFonts w:cs="Calibri"/>
                <w:b/>
                <w:bCs/>
                <w:color w:val="000000"/>
              </w:rPr>
              <w:t>Error</w:t>
            </w:r>
          </w:p>
        </w:tc>
        <w:tc>
          <w:tcPr>
            <w:tcW w:w="1718" w:type="dxa"/>
            <w:vAlign w:val="bottom"/>
          </w:tcPr>
          <w:p w:rsidR="0014476D" w:rsidRDefault="0014476D" w:rsidP="007517A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Rel</w:t>
            </w:r>
            <w:r w:rsidR="007517A1">
              <w:rPr>
                <w:rFonts w:cs="Calibri"/>
                <w:b/>
                <w:bCs/>
                <w:color w:val="000000"/>
              </w:rPr>
              <w:t>ative</w:t>
            </w:r>
            <w:r>
              <w:rPr>
                <w:rFonts w:cs="Calibri"/>
                <w:b/>
                <w:bCs/>
                <w:color w:val="000000"/>
              </w:rPr>
              <w:t xml:space="preserve"> Error</w:t>
            </w:r>
          </w:p>
        </w:tc>
      </w:tr>
      <w:tr w:rsidR="007517A1" w:rsidTr="0014476D">
        <w:tc>
          <w:tcPr>
            <w:tcW w:w="1807" w:type="dxa"/>
          </w:tcPr>
          <w:p w:rsidR="007517A1" w:rsidRPr="00E85136" w:rsidRDefault="007517A1" w:rsidP="007517A1">
            <w:pPr>
              <w:jc w:val="center"/>
            </w:pPr>
            <w:r w:rsidRPr="00E85136">
              <w:t>169</w:t>
            </w:r>
          </w:p>
        </w:tc>
        <w:tc>
          <w:tcPr>
            <w:tcW w:w="1915" w:type="dxa"/>
          </w:tcPr>
          <w:p w:rsidR="007517A1" w:rsidRPr="00E85136" w:rsidRDefault="007517A1" w:rsidP="007517A1">
            <w:pPr>
              <w:jc w:val="center"/>
            </w:pPr>
            <w:r w:rsidRPr="00E85136">
              <w:t>701.4372638</w:t>
            </w:r>
          </w:p>
        </w:tc>
        <w:tc>
          <w:tcPr>
            <w:tcW w:w="1915" w:type="dxa"/>
          </w:tcPr>
          <w:p w:rsidR="007517A1" w:rsidRPr="00E85136" w:rsidRDefault="007517A1" w:rsidP="007517A1">
            <w:pPr>
              <w:jc w:val="center"/>
            </w:pPr>
            <w:r w:rsidRPr="00E85136">
              <w:t>697.9528828</w:t>
            </w:r>
          </w:p>
        </w:tc>
        <w:tc>
          <w:tcPr>
            <w:tcW w:w="1915" w:type="dxa"/>
          </w:tcPr>
          <w:p w:rsidR="007517A1" w:rsidRPr="00E85136" w:rsidRDefault="007517A1" w:rsidP="007517A1">
            <w:pPr>
              <w:jc w:val="center"/>
            </w:pPr>
            <w:r w:rsidRPr="00E85136">
              <w:t>3.484380987</w:t>
            </w:r>
          </w:p>
        </w:tc>
        <w:tc>
          <w:tcPr>
            <w:tcW w:w="1718" w:type="dxa"/>
          </w:tcPr>
          <w:p w:rsidR="007517A1" w:rsidRPr="00E85136" w:rsidRDefault="007517A1" w:rsidP="007517A1">
            <w:pPr>
              <w:jc w:val="center"/>
            </w:pPr>
            <w:r w:rsidRPr="00E85136">
              <w:t>0.004967488</w:t>
            </w:r>
          </w:p>
        </w:tc>
      </w:tr>
      <w:tr w:rsidR="007517A1" w:rsidTr="0014476D">
        <w:tc>
          <w:tcPr>
            <w:tcW w:w="1807" w:type="dxa"/>
          </w:tcPr>
          <w:p w:rsidR="007517A1" w:rsidRPr="00E85136" w:rsidRDefault="007517A1" w:rsidP="007517A1">
            <w:pPr>
              <w:jc w:val="center"/>
            </w:pPr>
            <w:r w:rsidRPr="00E85136">
              <w:t>170</w:t>
            </w:r>
          </w:p>
        </w:tc>
        <w:tc>
          <w:tcPr>
            <w:tcW w:w="1915" w:type="dxa"/>
          </w:tcPr>
          <w:p w:rsidR="007517A1" w:rsidRPr="00E85136" w:rsidRDefault="007517A1" w:rsidP="007517A1">
            <w:pPr>
              <w:jc w:val="center"/>
            </w:pPr>
            <w:r w:rsidRPr="00E85136">
              <w:t>706.5730622</w:t>
            </w:r>
          </w:p>
        </w:tc>
        <w:tc>
          <w:tcPr>
            <w:tcW w:w="1915" w:type="dxa"/>
          </w:tcPr>
          <w:p w:rsidR="007517A1" w:rsidRPr="00E85136" w:rsidRDefault="007517A1" w:rsidP="007517A1">
            <w:pPr>
              <w:jc w:val="center"/>
            </w:pPr>
            <w:r w:rsidRPr="00E85136">
              <w:t>703.0857343</w:t>
            </w:r>
          </w:p>
        </w:tc>
        <w:tc>
          <w:tcPr>
            <w:tcW w:w="1915" w:type="dxa"/>
          </w:tcPr>
          <w:p w:rsidR="007517A1" w:rsidRPr="00E85136" w:rsidRDefault="007517A1" w:rsidP="007517A1">
            <w:pPr>
              <w:jc w:val="center"/>
            </w:pPr>
            <w:r w:rsidRPr="00E85136">
              <w:t>3.487327947</w:t>
            </w:r>
          </w:p>
        </w:tc>
        <w:tc>
          <w:tcPr>
            <w:tcW w:w="1718" w:type="dxa"/>
          </w:tcPr>
          <w:p w:rsidR="007517A1" w:rsidRDefault="007517A1" w:rsidP="007517A1">
            <w:pPr>
              <w:jc w:val="center"/>
            </w:pPr>
            <w:r w:rsidRPr="00E85136">
              <w:t>0.004935552</w:t>
            </w:r>
          </w:p>
        </w:tc>
      </w:tr>
    </w:tbl>
    <w:p w:rsidR="007517A1" w:rsidRDefault="007517A1" w:rsidP="007517A1">
      <w:pPr>
        <w:rPr>
          <w:sz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07"/>
        <w:gridCol w:w="1915"/>
        <w:gridCol w:w="1915"/>
        <w:gridCol w:w="1915"/>
        <w:gridCol w:w="1718"/>
      </w:tblGrid>
      <w:tr w:rsidR="007517A1" w:rsidTr="00EA218C">
        <w:tc>
          <w:tcPr>
            <w:tcW w:w="1807" w:type="dxa"/>
            <w:vAlign w:val="bottom"/>
          </w:tcPr>
          <w:p w:rsidR="007517A1" w:rsidRDefault="0067165C" w:rsidP="007517A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N</w:t>
            </w:r>
          </w:p>
        </w:tc>
        <w:tc>
          <w:tcPr>
            <w:tcW w:w="1915" w:type="dxa"/>
            <w:vAlign w:val="bottom"/>
          </w:tcPr>
          <w:p w:rsidR="007517A1" w:rsidRDefault="007517A1" w:rsidP="0067165C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LN(FACT(</w:t>
            </w:r>
            <w:r w:rsidR="0067165C">
              <w:rPr>
                <w:rFonts w:cs="Calibri"/>
                <w:b/>
                <w:bCs/>
                <w:color w:val="000000"/>
              </w:rPr>
              <w:t>N</w:t>
            </w:r>
            <w:r>
              <w:rPr>
                <w:rFonts w:cs="Calibri"/>
                <w:b/>
                <w:bCs/>
                <w:color w:val="000000"/>
              </w:rPr>
              <w:t>))</w:t>
            </w:r>
          </w:p>
        </w:tc>
        <w:tc>
          <w:tcPr>
            <w:tcW w:w="1915" w:type="dxa"/>
            <w:vAlign w:val="bottom"/>
          </w:tcPr>
          <w:p w:rsidR="007517A1" w:rsidRDefault="007517A1" w:rsidP="007517A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Revised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Stirling’s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Approximation</w:t>
            </w:r>
          </w:p>
        </w:tc>
        <w:tc>
          <w:tcPr>
            <w:tcW w:w="1915" w:type="dxa"/>
            <w:vAlign w:val="bottom"/>
          </w:tcPr>
          <w:p w:rsidR="007517A1" w:rsidRDefault="007517A1" w:rsidP="007517A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Absolute Error</w:t>
            </w:r>
          </w:p>
        </w:tc>
        <w:tc>
          <w:tcPr>
            <w:tcW w:w="1718" w:type="dxa"/>
            <w:vAlign w:val="bottom"/>
          </w:tcPr>
          <w:p w:rsidR="007517A1" w:rsidRDefault="007517A1" w:rsidP="007517A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Relative Error</w:t>
            </w:r>
          </w:p>
        </w:tc>
      </w:tr>
      <w:tr w:rsidR="007517A1" w:rsidTr="00EA218C">
        <w:tc>
          <w:tcPr>
            <w:tcW w:w="1807" w:type="dxa"/>
          </w:tcPr>
          <w:p w:rsidR="007517A1" w:rsidRPr="00E85136" w:rsidRDefault="007517A1" w:rsidP="007517A1">
            <w:pPr>
              <w:jc w:val="center"/>
            </w:pPr>
            <w:r w:rsidRPr="00E85136">
              <w:t>169</w:t>
            </w:r>
          </w:p>
        </w:tc>
        <w:tc>
          <w:tcPr>
            <w:tcW w:w="1915" w:type="dxa"/>
          </w:tcPr>
          <w:p w:rsidR="007517A1" w:rsidRPr="005A5AAD" w:rsidRDefault="007517A1" w:rsidP="007517A1">
            <w:pPr>
              <w:jc w:val="center"/>
            </w:pPr>
            <w:r w:rsidRPr="005A5AAD">
              <w:t>701.4372638</w:t>
            </w:r>
          </w:p>
        </w:tc>
        <w:tc>
          <w:tcPr>
            <w:tcW w:w="1915" w:type="dxa"/>
          </w:tcPr>
          <w:p w:rsidR="007517A1" w:rsidRPr="005A5AAD" w:rsidRDefault="007517A1" w:rsidP="007517A1">
            <w:pPr>
              <w:jc w:val="center"/>
            </w:pPr>
            <w:r w:rsidRPr="005A5AAD">
              <w:t>701.4339652</w:t>
            </w:r>
          </w:p>
        </w:tc>
        <w:tc>
          <w:tcPr>
            <w:tcW w:w="1915" w:type="dxa"/>
          </w:tcPr>
          <w:p w:rsidR="007517A1" w:rsidRPr="005A5AAD" w:rsidRDefault="007517A1" w:rsidP="007517A1">
            <w:pPr>
              <w:jc w:val="center"/>
            </w:pPr>
            <w:r w:rsidRPr="005A5AAD">
              <w:t>0.003298615</w:t>
            </w:r>
          </w:p>
        </w:tc>
        <w:tc>
          <w:tcPr>
            <w:tcW w:w="1718" w:type="dxa"/>
          </w:tcPr>
          <w:p w:rsidR="007517A1" w:rsidRPr="005A5AAD" w:rsidRDefault="007517A1" w:rsidP="007517A1">
            <w:pPr>
              <w:jc w:val="center"/>
            </w:pPr>
            <w:r w:rsidRPr="005A5AAD">
              <w:t>4.70265E-06</w:t>
            </w:r>
          </w:p>
        </w:tc>
      </w:tr>
      <w:tr w:rsidR="007517A1" w:rsidTr="00EA218C">
        <w:tc>
          <w:tcPr>
            <w:tcW w:w="1807" w:type="dxa"/>
          </w:tcPr>
          <w:p w:rsidR="007517A1" w:rsidRPr="00E85136" w:rsidRDefault="007517A1" w:rsidP="007517A1">
            <w:pPr>
              <w:jc w:val="center"/>
            </w:pPr>
            <w:r w:rsidRPr="00E85136">
              <w:t>170</w:t>
            </w:r>
          </w:p>
        </w:tc>
        <w:tc>
          <w:tcPr>
            <w:tcW w:w="1915" w:type="dxa"/>
          </w:tcPr>
          <w:p w:rsidR="007517A1" w:rsidRPr="005A5AAD" w:rsidRDefault="007517A1" w:rsidP="007517A1">
            <w:pPr>
              <w:jc w:val="center"/>
            </w:pPr>
            <w:r w:rsidRPr="005A5AAD">
              <w:t>706.5730622</w:t>
            </w:r>
          </w:p>
        </w:tc>
        <w:tc>
          <w:tcPr>
            <w:tcW w:w="1915" w:type="dxa"/>
          </w:tcPr>
          <w:p w:rsidR="007517A1" w:rsidRPr="005A5AAD" w:rsidRDefault="007517A1" w:rsidP="007517A1">
            <w:pPr>
              <w:jc w:val="center"/>
            </w:pPr>
            <w:r w:rsidRPr="005A5AAD">
              <w:t>706.5697327</w:t>
            </w:r>
          </w:p>
        </w:tc>
        <w:tc>
          <w:tcPr>
            <w:tcW w:w="1915" w:type="dxa"/>
          </w:tcPr>
          <w:p w:rsidR="007517A1" w:rsidRPr="005A5AAD" w:rsidRDefault="007517A1" w:rsidP="007517A1">
            <w:pPr>
              <w:jc w:val="center"/>
            </w:pPr>
            <w:r w:rsidRPr="005A5AAD">
              <w:t>0.003329594</w:t>
            </w:r>
          </w:p>
        </w:tc>
        <w:tc>
          <w:tcPr>
            <w:tcW w:w="1718" w:type="dxa"/>
          </w:tcPr>
          <w:p w:rsidR="007517A1" w:rsidRDefault="007517A1" w:rsidP="007517A1">
            <w:pPr>
              <w:jc w:val="center"/>
            </w:pPr>
            <w:r w:rsidRPr="005A5AAD">
              <w:t>4.71231E-06</w:t>
            </w:r>
          </w:p>
        </w:tc>
      </w:tr>
    </w:tbl>
    <w:p w:rsidR="007517A1" w:rsidRDefault="007517A1" w:rsidP="007517A1">
      <w:pPr>
        <w:rPr>
          <w:sz w:val="28"/>
        </w:rPr>
      </w:pPr>
    </w:p>
    <w:p w:rsidR="00F57E21" w:rsidRDefault="007517A1" w:rsidP="00315F7B">
      <w:pPr>
        <w:rPr>
          <w:sz w:val="28"/>
        </w:rPr>
      </w:pPr>
      <w:r>
        <w:rPr>
          <w:sz w:val="28"/>
        </w:rPr>
        <w:t xml:space="preserve">With the </w:t>
      </w:r>
      <w:proofErr w:type="spellStart"/>
      <w:r>
        <w:rPr>
          <w:sz w:val="28"/>
        </w:rPr>
        <w:t>Stirling</w:t>
      </w:r>
      <w:proofErr w:type="spellEnd"/>
      <w:r>
        <w:rPr>
          <w:sz w:val="28"/>
        </w:rPr>
        <w:t xml:space="preserve"> approximation of </w:t>
      </w:r>
      <w:proofErr w:type="gramStart"/>
      <w:r>
        <w:rPr>
          <w:sz w:val="28"/>
        </w:rPr>
        <w:t>ln(</w:t>
      </w:r>
      <w:proofErr w:type="gramEnd"/>
      <w:r w:rsidR="0067165C">
        <w:rPr>
          <w:sz w:val="28"/>
        </w:rPr>
        <w:t>N</w:t>
      </w:r>
      <w:r>
        <w:rPr>
          <w:sz w:val="28"/>
        </w:rPr>
        <w:t xml:space="preserve">!) the absolute error is rising but the relative error is falling.  For the revised version of Sterling’s approximation, both the absolute and relative error </w:t>
      </w:r>
      <w:proofErr w:type="gramStart"/>
      <w:r>
        <w:rPr>
          <w:sz w:val="28"/>
        </w:rPr>
        <w:t>are</w:t>
      </w:r>
      <w:proofErr w:type="gramEnd"/>
      <w:r>
        <w:rPr>
          <w:sz w:val="28"/>
        </w:rPr>
        <w:t xml:space="preserve"> rising.  This is not good.</w:t>
      </w:r>
    </w:p>
    <w:p w:rsidR="00F57E21" w:rsidRDefault="00F57E21" w:rsidP="00315F7B">
      <w:pPr>
        <w:rPr>
          <w:sz w:val="28"/>
        </w:rPr>
      </w:pPr>
    </w:p>
    <w:p w:rsidR="00E93896" w:rsidRDefault="00E93896" w:rsidP="00315F7B">
      <w:pPr>
        <w:rPr>
          <w:sz w:val="28"/>
        </w:rPr>
      </w:pPr>
      <w:r>
        <w:rPr>
          <w:sz w:val="28"/>
        </w:rPr>
        <w:t>But, curiously, if I use the two simple parameters, things are a little better.</w:t>
      </w:r>
    </w:p>
    <w:p w:rsidR="00E93896" w:rsidRDefault="00E93896" w:rsidP="00E93896">
      <w:pPr>
        <w:rPr>
          <w:sz w:val="28"/>
        </w:rPr>
      </w:pPr>
      <w:r>
        <w:rPr>
          <w:sz w:val="28"/>
        </w:rPr>
        <w:t>Using 0.5 and 1.0 as the two revised parameters: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07"/>
        <w:gridCol w:w="1915"/>
        <w:gridCol w:w="1915"/>
        <w:gridCol w:w="1915"/>
        <w:gridCol w:w="1718"/>
      </w:tblGrid>
      <w:tr w:rsidR="00E93896" w:rsidTr="00EA218C">
        <w:tc>
          <w:tcPr>
            <w:tcW w:w="1807" w:type="dxa"/>
            <w:vAlign w:val="bottom"/>
          </w:tcPr>
          <w:p w:rsidR="00E93896" w:rsidRDefault="0067165C" w:rsidP="00EA218C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N</w:t>
            </w:r>
          </w:p>
        </w:tc>
        <w:tc>
          <w:tcPr>
            <w:tcW w:w="1915" w:type="dxa"/>
            <w:vAlign w:val="bottom"/>
          </w:tcPr>
          <w:p w:rsidR="00E93896" w:rsidRDefault="00E93896" w:rsidP="0067165C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LN(FACT(</w:t>
            </w:r>
            <w:r w:rsidR="0067165C">
              <w:rPr>
                <w:rFonts w:cs="Calibri"/>
                <w:b/>
                <w:bCs/>
                <w:color w:val="000000"/>
              </w:rPr>
              <w:t>N</w:t>
            </w:r>
            <w:r>
              <w:rPr>
                <w:rFonts w:cs="Calibri"/>
                <w:b/>
                <w:bCs/>
                <w:color w:val="000000"/>
              </w:rPr>
              <w:t>))</w:t>
            </w:r>
          </w:p>
        </w:tc>
        <w:tc>
          <w:tcPr>
            <w:tcW w:w="1915" w:type="dxa"/>
            <w:vAlign w:val="bottom"/>
          </w:tcPr>
          <w:p w:rsidR="00E93896" w:rsidRDefault="00E93896" w:rsidP="00EA218C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Revised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Stirling’s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Approximation</w:t>
            </w:r>
          </w:p>
        </w:tc>
        <w:tc>
          <w:tcPr>
            <w:tcW w:w="1915" w:type="dxa"/>
            <w:vAlign w:val="bottom"/>
          </w:tcPr>
          <w:p w:rsidR="00E93896" w:rsidRDefault="00E93896" w:rsidP="00EA218C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Absolute Error</w:t>
            </w:r>
          </w:p>
        </w:tc>
        <w:tc>
          <w:tcPr>
            <w:tcW w:w="1718" w:type="dxa"/>
            <w:vAlign w:val="bottom"/>
          </w:tcPr>
          <w:p w:rsidR="00E93896" w:rsidRDefault="00E93896" w:rsidP="00EA218C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Relative Error</w:t>
            </w:r>
          </w:p>
        </w:tc>
      </w:tr>
      <w:tr w:rsidR="00E93896" w:rsidTr="002B51C7">
        <w:tc>
          <w:tcPr>
            <w:tcW w:w="1807" w:type="dxa"/>
            <w:vAlign w:val="bottom"/>
          </w:tcPr>
          <w:p w:rsidR="00E93896" w:rsidRDefault="00E93896" w:rsidP="00E9389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169</w:t>
            </w:r>
          </w:p>
        </w:tc>
        <w:tc>
          <w:tcPr>
            <w:tcW w:w="1915" w:type="dxa"/>
            <w:vAlign w:val="bottom"/>
          </w:tcPr>
          <w:p w:rsidR="00E93896" w:rsidRDefault="00E93896" w:rsidP="00E9389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701.4372638</w:t>
            </w:r>
          </w:p>
        </w:tc>
        <w:tc>
          <w:tcPr>
            <w:tcW w:w="1915" w:type="dxa"/>
            <w:vAlign w:val="bottom"/>
          </w:tcPr>
          <w:p w:rsidR="00E93896" w:rsidRDefault="00E93896" w:rsidP="00E9389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701.5178</w:t>
            </w:r>
          </w:p>
        </w:tc>
        <w:tc>
          <w:tcPr>
            <w:tcW w:w="1915" w:type="dxa"/>
            <w:vAlign w:val="bottom"/>
          </w:tcPr>
          <w:p w:rsidR="00E93896" w:rsidRDefault="00E93896" w:rsidP="00E9389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-0.080568371</w:t>
            </w:r>
          </w:p>
        </w:tc>
        <w:tc>
          <w:tcPr>
            <w:tcW w:w="1718" w:type="dxa"/>
            <w:vAlign w:val="bottom"/>
          </w:tcPr>
          <w:p w:rsidR="00E93896" w:rsidRDefault="00E93896" w:rsidP="00E9389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-0.000114862</w:t>
            </w:r>
          </w:p>
        </w:tc>
      </w:tr>
      <w:tr w:rsidR="00E93896" w:rsidTr="002B51C7">
        <w:tc>
          <w:tcPr>
            <w:tcW w:w="1807" w:type="dxa"/>
            <w:vAlign w:val="bottom"/>
          </w:tcPr>
          <w:p w:rsidR="00E93896" w:rsidRDefault="00E93896" w:rsidP="00E9389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170</w:t>
            </w:r>
          </w:p>
        </w:tc>
        <w:tc>
          <w:tcPr>
            <w:tcW w:w="1915" w:type="dxa"/>
            <w:vAlign w:val="bottom"/>
          </w:tcPr>
          <w:p w:rsidR="00E93896" w:rsidRDefault="00E93896" w:rsidP="00E9389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706.5730622</w:t>
            </w:r>
          </w:p>
        </w:tc>
        <w:tc>
          <w:tcPr>
            <w:tcW w:w="1915" w:type="dxa"/>
            <w:vAlign w:val="bottom"/>
          </w:tcPr>
          <w:p w:rsidR="00E93896" w:rsidRDefault="00E93896" w:rsidP="00E9389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706.6536</w:t>
            </w:r>
          </w:p>
        </w:tc>
        <w:tc>
          <w:tcPr>
            <w:tcW w:w="1915" w:type="dxa"/>
            <w:vAlign w:val="bottom"/>
          </w:tcPr>
          <w:p w:rsidR="00E93896" w:rsidRDefault="00E93896" w:rsidP="00E9389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-0.080571271</w:t>
            </w:r>
          </w:p>
        </w:tc>
        <w:tc>
          <w:tcPr>
            <w:tcW w:w="1718" w:type="dxa"/>
            <w:vAlign w:val="bottom"/>
          </w:tcPr>
          <w:p w:rsidR="00E93896" w:rsidRDefault="00E93896" w:rsidP="00E9389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-0.000114031</w:t>
            </w:r>
          </w:p>
        </w:tc>
      </w:tr>
    </w:tbl>
    <w:p w:rsidR="00E93896" w:rsidRDefault="00E93896" w:rsidP="00E93896">
      <w:pPr>
        <w:rPr>
          <w:sz w:val="28"/>
        </w:rPr>
      </w:pPr>
    </w:p>
    <w:p w:rsidR="00F57E21" w:rsidRDefault="00E93896" w:rsidP="00315F7B">
      <w:pPr>
        <w:rPr>
          <w:sz w:val="28"/>
        </w:rPr>
      </w:pPr>
      <w:r>
        <w:rPr>
          <w:sz w:val="28"/>
        </w:rPr>
        <w:t>The absolute error is larger and climbing, not good, but the relative error is larger but falling, good.</w:t>
      </w:r>
      <w:r w:rsidR="008D4E94">
        <w:rPr>
          <w:sz w:val="28"/>
        </w:rPr>
        <w:t xml:space="preserve">  In either case, when N </w:t>
      </w:r>
      <w:r w:rsidR="008D4E94">
        <w:rPr>
          <w:rFonts w:cs="Calibri"/>
          <w:sz w:val="28"/>
        </w:rPr>
        <w:t>≈</w:t>
      </w:r>
      <w:r w:rsidR="008D4E94">
        <w:rPr>
          <w:sz w:val="28"/>
        </w:rPr>
        <w:t xml:space="preserve"> 170, both sorts of revised formulae for Sterling’s approximation seem to perform better.</w:t>
      </w:r>
    </w:p>
    <w:p w:rsidR="00E93896" w:rsidRDefault="00E93896" w:rsidP="00315F7B">
      <w:pPr>
        <w:rPr>
          <w:sz w:val="28"/>
        </w:rPr>
      </w:pPr>
    </w:p>
    <w:p w:rsidR="006954B8" w:rsidRDefault="006954B8" w:rsidP="00315F7B">
      <w:pPr>
        <w:rPr>
          <w:sz w:val="28"/>
        </w:rPr>
      </w:pPr>
    </w:p>
    <w:p w:rsidR="006954B8" w:rsidRDefault="006954B8" w:rsidP="00315F7B">
      <w:pPr>
        <w:rPr>
          <w:sz w:val="28"/>
        </w:rPr>
      </w:pPr>
    </w:p>
    <w:p w:rsidR="006954B8" w:rsidRDefault="006954B8" w:rsidP="00315F7B">
      <w:pPr>
        <w:rPr>
          <w:sz w:val="28"/>
        </w:rPr>
      </w:pPr>
    </w:p>
    <w:p w:rsidR="00F803F3" w:rsidRDefault="00F803F3" w:rsidP="00315F7B">
      <w:pPr>
        <w:rPr>
          <w:sz w:val="28"/>
        </w:rPr>
      </w:pPr>
      <w:r>
        <w:rPr>
          <w:sz w:val="28"/>
        </w:rPr>
        <w:t>Here’s another way to summarize it:</w:t>
      </w:r>
    </w:p>
    <w:p w:rsidR="00F803F3" w:rsidRDefault="00F803F3" w:rsidP="00315F7B">
      <w:pPr>
        <w:rPr>
          <w:sz w:val="28"/>
        </w:rPr>
      </w:pPr>
    </w:p>
    <w:tbl>
      <w:tblPr>
        <w:tblStyle w:val="TableGrid"/>
        <w:tblW w:w="8698" w:type="dxa"/>
        <w:tblInd w:w="108" w:type="dxa"/>
        <w:tblLook w:val="04A0" w:firstRow="1" w:lastRow="0" w:firstColumn="1" w:lastColumn="0" w:noHBand="0" w:noVBand="1"/>
      </w:tblPr>
      <w:tblGrid>
        <w:gridCol w:w="990"/>
        <w:gridCol w:w="2160"/>
        <w:gridCol w:w="1915"/>
        <w:gridCol w:w="1915"/>
        <w:gridCol w:w="1718"/>
      </w:tblGrid>
      <w:tr w:rsidR="006954B8" w:rsidTr="006954B8">
        <w:tc>
          <w:tcPr>
            <w:tcW w:w="990" w:type="dxa"/>
            <w:vAlign w:val="bottom"/>
          </w:tcPr>
          <w:p w:rsidR="006954B8" w:rsidRDefault="006954B8" w:rsidP="00EA218C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Option Number</w:t>
            </w:r>
          </w:p>
        </w:tc>
        <w:tc>
          <w:tcPr>
            <w:tcW w:w="2160" w:type="dxa"/>
            <w:vAlign w:val="bottom"/>
          </w:tcPr>
          <w:p w:rsidR="006954B8" w:rsidRDefault="006954B8" w:rsidP="00EA218C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Option</w:t>
            </w:r>
          </w:p>
        </w:tc>
        <w:tc>
          <w:tcPr>
            <w:tcW w:w="1915" w:type="dxa"/>
            <w:vAlign w:val="bottom"/>
          </w:tcPr>
          <w:p w:rsidR="006954B8" w:rsidRDefault="006954B8" w:rsidP="0067165C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Absolute Error at </w:t>
            </w:r>
            <w:r w:rsidR="0067165C">
              <w:rPr>
                <w:rFonts w:cs="Calibri"/>
                <w:b/>
                <w:bCs/>
                <w:color w:val="000000"/>
              </w:rPr>
              <w:t>N</w:t>
            </w:r>
            <w:r>
              <w:rPr>
                <w:rFonts w:cs="Calibri"/>
                <w:b/>
                <w:bCs/>
                <w:color w:val="000000"/>
              </w:rPr>
              <w:t>=170</w:t>
            </w:r>
          </w:p>
        </w:tc>
        <w:tc>
          <w:tcPr>
            <w:tcW w:w="1915" w:type="dxa"/>
            <w:vAlign w:val="bottom"/>
          </w:tcPr>
          <w:p w:rsidR="006954B8" w:rsidRDefault="006954B8" w:rsidP="0067165C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Relative Error at </w:t>
            </w:r>
            <w:r w:rsidR="0067165C">
              <w:rPr>
                <w:rFonts w:cs="Calibri"/>
                <w:b/>
                <w:bCs/>
                <w:color w:val="000000"/>
              </w:rPr>
              <w:t>N</w:t>
            </w:r>
            <w:r>
              <w:rPr>
                <w:rFonts w:cs="Calibri"/>
                <w:b/>
                <w:bCs/>
                <w:color w:val="000000"/>
              </w:rPr>
              <w:t>=170</w:t>
            </w:r>
          </w:p>
        </w:tc>
        <w:tc>
          <w:tcPr>
            <w:tcW w:w="1718" w:type="dxa"/>
            <w:vAlign w:val="bottom"/>
          </w:tcPr>
          <w:p w:rsidR="006954B8" w:rsidRDefault="006954B8" w:rsidP="00EA218C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RMS Error on [0,170]</w:t>
            </w:r>
          </w:p>
        </w:tc>
      </w:tr>
      <w:tr w:rsidR="006954B8" w:rsidTr="006954B8">
        <w:tc>
          <w:tcPr>
            <w:tcW w:w="990" w:type="dxa"/>
            <w:vAlign w:val="bottom"/>
          </w:tcPr>
          <w:p w:rsidR="006954B8" w:rsidRDefault="006954B8" w:rsidP="00EA218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2160" w:type="dxa"/>
            <w:vAlign w:val="bottom"/>
          </w:tcPr>
          <w:p w:rsidR="006954B8" w:rsidRDefault="006954B8" w:rsidP="00EA218C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Stirling</w:t>
            </w:r>
            <w:proofErr w:type="spellEnd"/>
            <w:r>
              <w:rPr>
                <w:rFonts w:cs="Calibri"/>
                <w:color w:val="000000"/>
              </w:rPr>
              <w:t xml:space="preserve"> unrevised</w:t>
            </w:r>
          </w:p>
        </w:tc>
        <w:tc>
          <w:tcPr>
            <w:tcW w:w="1915" w:type="dxa"/>
            <w:vAlign w:val="bottom"/>
          </w:tcPr>
          <w:p w:rsidR="006954B8" w:rsidRDefault="006954B8" w:rsidP="00EA218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rising</w:t>
            </w:r>
          </w:p>
        </w:tc>
        <w:tc>
          <w:tcPr>
            <w:tcW w:w="1915" w:type="dxa"/>
            <w:shd w:val="clear" w:color="auto" w:fill="92D050"/>
            <w:vAlign w:val="bottom"/>
          </w:tcPr>
          <w:p w:rsidR="006954B8" w:rsidRDefault="006954B8" w:rsidP="00EA218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falling</w:t>
            </w:r>
          </w:p>
        </w:tc>
        <w:tc>
          <w:tcPr>
            <w:tcW w:w="1718" w:type="dxa"/>
            <w:vAlign w:val="bottom"/>
          </w:tcPr>
          <w:p w:rsidR="006954B8" w:rsidRPr="004D38ED" w:rsidRDefault="00275CE4" w:rsidP="00EA218C">
            <w:pPr>
              <w:jc w:val="center"/>
              <w:rPr>
                <w:rFonts w:cs="Calibri"/>
                <w:color w:val="000000"/>
              </w:rPr>
            </w:pPr>
            <w:r w:rsidRPr="004D38ED">
              <w:rPr>
                <w:rFonts w:cs="Calibri"/>
                <w:color w:val="000000"/>
              </w:rPr>
              <w:t>3.044133</w:t>
            </w:r>
          </w:p>
        </w:tc>
      </w:tr>
      <w:tr w:rsidR="006954B8" w:rsidTr="006954B8">
        <w:tc>
          <w:tcPr>
            <w:tcW w:w="990" w:type="dxa"/>
            <w:vAlign w:val="bottom"/>
          </w:tcPr>
          <w:p w:rsidR="006954B8" w:rsidRDefault="006954B8" w:rsidP="00EA218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2160" w:type="dxa"/>
            <w:vAlign w:val="bottom"/>
          </w:tcPr>
          <w:p w:rsidR="006954B8" w:rsidRDefault="006954B8" w:rsidP="00EA218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Revised </w:t>
            </w:r>
            <w:proofErr w:type="spellStart"/>
            <w:r>
              <w:rPr>
                <w:rFonts w:cs="Calibri"/>
                <w:color w:val="000000"/>
              </w:rPr>
              <w:t>Stirling</w:t>
            </w:r>
            <w:proofErr w:type="spellEnd"/>
            <w:r>
              <w:rPr>
                <w:rFonts w:cs="Calibri"/>
                <w:color w:val="000000"/>
              </w:rPr>
              <w:t xml:space="preserve"> with precise </w:t>
            </w:r>
            <w:proofErr w:type="spellStart"/>
            <w:r>
              <w:rPr>
                <w:rFonts w:cs="Calibri"/>
                <w:color w:val="000000"/>
              </w:rPr>
              <w:t>parms</w:t>
            </w:r>
            <w:proofErr w:type="spellEnd"/>
          </w:p>
        </w:tc>
        <w:tc>
          <w:tcPr>
            <w:tcW w:w="1915" w:type="dxa"/>
            <w:vAlign w:val="bottom"/>
          </w:tcPr>
          <w:p w:rsidR="006954B8" w:rsidRDefault="006954B8" w:rsidP="00EA218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rising</w:t>
            </w:r>
          </w:p>
        </w:tc>
        <w:tc>
          <w:tcPr>
            <w:tcW w:w="1915" w:type="dxa"/>
            <w:vAlign w:val="bottom"/>
          </w:tcPr>
          <w:p w:rsidR="006954B8" w:rsidRDefault="006954B8" w:rsidP="00EA218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rising</w:t>
            </w:r>
          </w:p>
        </w:tc>
        <w:tc>
          <w:tcPr>
            <w:tcW w:w="1718" w:type="dxa"/>
            <w:shd w:val="clear" w:color="auto" w:fill="92D050"/>
            <w:vAlign w:val="bottom"/>
          </w:tcPr>
          <w:p w:rsidR="006954B8" w:rsidRPr="004D38ED" w:rsidRDefault="006954B8" w:rsidP="00275CE4">
            <w:pPr>
              <w:jc w:val="center"/>
              <w:rPr>
                <w:rFonts w:cs="Calibri"/>
                <w:color w:val="000000"/>
              </w:rPr>
            </w:pPr>
            <w:r w:rsidRPr="004D38ED">
              <w:rPr>
                <w:rFonts w:cs="Calibri"/>
                <w:color w:val="000000"/>
              </w:rPr>
              <w:t>0.0</w:t>
            </w:r>
            <w:r w:rsidR="00275CE4" w:rsidRPr="004D38ED">
              <w:rPr>
                <w:rFonts w:cs="Calibri"/>
                <w:color w:val="000000"/>
              </w:rPr>
              <w:t>03146</w:t>
            </w:r>
          </w:p>
        </w:tc>
      </w:tr>
      <w:tr w:rsidR="006954B8" w:rsidTr="006954B8">
        <w:tc>
          <w:tcPr>
            <w:tcW w:w="990" w:type="dxa"/>
            <w:vAlign w:val="bottom"/>
          </w:tcPr>
          <w:p w:rsidR="006954B8" w:rsidRDefault="006954B8" w:rsidP="006954B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2160" w:type="dxa"/>
            <w:vAlign w:val="bottom"/>
          </w:tcPr>
          <w:p w:rsidR="006954B8" w:rsidRDefault="006954B8" w:rsidP="00EA218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Revised </w:t>
            </w:r>
            <w:proofErr w:type="spellStart"/>
            <w:r>
              <w:rPr>
                <w:rFonts w:cs="Calibri"/>
                <w:color w:val="000000"/>
              </w:rPr>
              <w:t>Stirling</w:t>
            </w:r>
            <w:proofErr w:type="spellEnd"/>
            <w:r>
              <w:rPr>
                <w:rFonts w:cs="Calibri"/>
                <w:color w:val="000000"/>
              </w:rPr>
              <w:t xml:space="preserve"> with {0.5, 1} as </w:t>
            </w:r>
            <w:proofErr w:type="spellStart"/>
            <w:r>
              <w:rPr>
                <w:rFonts w:cs="Calibri"/>
                <w:color w:val="000000"/>
              </w:rPr>
              <w:t>parms</w:t>
            </w:r>
            <w:proofErr w:type="spellEnd"/>
          </w:p>
        </w:tc>
        <w:tc>
          <w:tcPr>
            <w:tcW w:w="1915" w:type="dxa"/>
            <w:vAlign w:val="bottom"/>
          </w:tcPr>
          <w:p w:rsidR="006954B8" w:rsidRDefault="006954B8" w:rsidP="00EA218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rising</w:t>
            </w:r>
          </w:p>
        </w:tc>
        <w:tc>
          <w:tcPr>
            <w:tcW w:w="1915" w:type="dxa"/>
            <w:shd w:val="clear" w:color="auto" w:fill="92D050"/>
            <w:vAlign w:val="bottom"/>
          </w:tcPr>
          <w:p w:rsidR="006954B8" w:rsidRDefault="006954B8" w:rsidP="00EA218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falling</w:t>
            </w:r>
          </w:p>
        </w:tc>
        <w:tc>
          <w:tcPr>
            <w:tcW w:w="1718" w:type="dxa"/>
            <w:vAlign w:val="bottom"/>
          </w:tcPr>
          <w:p w:rsidR="006954B8" w:rsidRPr="004D38ED" w:rsidRDefault="004D38ED" w:rsidP="00EA218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0.078870</w:t>
            </w:r>
          </w:p>
        </w:tc>
      </w:tr>
    </w:tbl>
    <w:p w:rsidR="00F803F3" w:rsidRDefault="008D4E94" w:rsidP="00315F7B">
      <w:pPr>
        <w:rPr>
          <w:sz w:val="28"/>
        </w:rPr>
      </w:pPr>
      <w:r>
        <w:rPr>
          <w:sz w:val="28"/>
        </w:rPr>
        <w:t>The RMS error is computed as</w:t>
      </w:r>
    </w:p>
    <w:p w:rsidR="008D4E94" w:rsidRDefault="006E44CC" w:rsidP="00315F7B">
      <w:pPr>
        <w:rPr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E</m:t>
              </m:r>
            </m:e>
            <m:sub>
              <m:r>
                <w:rPr>
                  <w:rFonts w:ascii="Cambria Math" w:hAnsi="Cambria Math"/>
                  <w:sz w:val="28"/>
                </w:rPr>
                <m:t>rms</m:t>
              </m:r>
            </m:sub>
          </m:sSub>
          <m:r>
            <w:rPr>
              <w:rFonts w:ascii="Cambria Math" w:hAnsi="Cambria Math"/>
              <w:sz w:val="28"/>
            </w:rPr>
            <m:t>=</m:t>
          </m:r>
          <m:rad>
            <m:radPr>
              <m:ctrlPr>
                <w:rPr>
                  <w:rFonts w:ascii="Cambria Math" w:hAnsi="Cambria Math"/>
                  <w:i/>
                  <w:sz w:val="28"/>
                </w:rPr>
              </m:ctrlPr>
            </m:radPr>
            <m:deg>
              <m:r>
                <w:rPr>
                  <w:rFonts w:ascii="Cambria Math" w:hAnsi="Cambria Math"/>
                  <w:sz w:val="28"/>
                </w:rPr>
                <m:t>2</m:t>
              </m:r>
            </m:deg>
            <m:e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nary>
                    <m:naryPr>
                      <m:chr m:val="∑"/>
                      <m:limLoc m:val="subSup"/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N=0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170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error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r>
                    <w:rPr>
                      <w:rFonts w:ascii="Cambria Math" w:hAnsi="Cambria Math"/>
                      <w:sz w:val="28"/>
                    </w:rPr>
                    <m:t>171</m:t>
                  </m:r>
                </m:den>
              </m:f>
            </m:e>
          </m:rad>
        </m:oMath>
      </m:oMathPara>
    </w:p>
    <w:p w:rsidR="008D4E94" w:rsidRDefault="008D4E94" w:rsidP="00315F7B">
      <w:pPr>
        <w:rPr>
          <w:sz w:val="28"/>
        </w:rPr>
      </w:pPr>
      <w:r>
        <w:rPr>
          <w:sz w:val="28"/>
        </w:rPr>
        <w:t>The unrevised Sterling formula performs badly on the interval [0, 170] compared to the revised versions.</w:t>
      </w:r>
    </w:p>
    <w:p w:rsidR="008D4E94" w:rsidRDefault="008D4E94" w:rsidP="00315F7B">
      <w:pPr>
        <w:rPr>
          <w:sz w:val="28"/>
        </w:rPr>
      </w:pPr>
    </w:p>
    <w:p w:rsidR="006954B8" w:rsidRDefault="006954B8" w:rsidP="00315F7B">
      <w:pPr>
        <w:rPr>
          <w:sz w:val="28"/>
        </w:rPr>
      </w:pPr>
      <w:r>
        <w:rPr>
          <w:sz w:val="28"/>
        </w:rPr>
        <w:t>In summary:</w:t>
      </w:r>
    </w:p>
    <w:p w:rsidR="003C556D" w:rsidRDefault="003C556D" w:rsidP="006954B8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In my </w:t>
      </w:r>
      <w:proofErr w:type="spellStart"/>
      <w:r>
        <w:rPr>
          <w:sz w:val="28"/>
        </w:rPr>
        <w:t>EiLab</w:t>
      </w:r>
      <w:proofErr w:type="spellEnd"/>
      <w:r>
        <w:rPr>
          <w:sz w:val="28"/>
        </w:rPr>
        <w:t xml:space="preserve"> studies, I should avoid </w:t>
      </w:r>
      <w:proofErr w:type="spellStart"/>
      <w:r>
        <w:rPr>
          <w:sz w:val="28"/>
        </w:rPr>
        <w:t>Stirling’s</w:t>
      </w:r>
      <w:proofErr w:type="spellEnd"/>
      <w:r>
        <w:rPr>
          <w:sz w:val="28"/>
        </w:rPr>
        <w:t xml:space="preserve"> approximation, as I have a lot of bins with zero or 1 agent, and this is where </w:t>
      </w:r>
      <w:proofErr w:type="spellStart"/>
      <w:r>
        <w:rPr>
          <w:sz w:val="28"/>
        </w:rPr>
        <w:t>Stirling’s</w:t>
      </w:r>
      <w:proofErr w:type="spellEnd"/>
      <w:r>
        <w:rPr>
          <w:sz w:val="28"/>
        </w:rPr>
        <w:t xml:space="preserve"> approximation, in all of its forms, performs worst.  </w:t>
      </w:r>
    </w:p>
    <w:p w:rsidR="006954B8" w:rsidRDefault="006954B8" w:rsidP="006954B8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I</w:t>
      </w:r>
      <w:r w:rsidR="00E93896" w:rsidRPr="006954B8">
        <w:rPr>
          <w:sz w:val="28"/>
        </w:rPr>
        <w:t xml:space="preserve">t appears that </w:t>
      </w:r>
      <w:proofErr w:type="spellStart"/>
      <w:r w:rsidR="00E93896" w:rsidRPr="006954B8">
        <w:rPr>
          <w:sz w:val="28"/>
        </w:rPr>
        <w:t>Stirling’s</w:t>
      </w:r>
      <w:proofErr w:type="spellEnd"/>
      <w:r w:rsidR="00E93896" w:rsidRPr="006954B8">
        <w:rPr>
          <w:sz w:val="28"/>
        </w:rPr>
        <w:t xml:space="preserve"> approximation is </w:t>
      </w:r>
      <w:r w:rsidR="00E93896" w:rsidRPr="006954B8">
        <w:rPr>
          <w:sz w:val="28"/>
          <w:highlight w:val="yellow"/>
        </w:rPr>
        <w:t>not good</w:t>
      </w:r>
      <w:r w:rsidR="00E93896" w:rsidRPr="006954B8">
        <w:rPr>
          <w:sz w:val="28"/>
        </w:rPr>
        <w:t xml:space="preserve"> for very small x, but I can use an exact formula</w:t>
      </w:r>
      <w:r w:rsidRPr="006954B8">
        <w:rPr>
          <w:sz w:val="28"/>
        </w:rPr>
        <w:t xml:space="preserve"> in that part of the domain.  I</w:t>
      </w:r>
      <w:r w:rsidR="00E93896" w:rsidRPr="006954B8">
        <w:rPr>
          <w:sz w:val="28"/>
        </w:rPr>
        <w:t xml:space="preserve"> do not need to approximate</w:t>
      </w:r>
      <w:r>
        <w:rPr>
          <w:sz w:val="28"/>
        </w:rPr>
        <w:t xml:space="preserve"> there</w:t>
      </w:r>
      <w:r w:rsidR="00E93896" w:rsidRPr="006954B8">
        <w:rPr>
          <w:sz w:val="28"/>
        </w:rPr>
        <w:t xml:space="preserve">.  </w:t>
      </w:r>
    </w:p>
    <w:p w:rsidR="003C556D" w:rsidRDefault="00E93896" w:rsidP="006954B8">
      <w:pPr>
        <w:pStyle w:val="ListParagraph"/>
        <w:numPr>
          <w:ilvl w:val="0"/>
          <w:numId w:val="6"/>
        </w:numPr>
        <w:rPr>
          <w:sz w:val="28"/>
        </w:rPr>
      </w:pPr>
      <w:r w:rsidRPr="006954B8">
        <w:rPr>
          <w:sz w:val="28"/>
        </w:rPr>
        <w:t xml:space="preserve">A revised version of </w:t>
      </w:r>
      <w:proofErr w:type="spellStart"/>
      <w:r w:rsidRPr="006954B8">
        <w:rPr>
          <w:sz w:val="28"/>
        </w:rPr>
        <w:t>Stirling’s</w:t>
      </w:r>
      <w:proofErr w:type="spellEnd"/>
      <w:r w:rsidRPr="006954B8">
        <w:rPr>
          <w:sz w:val="28"/>
        </w:rPr>
        <w:t xml:space="preserve"> approximation seems to perform better for numbers of the order of magnitude of 170, where many ABMs will be functioning, and for which MS Excel cannot provide </w:t>
      </w:r>
      <w:r w:rsidR="006954B8" w:rsidRPr="006954B8">
        <w:rPr>
          <w:sz w:val="28"/>
        </w:rPr>
        <w:t xml:space="preserve">exact </w:t>
      </w:r>
      <w:r w:rsidRPr="006954B8">
        <w:rPr>
          <w:sz w:val="28"/>
        </w:rPr>
        <w:t>support in analysis</w:t>
      </w:r>
      <w:r w:rsidR="006954B8" w:rsidRPr="006954B8">
        <w:rPr>
          <w:sz w:val="28"/>
        </w:rPr>
        <w:t xml:space="preserve"> via an approximation formula.  </w:t>
      </w:r>
    </w:p>
    <w:p w:rsidR="00E93896" w:rsidRPr="006954B8" w:rsidRDefault="006954B8" w:rsidP="006954B8">
      <w:pPr>
        <w:pStyle w:val="ListParagraph"/>
        <w:numPr>
          <w:ilvl w:val="0"/>
          <w:numId w:val="6"/>
        </w:numPr>
        <w:rPr>
          <w:sz w:val="28"/>
        </w:rPr>
      </w:pPr>
      <w:r w:rsidRPr="006954B8">
        <w:rPr>
          <w:sz w:val="28"/>
        </w:rPr>
        <w:t xml:space="preserve">For very large numbers (not shown here) </w:t>
      </w:r>
      <w:proofErr w:type="spellStart"/>
      <w:r w:rsidRPr="006954B8">
        <w:rPr>
          <w:sz w:val="28"/>
        </w:rPr>
        <w:t>Sti</w:t>
      </w:r>
      <w:r w:rsidR="00E93896" w:rsidRPr="006954B8">
        <w:rPr>
          <w:sz w:val="28"/>
        </w:rPr>
        <w:t>rling’s</w:t>
      </w:r>
      <w:proofErr w:type="spellEnd"/>
      <w:r w:rsidR="00E93896" w:rsidRPr="006954B8">
        <w:rPr>
          <w:sz w:val="28"/>
        </w:rPr>
        <w:t xml:space="preserve"> approximation is good because the relative error declines as </w:t>
      </w:r>
      <w:proofErr w:type="gramStart"/>
      <w:r w:rsidR="00E93896" w:rsidRPr="006954B8">
        <w:rPr>
          <w:sz w:val="28"/>
        </w:rPr>
        <w:t>ln(</w:t>
      </w:r>
      <w:proofErr w:type="gramEnd"/>
      <w:r w:rsidR="0067165C">
        <w:rPr>
          <w:sz w:val="28"/>
        </w:rPr>
        <w:t>N</w:t>
      </w:r>
      <w:r w:rsidR="00E93896" w:rsidRPr="006954B8">
        <w:rPr>
          <w:sz w:val="28"/>
        </w:rPr>
        <w:t>)/</w:t>
      </w:r>
      <w:r w:rsidR="0067165C">
        <w:rPr>
          <w:sz w:val="28"/>
        </w:rPr>
        <w:t>N</w:t>
      </w:r>
      <w:r w:rsidR="00E93896" w:rsidRPr="006954B8">
        <w:rPr>
          <w:sz w:val="28"/>
        </w:rPr>
        <w:t xml:space="preserve"> and goes to zero as </w:t>
      </w:r>
      <w:r w:rsidR="0067165C">
        <w:rPr>
          <w:sz w:val="28"/>
        </w:rPr>
        <w:t>N</w:t>
      </w:r>
      <w:r w:rsidR="00E93896" w:rsidRPr="006954B8">
        <w:rPr>
          <w:sz w:val="28"/>
        </w:rPr>
        <w:t xml:space="preserve"> rises.  The issue is, then, is </w:t>
      </w:r>
      <w:proofErr w:type="spellStart"/>
      <w:r w:rsidR="00E93896" w:rsidRPr="006954B8">
        <w:rPr>
          <w:sz w:val="28"/>
        </w:rPr>
        <w:t>Stirling’s</w:t>
      </w:r>
      <w:proofErr w:type="spellEnd"/>
      <w:r w:rsidR="00E93896" w:rsidRPr="006954B8">
        <w:rPr>
          <w:sz w:val="28"/>
        </w:rPr>
        <w:t xml:space="preserve"> approximation, or a revised version, close enough for the domain of numbers in which most ABMs will operate?  Certainly, in my ABMs, </w:t>
      </w:r>
      <w:r w:rsidR="0004770C" w:rsidRPr="006954B8">
        <w:rPr>
          <w:sz w:val="28"/>
        </w:rPr>
        <w:t>the number of agents</w:t>
      </w:r>
      <w:r w:rsidR="00E93896" w:rsidRPr="006954B8">
        <w:rPr>
          <w:sz w:val="28"/>
        </w:rPr>
        <w:t xml:space="preserve"> is </w:t>
      </w:r>
      <w:r w:rsidR="0004770C" w:rsidRPr="006954B8">
        <w:rPr>
          <w:sz w:val="28"/>
        </w:rPr>
        <w:t xml:space="preserve">usually </w:t>
      </w:r>
      <w:r w:rsidR="00E93896" w:rsidRPr="006954B8">
        <w:rPr>
          <w:sz w:val="28"/>
        </w:rPr>
        <w:t>less than 1000, and so the following approach seems good.</w:t>
      </w:r>
    </w:p>
    <w:p w:rsidR="00E93896" w:rsidRDefault="00E93896" w:rsidP="00E93896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U</w:t>
      </w:r>
      <w:r w:rsidR="009E1E4E">
        <w:rPr>
          <w:sz w:val="28"/>
        </w:rPr>
        <w:t>se</w:t>
      </w:r>
      <w:r>
        <w:rPr>
          <w:sz w:val="28"/>
        </w:rPr>
        <w:t xml:space="preserve"> an exact calculation of</w:t>
      </w:r>
      <w:r w:rsidR="009E1E4E">
        <w:rPr>
          <w:sz w:val="28"/>
        </w:rPr>
        <w:t xml:space="preserve"> ln(</w:t>
      </w:r>
      <w:r w:rsidR="0067165C">
        <w:rPr>
          <w:sz w:val="28"/>
        </w:rPr>
        <w:t>N</w:t>
      </w:r>
      <w:r w:rsidR="009E1E4E">
        <w:rPr>
          <w:sz w:val="28"/>
        </w:rPr>
        <w:t xml:space="preserve">!) when </w:t>
      </w:r>
      <w:r w:rsidR="0067165C">
        <w:rPr>
          <w:sz w:val="28"/>
        </w:rPr>
        <w:t>N</w:t>
      </w:r>
      <w:r w:rsidR="009E1E4E">
        <w:rPr>
          <w:sz w:val="28"/>
        </w:rPr>
        <w:t xml:space="preserve"> &lt; 170; and</w:t>
      </w:r>
    </w:p>
    <w:p w:rsidR="009E1E4E" w:rsidRDefault="009E1E4E" w:rsidP="00E93896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Use a revised </w:t>
      </w:r>
      <w:proofErr w:type="spellStart"/>
      <w:r>
        <w:rPr>
          <w:sz w:val="28"/>
        </w:rPr>
        <w:t>Stirling’s</w:t>
      </w:r>
      <w:proofErr w:type="spellEnd"/>
      <w:r>
        <w:rPr>
          <w:sz w:val="28"/>
        </w:rPr>
        <w:t xml:space="preserve"> approximation for </w:t>
      </w:r>
      <w:r w:rsidR="0067165C">
        <w:rPr>
          <w:sz w:val="28"/>
        </w:rPr>
        <w:t>N</w:t>
      </w:r>
      <w:r>
        <w:rPr>
          <w:sz w:val="28"/>
        </w:rPr>
        <w:t xml:space="preserve"> &gt;= 170. </w:t>
      </w:r>
    </w:p>
    <w:p w:rsidR="009E1E4E" w:rsidRDefault="009E1E4E" w:rsidP="009E1E4E">
      <w:pPr>
        <w:rPr>
          <w:sz w:val="28"/>
        </w:rPr>
      </w:pPr>
    </w:p>
    <w:p w:rsidR="009E1E4E" w:rsidRDefault="009E1E4E" w:rsidP="009E1E4E">
      <w:pPr>
        <w:rPr>
          <w:sz w:val="28"/>
        </w:rPr>
      </w:pPr>
      <w:r>
        <w:rPr>
          <w:sz w:val="28"/>
        </w:rPr>
        <w:lastRenderedPageBreak/>
        <w:t>Then, I can implement this in both MS Excel when I do my analysis and also in C++ when I build my models.</w:t>
      </w:r>
    </w:p>
    <w:p w:rsidR="009E1E4E" w:rsidRPr="009E1E4E" w:rsidRDefault="009E1E4E" w:rsidP="009E1E4E">
      <w:pPr>
        <w:rPr>
          <w:sz w:val="28"/>
        </w:rPr>
      </w:pPr>
    </w:p>
    <w:p w:rsidR="00F57E21" w:rsidRDefault="00F57E21" w:rsidP="00315F7B">
      <w:pPr>
        <w:rPr>
          <w:sz w:val="28"/>
        </w:rPr>
      </w:pPr>
    </w:p>
    <w:p w:rsidR="00F57E21" w:rsidRPr="00315F7B" w:rsidRDefault="00F57E21" w:rsidP="00315F7B">
      <w:pPr>
        <w:rPr>
          <w:sz w:val="28"/>
        </w:rPr>
      </w:pPr>
    </w:p>
    <w:sectPr w:rsidR="00F57E21" w:rsidRPr="00315F7B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4CC" w:rsidRDefault="006E44CC" w:rsidP="004E710B">
      <w:r>
        <w:separator/>
      </w:r>
    </w:p>
  </w:endnote>
  <w:endnote w:type="continuationSeparator" w:id="0">
    <w:p w:rsidR="006E44CC" w:rsidRDefault="006E44CC" w:rsidP="004E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4CC" w:rsidRDefault="006E44CC" w:rsidP="004E710B">
      <w:r>
        <w:separator/>
      </w:r>
    </w:p>
  </w:footnote>
  <w:footnote w:type="continuationSeparator" w:id="0">
    <w:p w:rsidR="006E44CC" w:rsidRDefault="006E44CC" w:rsidP="004E7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961" w:rsidRDefault="00AC7961">
    <w:pPr>
      <w:pStyle w:val="Header"/>
      <w:pBdr>
        <w:bottom w:val="single" w:sz="6" w:space="1" w:color="auto"/>
      </w:pBdr>
    </w:pPr>
    <w:r>
      <w:t>Orrery Software</w:t>
    </w: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 w:rsidR="0004167F">
      <w:rPr>
        <w:noProof/>
      </w:rPr>
      <w:t>1</w:t>
    </w:r>
    <w:r>
      <w:rPr>
        <w:noProof/>
      </w:rPr>
      <w:fldChar w:fldCharType="end"/>
    </w:r>
    <w:r>
      <w:ptab w:relativeTo="margin" w:alignment="right" w:leader="none"/>
    </w:r>
    <w:r>
      <w:t xml:space="preserve">NTF </w:t>
    </w:r>
    <w:r w:rsidR="008D633C">
      <w:t xml:space="preserve">– </w:t>
    </w:r>
    <w:proofErr w:type="spellStart"/>
    <w:r w:rsidR="008D633C">
      <w:t>Stirling’s</w:t>
    </w:r>
    <w:proofErr w:type="spellEnd"/>
    <w:r w:rsidR="008D633C">
      <w:t xml:space="preserve"> Approximation</w:t>
    </w:r>
  </w:p>
  <w:p w:rsidR="00AC7961" w:rsidRDefault="00AC79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C507C"/>
    <w:multiLevelType w:val="hybridMultilevel"/>
    <w:tmpl w:val="E6585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A6531"/>
    <w:multiLevelType w:val="hybridMultilevel"/>
    <w:tmpl w:val="CE8A1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2133E6"/>
    <w:multiLevelType w:val="hybridMultilevel"/>
    <w:tmpl w:val="5DF61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700F28"/>
    <w:multiLevelType w:val="hybridMultilevel"/>
    <w:tmpl w:val="C212A5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AD1958"/>
    <w:multiLevelType w:val="hybridMultilevel"/>
    <w:tmpl w:val="19FAF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F70538"/>
    <w:multiLevelType w:val="hybridMultilevel"/>
    <w:tmpl w:val="EFEE1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DD47522"/>
    <w:multiLevelType w:val="hybridMultilevel"/>
    <w:tmpl w:val="E9C4B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57"/>
    <w:rsid w:val="00033491"/>
    <w:rsid w:val="0004167F"/>
    <w:rsid w:val="0004770C"/>
    <w:rsid w:val="00057555"/>
    <w:rsid w:val="00066E03"/>
    <w:rsid w:val="00067587"/>
    <w:rsid w:val="00084A57"/>
    <w:rsid w:val="000C3814"/>
    <w:rsid w:val="000E2FB0"/>
    <w:rsid w:val="000F7124"/>
    <w:rsid w:val="001158B5"/>
    <w:rsid w:val="00124B93"/>
    <w:rsid w:val="00141A00"/>
    <w:rsid w:val="0014476D"/>
    <w:rsid w:val="001746D5"/>
    <w:rsid w:val="00184573"/>
    <w:rsid w:val="00196E35"/>
    <w:rsid w:val="001B1B2A"/>
    <w:rsid w:val="001B6A9C"/>
    <w:rsid w:val="001E192D"/>
    <w:rsid w:val="002167C9"/>
    <w:rsid w:val="00275CE4"/>
    <w:rsid w:val="00311DEB"/>
    <w:rsid w:val="00315F7B"/>
    <w:rsid w:val="003548C2"/>
    <w:rsid w:val="003815B2"/>
    <w:rsid w:val="00382222"/>
    <w:rsid w:val="00385F72"/>
    <w:rsid w:val="003B6E98"/>
    <w:rsid w:val="003C556D"/>
    <w:rsid w:val="00421A95"/>
    <w:rsid w:val="004272C6"/>
    <w:rsid w:val="004476B9"/>
    <w:rsid w:val="004630C0"/>
    <w:rsid w:val="0049043D"/>
    <w:rsid w:val="004C6319"/>
    <w:rsid w:val="004D38ED"/>
    <w:rsid w:val="004E710B"/>
    <w:rsid w:val="004F0587"/>
    <w:rsid w:val="00573F99"/>
    <w:rsid w:val="00583926"/>
    <w:rsid w:val="005A5362"/>
    <w:rsid w:val="005C728E"/>
    <w:rsid w:val="005D62D3"/>
    <w:rsid w:val="006307D9"/>
    <w:rsid w:val="00643264"/>
    <w:rsid w:val="006511AA"/>
    <w:rsid w:val="006553F2"/>
    <w:rsid w:val="0067165C"/>
    <w:rsid w:val="006727DB"/>
    <w:rsid w:val="00682664"/>
    <w:rsid w:val="006900C8"/>
    <w:rsid w:val="006954B8"/>
    <w:rsid w:val="0069739B"/>
    <w:rsid w:val="006E44CC"/>
    <w:rsid w:val="006F161E"/>
    <w:rsid w:val="006F43F5"/>
    <w:rsid w:val="00702E25"/>
    <w:rsid w:val="00733827"/>
    <w:rsid w:val="007427A9"/>
    <w:rsid w:val="007517A1"/>
    <w:rsid w:val="00761995"/>
    <w:rsid w:val="00767D63"/>
    <w:rsid w:val="00783E31"/>
    <w:rsid w:val="0079442E"/>
    <w:rsid w:val="007B5837"/>
    <w:rsid w:val="007B6C9D"/>
    <w:rsid w:val="007E04E3"/>
    <w:rsid w:val="00815108"/>
    <w:rsid w:val="00845743"/>
    <w:rsid w:val="00850FBC"/>
    <w:rsid w:val="00857EAE"/>
    <w:rsid w:val="008822D3"/>
    <w:rsid w:val="008937C2"/>
    <w:rsid w:val="008A576E"/>
    <w:rsid w:val="008D4E94"/>
    <w:rsid w:val="008D633C"/>
    <w:rsid w:val="008E06F0"/>
    <w:rsid w:val="00916660"/>
    <w:rsid w:val="009365E4"/>
    <w:rsid w:val="00952B8A"/>
    <w:rsid w:val="0095648B"/>
    <w:rsid w:val="00962751"/>
    <w:rsid w:val="00997F95"/>
    <w:rsid w:val="009E1E4E"/>
    <w:rsid w:val="00A030EE"/>
    <w:rsid w:val="00A2797C"/>
    <w:rsid w:val="00A6282F"/>
    <w:rsid w:val="00A841A3"/>
    <w:rsid w:val="00AA68E5"/>
    <w:rsid w:val="00AC1F85"/>
    <w:rsid w:val="00AC7961"/>
    <w:rsid w:val="00AD363F"/>
    <w:rsid w:val="00AD70B3"/>
    <w:rsid w:val="00B15290"/>
    <w:rsid w:val="00B5597F"/>
    <w:rsid w:val="00BB1AB6"/>
    <w:rsid w:val="00BB4616"/>
    <w:rsid w:val="00BC624B"/>
    <w:rsid w:val="00BD64BD"/>
    <w:rsid w:val="00BF65FD"/>
    <w:rsid w:val="00C04131"/>
    <w:rsid w:val="00C75045"/>
    <w:rsid w:val="00C847DC"/>
    <w:rsid w:val="00C947AD"/>
    <w:rsid w:val="00CC72EF"/>
    <w:rsid w:val="00D14476"/>
    <w:rsid w:val="00D4213B"/>
    <w:rsid w:val="00D51767"/>
    <w:rsid w:val="00D635DD"/>
    <w:rsid w:val="00D73295"/>
    <w:rsid w:val="00D738AB"/>
    <w:rsid w:val="00D9219C"/>
    <w:rsid w:val="00DA7A60"/>
    <w:rsid w:val="00DD6EDE"/>
    <w:rsid w:val="00DF334D"/>
    <w:rsid w:val="00E01D15"/>
    <w:rsid w:val="00E93896"/>
    <w:rsid w:val="00EA4B49"/>
    <w:rsid w:val="00EA5EC5"/>
    <w:rsid w:val="00EF44A3"/>
    <w:rsid w:val="00F034AF"/>
    <w:rsid w:val="00F26B99"/>
    <w:rsid w:val="00F3615C"/>
    <w:rsid w:val="00F3635C"/>
    <w:rsid w:val="00F57E21"/>
    <w:rsid w:val="00F643F5"/>
    <w:rsid w:val="00F803F3"/>
    <w:rsid w:val="00F913D0"/>
    <w:rsid w:val="00FE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47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47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21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4A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A5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847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847D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847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767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4213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E71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10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E71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10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47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47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21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4A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A5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847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847D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847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767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4213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E71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10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E71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10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40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 (Dell Dimension 4550)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Garvin Boyle</dc:creator>
  <cp:keywords/>
  <dc:description/>
  <cp:lastModifiedBy>G David Boyle</cp:lastModifiedBy>
  <cp:revision>8</cp:revision>
  <cp:lastPrinted>2014-04-14T15:20:00Z</cp:lastPrinted>
  <dcterms:created xsi:type="dcterms:W3CDTF">2014-04-14T15:09:00Z</dcterms:created>
  <dcterms:modified xsi:type="dcterms:W3CDTF">2014-12-30T14:30:00Z</dcterms:modified>
</cp:coreProperties>
</file>