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0E6D4C10" w:rsidR="001A3EB2" w:rsidRDefault="00940AFE"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5BC73243" wp14:editId="564156FB">
            <wp:simplePos x="0" y="0"/>
            <wp:positionH relativeFrom="column">
              <wp:posOffset>4979035</wp:posOffset>
            </wp:positionH>
            <wp:positionV relativeFrom="paragraph">
              <wp:posOffset>209612</wp:posOffset>
            </wp:positionV>
            <wp:extent cx="792649" cy="287655"/>
            <wp:effectExtent l="0" t="0" r="7620" b="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49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FB09E" w14:textId="437B0FE6" w:rsidR="00DE26A0" w:rsidRDefault="00DE26A0" w:rsidP="006A202E">
      <w:pPr>
        <w:spacing w:after="0"/>
        <w:jc w:val="center"/>
        <w:rPr>
          <w:rFonts w:ascii="Times New Roman" w:hAnsi="Times New Roman" w:cs="Times New Roman"/>
        </w:rPr>
      </w:pPr>
    </w:p>
    <w:p w14:paraId="23B7183C" w14:textId="0C4520C3" w:rsidR="00F95DBB" w:rsidRDefault="00F95DBB" w:rsidP="006A202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EF734F6" w14:textId="39D6E433" w:rsidR="00833C5A" w:rsidRPr="00940AFE" w:rsidRDefault="00B52426" w:rsidP="006A2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AFE">
        <w:rPr>
          <w:rFonts w:ascii="Times New Roman" w:hAnsi="Times New Roman" w:cs="Times New Roman"/>
          <w:b/>
          <w:bCs/>
          <w:sz w:val="28"/>
          <w:szCs w:val="28"/>
        </w:rPr>
        <w:t>FHA</w:t>
      </w:r>
      <w:r w:rsidR="0045605B" w:rsidRPr="00940AFE">
        <w:rPr>
          <w:rFonts w:ascii="Times New Roman" w:hAnsi="Times New Roman" w:cs="Times New Roman"/>
          <w:b/>
          <w:bCs/>
          <w:sz w:val="28"/>
          <w:szCs w:val="28"/>
        </w:rPr>
        <w:t xml:space="preserve"> Refer/Eligible =</w:t>
      </w:r>
      <w:r w:rsidR="00B46238" w:rsidRPr="00940AFE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Pr="00940AFE">
        <w:rPr>
          <w:rFonts w:ascii="Times New Roman" w:hAnsi="Times New Roman" w:cs="Times New Roman"/>
          <w:b/>
          <w:bCs/>
          <w:sz w:val="28"/>
          <w:szCs w:val="28"/>
        </w:rPr>
        <w:t>n FHA</w:t>
      </w:r>
      <w:r w:rsidR="00B46238" w:rsidRPr="00940AFE">
        <w:rPr>
          <w:rFonts w:ascii="Times New Roman" w:hAnsi="Times New Roman" w:cs="Times New Roman"/>
          <w:b/>
          <w:bCs/>
          <w:sz w:val="28"/>
          <w:szCs w:val="28"/>
        </w:rPr>
        <w:t xml:space="preserve"> Manual Underwrite!</w:t>
      </w:r>
    </w:p>
    <w:p w14:paraId="49A734E1" w14:textId="5BA7F1BB" w:rsidR="00F95DBB" w:rsidRPr="007B5A3D" w:rsidRDefault="00F95DBB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7DE5D8" w14:textId="2B1CE441" w:rsidR="000F54F7" w:rsidRDefault="00BF617E" w:rsidP="006A20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184E">
        <w:rPr>
          <w:rFonts w:ascii="Times New Roman" w:hAnsi="Times New Roman" w:cs="Times New Roman"/>
          <w:sz w:val="20"/>
          <w:szCs w:val="20"/>
        </w:rPr>
        <w:t>There is this fun little thing in the mortgage world called AUS</w:t>
      </w:r>
      <w:r w:rsidR="00101BE8" w:rsidRPr="00D2184E">
        <w:rPr>
          <w:rFonts w:ascii="Times New Roman" w:hAnsi="Times New Roman" w:cs="Times New Roman"/>
          <w:sz w:val="20"/>
          <w:szCs w:val="20"/>
        </w:rPr>
        <w:t xml:space="preserve">, that </w:t>
      </w:r>
      <w:r w:rsidRPr="00D2184E">
        <w:rPr>
          <w:rFonts w:ascii="Times New Roman" w:hAnsi="Times New Roman" w:cs="Times New Roman"/>
          <w:sz w:val="20"/>
          <w:szCs w:val="20"/>
        </w:rPr>
        <w:t xml:space="preserve">stands for Automated Underwriting System. </w:t>
      </w:r>
      <w:r w:rsidR="00416CB9" w:rsidRPr="00D2184E">
        <w:rPr>
          <w:rFonts w:ascii="Times New Roman" w:hAnsi="Times New Roman" w:cs="Times New Roman"/>
          <w:sz w:val="20"/>
          <w:szCs w:val="20"/>
        </w:rPr>
        <w:t xml:space="preserve">Almost every loan will get ran through </w:t>
      </w:r>
      <w:r w:rsidR="00D2493B" w:rsidRPr="00D2184E">
        <w:rPr>
          <w:rFonts w:ascii="Times New Roman" w:hAnsi="Times New Roman" w:cs="Times New Roman"/>
          <w:sz w:val="20"/>
          <w:szCs w:val="20"/>
        </w:rPr>
        <w:t>AUS</w:t>
      </w:r>
      <w:r w:rsidR="002A7EB7" w:rsidRPr="00D2184E">
        <w:rPr>
          <w:rFonts w:ascii="Times New Roman" w:hAnsi="Times New Roman" w:cs="Times New Roman"/>
          <w:sz w:val="20"/>
          <w:szCs w:val="20"/>
        </w:rPr>
        <w:t xml:space="preserve"> to be examined for</w:t>
      </w:r>
      <w:r w:rsidR="003C62D8">
        <w:rPr>
          <w:rFonts w:ascii="Times New Roman" w:hAnsi="Times New Roman" w:cs="Times New Roman"/>
          <w:sz w:val="20"/>
          <w:szCs w:val="20"/>
        </w:rPr>
        <w:t xml:space="preserve"> risk, credit &amp;</w:t>
      </w:r>
      <w:r w:rsidR="002A7EB7" w:rsidRPr="00D2184E">
        <w:rPr>
          <w:rFonts w:ascii="Times New Roman" w:hAnsi="Times New Roman" w:cs="Times New Roman"/>
          <w:sz w:val="20"/>
          <w:szCs w:val="20"/>
        </w:rPr>
        <w:t xml:space="preserve"> quality. However, there are some situations that the AUS does not know how to handle or interpret </w:t>
      </w:r>
      <w:r w:rsidR="006C3951" w:rsidRPr="00D2184E">
        <w:rPr>
          <w:rFonts w:ascii="Times New Roman" w:hAnsi="Times New Roman" w:cs="Times New Roman"/>
          <w:sz w:val="20"/>
          <w:szCs w:val="20"/>
        </w:rPr>
        <w:t xml:space="preserve">which will require a human underwriter to review it. </w:t>
      </w:r>
      <w:r w:rsidR="00213CE2">
        <w:rPr>
          <w:rFonts w:ascii="Times New Roman" w:hAnsi="Times New Roman" w:cs="Times New Roman"/>
          <w:sz w:val="20"/>
          <w:szCs w:val="20"/>
        </w:rPr>
        <w:t xml:space="preserve">When this happens, the </w:t>
      </w:r>
      <w:r w:rsidR="009C2D6A">
        <w:rPr>
          <w:rFonts w:ascii="Times New Roman" w:hAnsi="Times New Roman" w:cs="Times New Roman"/>
          <w:sz w:val="20"/>
          <w:szCs w:val="20"/>
        </w:rPr>
        <w:t xml:space="preserve">results will give us a Refer/Eligible rather than an Approve/Eligible.  </w:t>
      </w:r>
      <w:r w:rsidR="006C3951" w:rsidRPr="00D2184E">
        <w:rPr>
          <w:rFonts w:ascii="Times New Roman" w:hAnsi="Times New Roman" w:cs="Times New Roman"/>
          <w:sz w:val="20"/>
          <w:szCs w:val="20"/>
        </w:rPr>
        <w:t xml:space="preserve">This is called a manual underwrite. So, what exactly triggers a manual underwrite? </w:t>
      </w:r>
      <w:proofErr w:type="gramStart"/>
      <w:r w:rsidR="006C3951" w:rsidRPr="00D2184E">
        <w:rPr>
          <w:rFonts w:ascii="Times New Roman" w:hAnsi="Times New Roman" w:cs="Times New Roman"/>
          <w:sz w:val="20"/>
          <w:szCs w:val="20"/>
        </w:rPr>
        <w:t>Take a look</w:t>
      </w:r>
      <w:proofErr w:type="gramEnd"/>
      <w:r w:rsidR="006C3951" w:rsidRPr="00D2184E">
        <w:rPr>
          <w:rFonts w:ascii="Times New Roman" w:hAnsi="Times New Roman" w:cs="Times New Roman"/>
          <w:sz w:val="20"/>
          <w:szCs w:val="20"/>
        </w:rPr>
        <w:t xml:space="preserve"> below!</w:t>
      </w:r>
    </w:p>
    <w:p w14:paraId="48A0DBBA" w14:textId="77777777" w:rsidR="00F13F0B" w:rsidRPr="00D2184E" w:rsidRDefault="00F13F0B" w:rsidP="006A20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3773C99" w14:textId="60EE1375" w:rsidR="009F39C9" w:rsidRPr="00D2184E" w:rsidRDefault="008B6ECC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Bankruptcy within the most recent 2</w:t>
      </w:r>
      <w:r w:rsidR="00C337F5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- 3</w:t>
      </w: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years</w:t>
      </w:r>
    </w:p>
    <w:p w14:paraId="509F763A" w14:textId="1FF44AD3" w:rsidR="008B6ECC" w:rsidRPr="00D2184E" w:rsidRDefault="007042D5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Open judgments against the borrower(s)</w:t>
      </w:r>
    </w:p>
    <w:p w14:paraId="79E731E1" w14:textId="1FC426CE" w:rsidR="004B0594" w:rsidRPr="00D2184E" w:rsidRDefault="004B0594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Refer/Eligible </w:t>
      </w:r>
      <w:r w:rsidR="00727139" w:rsidRPr="00D2184E">
        <w:rPr>
          <w:rFonts w:ascii="Times New Roman" w:hAnsi="Times New Roman" w:cs="Times New Roman"/>
          <w:b/>
          <w:bCs/>
          <w:sz w:val="20"/>
          <w:szCs w:val="20"/>
        </w:rPr>
        <w:t>AUS Findings</w:t>
      </w:r>
      <w:r w:rsidR="00C337F5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due to layers of risk </w:t>
      </w:r>
      <w:r w:rsidR="00B52426" w:rsidRPr="00D2184E">
        <w:rPr>
          <w:rFonts w:ascii="Times New Roman" w:hAnsi="Times New Roman" w:cs="Times New Roman"/>
          <w:b/>
          <w:bCs/>
          <w:sz w:val="20"/>
          <w:szCs w:val="20"/>
        </w:rPr>
        <w:t>present on the loan</w:t>
      </w:r>
    </w:p>
    <w:p w14:paraId="1C0F901F" w14:textId="497B06DF" w:rsidR="00727139" w:rsidRPr="00D2184E" w:rsidRDefault="00727139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Mortgage Tradeline</w:t>
      </w:r>
      <w:r w:rsidR="00D63EAC" w:rsidRPr="00D2184E">
        <w:rPr>
          <w:rFonts w:ascii="Times New Roman" w:hAnsi="Times New Roman" w:cs="Times New Roman"/>
          <w:b/>
          <w:bCs/>
          <w:sz w:val="20"/>
          <w:szCs w:val="20"/>
        </w:rPr>
        <w:t>(s)</w:t>
      </w:r>
      <w:r w:rsidR="009602CC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80923" w:rsidRPr="00D2184E">
        <w:rPr>
          <w:rFonts w:ascii="Times New Roman" w:hAnsi="Times New Roman" w:cs="Times New Roman"/>
          <w:b/>
          <w:bCs/>
          <w:sz w:val="20"/>
          <w:szCs w:val="20"/>
        </w:rPr>
        <w:t>that show three or more 30-days late</w:t>
      </w:r>
      <w:r w:rsidR="008C5DFB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payments</w:t>
      </w:r>
      <w:r w:rsidR="00E80923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, one or more </w:t>
      </w:r>
      <w:r w:rsidR="008C5DFB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60-days late payments, or </w:t>
      </w:r>
      <w:r w:rsidR="00797912" w:rsidRPr="00D2184E">
        <w:rPr>
          <w:rFonts w:ascii="Times New Roman" w:hAnsi="Times New Roman" w:cs="Times New Roman"/>
          <w:b/>
          <w:bCs/>
          <w:sz w:val="20"/>
          <w:szCs w:val="20"/>
        </w:rPr>
        <w:t>90-days late payments</w:t>
      </w:r>
      <w:r w:rsidR="00D63EAC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60104A6" w14:textId="342B40C1" w:rsidR="00D63EAC" w:rsidRPr="00D2184E" w:rsidRDefault="00CC5ADC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Foreclosure, short sale, or deed-in-lieu </w:t>
      </w:r>
      <w:r w:rsidR="00AA7852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of foreclosure recorded within the most recent 3 years </w:t>
      </w:r>
    </w:p>
    <w:p w14:paraId="7A600CD8" w14:textId="4C22D337" w:rsidR="00B53688" w:rsidRPr="00D2184E" w:rsidRDefault="00B53688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Bank statements with NSF fees</w:t>
      </w:r>
    </w:p>
    <w:p w14:paraId="6F0DCF3A" w14:textId="0F53DBBF" w:rsidR="00B53688" w:rsidRPr="00D2184E" w:rsidRDefault="000B4670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Business income has more than a 20% decline from the previous year</w:t>
      </w:r>
    </w:p>
    <w:p w14:paraId="1F21F6FF" w14:textId="4A31116C" w:rsidR="005C5AAE" w:rsidRPr="00D2184E" w:rsidRDefault="005C5AAE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There is more than </w:t>
      </w:r>
      <w:r w:rsidR="00C940BB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$1000 of disputed derogatory credit accounts reported on the </w:t>
      </w:r>
      <w:r w:rsidR="00794EC8" w:rsidRPr="00D2184E">
        <w:rPr>
          <w:rFonts w:ascii="Times New Roman" w:hAnsi="Times New Roman" w:cs="Times New Roman"/>
          <w:b/>
          <w:bCs/>
          <w:sz w:val="20"/>
          <w:szCs w:val="20"/>
        </w:rPr>
        <w:t>borrower’s</w:t>
      </w:r>
      <w:r w:rsidR="00C940BB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credit report </w:t>
      </w:r>
    </w:p>
    <w:p w14:paraId="2B740D9A" w14:textId="111E0D9E" w:rsidR="00794EC8" w:rsidRDefault="00794EC8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Undisclosed mortgage debt </w:t>
      </w:r>
    </w:p>
    <w:p w14:paraId="26770B63" w14:textId="32E5CE48" w:rsidR="004E5EE7" w:rsidRDefault="004E5EE7" w:rsidP="00111A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Layers of risk that exceed the AUS allowance.  This could include dinged up credit, higher ratios, </w:t>
      </w:r>
      <w:r w:rsidR="00E52DB5">
        <w:rPr>
          <w:rFonts w:ascii="Times New Roman" w:hAnsi="Times New Roman" w:cs="Times New Roman"/>
          <w:b/>
          <w:bCs/>
          <w:sz w:val="20"/>
          <w:szCs w:val="20"/>
        </w:rPr>
        <w:t>limited job history, etc.</w:t>
      </w:r>
    </w:p>
    <w:p w14:paraId="42838B38" w14:textId="77777777" w:rsidR="00E52DB5" w:rsidRPr="00E52DB5" w:rsidRDefault="00E52DB5" w:rsidP="00E52DB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4E43F96" w14:textId="5D3CC16A" w:rsidR="00C80F6D" w:rsidRPr="00D2184E" w:rsidRDefault="003C62D8" w:rsidP="00D971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5E40">
        <w:rPr>
          <w:rFonts w:ascii="Times New Roman" w:hAnsi="Times New Roman" w:cs="Times New Roman"/>
          <w:sz w:val="20"/>
          <w:szCs w:val="20"/>
        </w:rPr>
        <w:t xml:space="preserve">These are a few things that trigger the need for a manual review. </w:t>
      </w:r>
      <w:r w:rsidR="00B35E40">
        <w:rPr>
          <w:rFonts w:ascii="Times New Roman" w:hAnsi="Times New Roman" w:cs="Times New Roman"/>
          <w:sz w:val="20"/>
          <w:szCs w:val="20"/>
        </w:rPr>
        <w:t xml:space="preserve">There can be other </w:t>
      </w:r>
      <w:r w:rsidR="00D971BD">
        <w:rPr>
          <w:rFonts w:ascii="Times New Roman" w:hAnsi="Times New Roman" w:cs="Times New Roman"/>
          <w:sz w:val="20"/>
          <w:szCs w:val="20"/>
        </w:rPr>
        <w:t>circumstances that will require such a review.</w:t>
      </w:r>
      <w:r w:rsidR="00E52DB5">
        <w:rPr>
          <w:rFonts w:ascii="Times New Roman" w:hAnsi="Times New Roman" w:cs="Times New Roman"/>
          <w:sz w:val="20"/>
          <w:szCs w:val="20"/>
        </w:rPr>
        <w:t xml:space="preserve">  </w:t>
      </w:r>
      <w:r w:rsidR="00470094" w:rsidRPr="00D2184E">
        <w:rPr>
          <w:rFonts w:ascii="Times New Roman" w:hAnsi="Times New Roman" w:cs="Times New Roman"/>
          <w:sz w:val="20"/>
          <w:szCs w:val="20"/>
        </w:rPr>
        <w:t xml:space="preserve">Every bank </w:t>
      </w:r>
      <w:r w:rsidR="008E19B3" w:rsidRPr="00D2184E">
        <w:rPr>
          <w:rFonts w:ascii="Times New Roman" w:hAnsi="Times New Roman" w:cs="Times New Roman"/>
          <w:sz w:val="20"/>
          <w:szCs w:val="20"/>
        </w:rPr>
        <w:t xml:space="preserve">navigates </w:t>
      </w:r>
      <w:r w:rsidR="00470094" w:rsidRPr="00D2184E">
        <w:rPr>
          <w:rFonts w:ascii="Times New Roman" w:hAnsi="Times New Roman" w:cs="Times New Roman"/>
          <w:sz w:val="20"/>
          <w:szCs w:val="20"/>
        </w:rPr>
        <w:t>a</w:t>
      </w:r>
      <w:r w:rsidR="0045605B" w:rsidRPr="00D2184E">
        <w:rPr>
          <w:rFonts w:ascii="Times New Roman" w:hAnsi="Times New Roman" w:cs="Times New Roman"/>
          <w:sz w:val="20"/>
          <w:szCs w:val="20"/>
        </w:rPr>
        <w:t xml:space="preserve">n FHA </w:t>
      </w:r>
      <w:r w:rsidR="00470094" w:rsidRPr="00D2184E">
        <w:rPr>
          <w:rFonts w:ascii="Times New Roman" w:hAnsi="Times New Roman" w:cs="Times New Roman"/>
          <w:sz w:val="20"/>
          <w:szCs w:val="20"/>
        </w:rPr>
        <w:t>manual underwrite differently, here at Flanagan State Bank</w:t>
      </w:r>
      <w:r w:rsidR="00FE56A2" w:rsidRPr="00D2184E">
        <w:rPr>
          <w:rFonts w:ascii="Times New Roman" w:hAnsi="Times New Roman" w:cs="Times New Roman"/>
          <w:sz w:val="20"/>
          <w:szCs w:val="20"/>
        </w:rPr>
        <w:t xml:space="preserve"> there are a few rules that apply before </w:t>
      </w:r>
      <w:r w:rsidR="00BA1068" w:rsidRPr="00D2184E">
        <w:rPr>
          <w:rFonts w:ascii="Times New Roman" w:hAnsi="Times New Roman" w:cs="Times New Roman"/>
          <w:sz w:val="20"/>
          <w:szCs w:val="20"/>
        </w:rPr>
        <w:t>we delve into a manual</w:t>
      </w:r>
      <w:r w:rsidR="007B1C3F" w:rsidRPr="00D2184E">
        <w:rPr>
          <w:rFonts w:ascii="Times New Roman" w:hAnsi="Times New Roman" w:cs="Times New Roman"/>
          <w:sz w:val="20"/>
          <w:szCs w:val="20"/>
        </w:rPr>
        <w:t>:</w:t>
      </w:r>
    </w:p>
    <w:p w14:paraId="3F7B5EE1" w14:textId="77777777" w:rsidR="00E523AE" w:rsidRPr="00D2184E" w:rsidRDefault="00E523AE" w:rsidP="00C80F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7CE61F" w14:textId="13FBB75D" w:rsidR="007B1C3F" w:rsidRPr="00D2184E" w:rsidRDefault="007B1C3F" w:rsidP="007B1C3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Must have a minimum credit score of 620</w:t>
      </w:r>
    </w:p>
    <w:p w14:paraId="3AB639B0" w14:textId="7B666D50" w:rsidR="007B1C3F" w:rsidRPr="00D2184E" w:rsidRDefault="0094788F" w:rsidP="007B1C3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Underwriter to determine minimum amount of tradelines required </w:t>
      </w:r>
      <w:r w:rsidR="0045605B" w:rsidRPr="00D2184E">
        <w:rPr>
          <w:rFonts w:ascii="Times New Roman" w:hAnsi="Times New Roman" w:cs="Times New Roman"/>
          <w:b/>
          <w:bCs/>
          <w:sz w:val="20"/>
          <w:szCs w:val="20"/>
        </w:rPr>
        <w:t>or if Homebuyer Education is required</w:t>
      </w:r>
    </w:p>
    <w:p w14:paraId="5E2BF3DF" w14:textId="58B7DC2F" w:rsidR="003933F0" w:rsidRPr="00D2184E" w:rsidRDefault="003933F0" w:rsidP="003933F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DC0EC6" w:rsidRPr="00D2184E">
        <w:rPr>
          <w:rFonts w:ascii="Times New Roman" w:hAnsi="Times New Roman" w:cs="Times New Roman"/>
          <w:b/>
          <w:bCs/>
          <w:sz w:val="20"/>
          <w:szCs w:val="20"/>
        </w:rPr>
        <w:t>month’s</w:t>
      </w: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reserves which must be the borrower’s own funds</w:t>
      </w:r>
    </w:p>
    <w:p w14:paraId="57645B03" w14:textId="022E1701" w:rsidR="003933F0" w:rsidRPr="00D2184E" w:rsidRDefault="00336368" w:rsidP="003933F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Verification of rent (VOR) if applicable </w:t>
      </w:r>
    </w:p>
    <w:p w14:paraId="60370CC4" w14:textId="32F936D4" w:rsidR="00E523AE" w:rsidRPr="00D2184E" w:rsidRDefault="0045605B" w:rsidP="00E523A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2184E">
        <w:rPr>
          <w:rFonts w:ascii="Times New Roman" w:hAnsi="Times New Roman" w:cs="Times New Roman"/>
          <w:b/>
          <w:bCs/>
          <w:sz w:val="20"/>
          <w:szCs w:val="20"/>
        </w:rPr>
        <w:t>Debt to Income</w:t>
      </w:r>
      <w:r w:rsidR="00336368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is not to exceed 31</w:t>
      </w:r>
      <w:r w:rsidR="007B5A3D" w:rsidRPr="00D2184E">
        <w:rPr>
          <w:rFonts w:ascii="Times New Roman" w:hAnsi="Times New Roman" w:cs="Times New Roman"/>
          <w:b/>
          <w:bCs/>
          <w:sz w:val="20"/>
          <w:szCs w:val="20"/>
        </w:rPr>
        <w:t>%</w:t>
      </w:r>
      <w:r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housing </w:t>
      </w:r>
      <w:r w:rsidR="007B5A3D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&amp; </w:t>
      </w:r>
      <w:r w:rsidR="00336368" w:rsidRPr="00D2184E">
        <w:rPr>
          <w:rFonts w:ascii="Times New Roman" w:hAnsi="Times New Roman" w:cs="Times New Roman"/>
          <w:b/>
          <w:bCs/>
          <w:sz w:val="20"/>
          <w:szCs w:val="20"/>
        </w:rPr>
        <w:t>43%</w:t>
      </w:r>
      <w:r w:rsidR="007B5A3D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total debt to income</w:t>
      </w:r>
      <w:r w:rsidR="00336368" w:rsidRPr="00D218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DB92721" w14:textId="77777777" w:rsidR="00D2184E" w:rsidRPr="00D2184E" w:rsidRDefault="00D2184E" w:rsidP="00E52DB5">
      <w:pPr>
        <w:pStyle w:val="ListParagraph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907C64" w14:textId="4580BC38" w:rsidR="00623B3E" w:rsidRPr="00D2184E" w:rsidRDefault="00803C32" w:rsidP="00623B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184E">
        <w:rPr>
          <w:rFonts w:ascii="Times New Roman" w:hAnsi="Times New Roman" w:cs="Times New Roman"/>
          <w:sz w:val="20"/>
          <w:szCs w:val="20"/>
          <w:u w:val="single"/>
        </w:rPr>
        <w:t>A manual underwrite does not mean the loan cannot be done.  It simply means that the</w:t>
      </w:r>
      <w:r w:rsidR="00D2184E" w:rsidRPr="00D2184E">
        <w:rPr>
          <w:rFonts w:ascii="Times New Roman" w:hAnsi="Times New Roman" w:cs="Times New Roman"/>
          <w:sz w:val="20"/>
          <w:szCs w:val="20"/>
          <w:u w:val="single"/>
        </w:rPr>
        <w:t xml:space="preserve"> manual review will require a bit more documentation to overcome the risk that might be present on the loan.</w:t>
      </w:r>
    </w:p>
    <w:p w14:paraId="687FE7AF" w14:textId="4804817A" w:rsidR="003400F6" w:rsidRPr="00446B8A" w:rsidRDefault="00446B8A" w:rsidP="00623B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21F8488B">
                <wp:simplePos x="0" y="0"/>
                <wp:positionH relativeFrom="column">
                  <wp:posOffset>5726430</wp:posOffset>
                </wp:positionH>
                <wp:positionV relativeFrom="paragraph">
                  <wp:posOffset>147955</wp:posOffset>
                </wp:positionV>
                <wp:extent cx="864870" cy="937260"/>
                <wp:effectExtent l="0" t="0" r="11430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BABD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8" type="#_x0000_t202" style="position:absolute;margin-left:450.9pt;margin-top:11.65pt;width:68.1pt;height:73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F99B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940AF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5F49" w14:textId="77777777" w:rsidR="00390024" w:rsidRDefault="00390024" w:rsidP="00AC6DD2">
      <w:pPr>
        <w:spacing w:after="0" w:line="240" w:lineRule="auto"/>
      </w:pPr>
      <w:r>
        <w:separator/>
      </w:r>
    </w:p>
  </w:endnote>
  <w:endnote w:type="continuationSeparator" w:id="0">
    <w:p w14:paraId="6F0C8281" w14:textId="77777777" w:rsidR="00390024" w:rsidRDefault="00390024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83E2" w14:textId="77777777" w:rsidR="00390024" w:rsidRDefault="00390024" w:rsidP="00AC6DD2">
      <w:pPr>
        <w:spacing w:after="0" w:line="240" w:lineRule="auto"/>
      </w:pPr>
      <w:r>
        <w:separator/>
      </w:r>
    </w:p>
  </w:footnote>
  <w:footnote w:type="continuationSeparator" w:id="0">
    <w:p w14:paraId="65500D07" w14:textId="77777777" w:rsidR="00390024" w:rsidRDefault="00390024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39C0"/>
    <w:multiLevelType w:val="hybridMultilevel"/>
    <w:tmpl w:val="82B0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5270"/>
    <w:multiLevelType w:val="hybridMultilevel"/>
    <w:tmpl w:val="BA18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3303"/>
    <w:multiLevelType w:val="hybridMultilevel"/>
    <w:tmpl w:val="8EAE2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28E"/>
    <w:multiLevelType w:val="hybridMultilevel"/>
    <w:tmpl w:val="8368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2A6F"/>
    <w:rsid w:val="0002330F"/>
    <w:rsid w:val="00023B9A"/>
    <w:rsid w:val="00046EDB"/>
    <w:rsid w:val="00071D39"/>
    <w:rsid w:val="000845D3"/>
    <w:rsid w:val="00095731"/>
    <w:rsid w:val="000B4670"/>
    <w:rsid w:val="000B5CDD"/>
    <w:rsid w:val="000B5FDA"/>
    <w:rsid w:val="000D21BA"/>
    <w:rsid w:val="000F20C7"/>
    <w:rsid w:val="000F54F7"/>
    <w:rsid w:val="000F78C3"/>
    <w:rsid w:val="00101BE8"/>
    <w:rsid w:val="00105115"/>
    <w:rsid w:val="00111AAA"/>
    <w:rsid w:val="00116133"/>
    <w:rsid w:val="00116D87"/>
    <w:rsid w:val="0012135F"/>
    <w:rsid w:val="0014195F"/>
    <w:rsid w:val="00144E95"/>
    <w:rsid w:val="0015046D"/>
    <w:rsid w:val="001670D4"/>
    <w:rsid w:val="001738FE"/>
    <w:rsid w:val="001760A3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1F172C"/>
    <w:rsid w:val="0020292F"/>
    <w:rsid w:val="00213CE2"/>
    <w:rsid w:val="00216030"/>
    <w:rsid w:val="0022094C"/>
    <w:rsid w:val="00223F0B"/>
    <w:rsid w:val="00232E55"/>
    <w:rsid w:val="00233ACF"/>
    <w:rsid w:val="00234E64"/>
    <w:rsid w:val="00235102"/>
    <w:rsid w:val="00253055"/>
    <w:rsid w:val="00275C92"/>
    <w:rsid w:val="00275F5F"/>
    <w:rsid w:val="00277CCC"/>
    <w:rsid w:val="002A7EB7"/>
    <w:rsid w:val="002B73B2"/>
    <w:rsid w:val="002C595D"/>
    <w:rsid w:val="002D45A3"/>
    <w:rsid w:val="002E6001"/>
    <w:rsid w:val="003135E2"/>
    <w:rsid w:val="00313CCE"/>
    <w:rsid w:val="00315F31"/>
    <w:rsid w:val="00321FD5"/>
    <w:rsid w:val="003260B8"/>
    <w:rsid w:val="00336368"/>
    <w:rsid w:val="003400F6"/>
    <w:rsid w:val="00357981"/>
    <w:rsid w:val="00361FF2"/>
    <w:rsid w:val="00364C28"/>
    <w:rsid w:val="00364C34"/>
    <w:rsid w:val="00366223"/>
    <w:rsid w:val="003664E2"/>
    <w:rsid w:val="0037661E"/>
    <w:rsid w:val="00390024"/>
    <w:rsid w:val="003933F0"/>
    <w:rsid w:val="003B1DC6"/>
    <w:rsid w:val="003C62D8"/>
    <w:rsid w:val="003D6549"/>
    <w:rsid w:val="003E5F9C"/>
    <w:rsid w:val="003F6BAD"/>
    <w:rsid w:val="004023E7"/>
    <w:rsid w:val="004040F4"/>
    <w:rsid w:val="00410CF6"/>
    <w:rsid w:val="00412828"/>
    <w:rsid w:val="00412C31"/>
    <w:rsid w:val="00416CB9"/>
    <w:rsid w:val="004214BF"/>
    <w:rsid w:val="004325F2"/>
    <w:rsid w:val="00433071"/>
    <w:rsid w:val="0044234C"/>
    <w:rsid w:val="00444C59"/>
    <w:rsid w:val="00446B8A"/>
    <w:rsid w:val="0045605B"/>
    <w:rsid w:val="00464A89"/>
    <w:rsid w:val="00470094"/>
    <w:rsid w:val="004852D9"/>
    <w:rsid w:val="004B0594"/>
    <w:rsid w:val="004B69F8"/>
    <w:rsid w:val="004C589F"/>
    <w:rsid w:val="004C6240"/>
    <w:rsid w:val="004C7D99"/>
    <w:rsid w:val="004D080E"/>
    <w:rsid w:val="004D608B"/>
    <w:rsid w:val="004E5EE7"/>
    <w:rsid w:val="00501AE3"/>
    <w:rsid w:val="00504A64"/>
    <w:rsid w:val="005076BE"/>
    <w:rsid w:val="0051339F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C4C2C"/>
    <w:rsid w:val="005C5AAE"/>
    <w:rsid w:val="005E7C3E"/>
    <w:rsid w:val="00623B3E"/>
    <w:rsid w:val="006241FD"/>
    <w:rsid w:val="00626604"/>
    <w:rsid w:val="00657909"/>
    <w:rsid w:val="00665B80"/>
    <w:rsid w:val="00680193"/>
    <w:rsid w:val="0068123D"/>
    <w:rsid w:val="00684102"/>
    <w:rsid w:val="0069424F"/>
    <w:rsid w:val="0069524F"/>
    <w:rsid w:val="00697CAF"/>
    <w:rsid w:val="006A202E"/>
    <w:rsid w:val="006A29B5"/>
    <w:rsid w:val="006B0D9A"/>
    <w:rsid w:val="006C1BDE"/>
    <w:rsid w:val="006C1F17"/>
    <w:rsid w:val="006C3951"/>
    <w:rsid w:val="006D0721"/>
    <w:rsid w:val="006D0D7C"/>
    <w:rsid w:val="006E258E"/>
    <w:rsid w:val="00701300"/>
    <w:rsid w:val="007042D5"/>
    <w:rsid w:val="00727139"/>
    <w:rsid w:val="00730C65"/>
    <w:rsid w:val="00731ACF"/>
    <w:rsid w:val="00750CFF"/>
    <w:rsid w:val="00755CBE"/>
    <w:rsid w:val="007626EE"/>
    <w:rsid w:val="00763CE9"/>
    <w:rsid w:val="007644CE"/>
    <w:rsid w:val="007712BF"/>
    <w:rsid w:val="00773C4C"/>
    <w:rsid w:val="0078088C"/>
    <w:rsid w:val="0078237A"/>
    <w:rsid w:val="00787266"/>
    <w:rsid w:val="007939BA"/>
    <w:rsid w:val="00794EC8"/>
    <w:rsid w:val="00797912"/>
    <w:rsid w:val="007B04AD"/>
    <w:rsid w:val="007B1C3F"/>
    <w:rsid w:val="007B5A3D"/>
    <w:rsid w:val="007F4B29"/>
    <w:rsid w:val="00802CB8"/>
    <w:rsid w:val="00803C32"/>
    <w:rsid w:val="008061A2"/>
    <w:rsid w:val="00813B52"/>
    <w:rsid w:val="008246F5"/>
    <w:rsid w:val="00827C53"/>
    <w:rsid w:val="00831246"/>
    <w:rsid w:val="00833C5A"/>
    <w:rsid w:val="008469BF"/>
    <w:rsid w:val="008507BD"/>
    <w:rsid w:val="008513B3"/>
    <w:rsid w:val="00862CBD"/>
    <w:rsid w:val="008961CB"/>
    <w:rsid w:val="00896E75"/>
    <w:rsid w:val="008A0758"/>
    <w:rsid w:val="008A3904"/>
    <w:rsid w:val="008A6804"/>
    <w:rsid w:val="008B2504"/>
    <w:rsid w:val="008B6ECC"/>
    <w:rsid w:val="008C540D"/>
    <w:rsid w:val="008C5DFB"/>
    <w:rsid w:val="008C6B94"/>
    <w:rsid w:val="008D4202"/>
    <w:rsid w:val="008D447A"/>
    <w:rsid w:val="008E19B3"/>
    <w:rsid w:val="008F1892"/>
    <w:rsid w:val="008F6ACA"/>
    <w:rsid w:val="00907A53"/>
    <w:rsid w:val="0093318C"/>
    <w:rsid w:val="00940AFE"/>
    <w:rsid w:val="00941162"/>
    <w:rsid w:val="0094788F"/>
    <w:rsid w:val="009602CC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C2D6A"/>
    <w:rsid w:val="009D58D1"/>
    <w:rsid w:val="009E7B06"/>
    <w:rsid w:val="009F39C9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93609"/>
    <w:rsid w:val="00AA270D"/>
    <w:rsid w:val="00AA7852"/>
    <w:rsid w:val="00AB1032"/>
    <w:rsid w:val="00AC6DD2"/>
    <w:rsid w:val="00AE60CE"/>
    <w:rsid w:val="00AE6B0E"/>
    <w:rsid w:val="00AF40E5"/>
    <w:rsid w:val="00B21095"/>
    <w:rsid w:val="00B220D8"/>
    <w:rsid w:val="00B22737"/>
    <w:rsid w:val="00B35E40"/>
    <w:rsid w:val="00B45482"/>
    <w:rsid w:val="00B45CDE"/>
    <w:rsid w:val="00B46238"/>
    <w:rsid w:val="00B52426"/>
    <w:rsid w:val="00B53688"/>
    <w:rsid w:val="00B5421E"/>
    <w:rsid w:val="00B62EB1"/>
    <w:rsid w:val="00B6574E"/>
    <w:rsid w:val="00B73D97"/>
    <w:rsid w:val="00B75B34"/>
    <w:rsid w:val="00B806BE"/>
    <w:rsid w:val="00B83C04"/>
    <w:rsid w:val="00B96D7E"/>
    <w:rsid w:val="00BA1068"/>
    <w:rsid w:val="00BA2881"/>
    <w:rsid w:val="00BB3A71"/>
    <w:rsid w:val="00BB4CB3"/>
    <w:rsid w:val="00BC2040"/>
    <w:rsid w:val="00BC4939"/>
    <w:rsid w:val="00BC745A"/>
    <w:rsid w:val="00BD2557"/>
    <w:rsid w:val="00BD32EC"/>
    <w:rsid w:val="00BD65AB"/>
    <w:rsid w:val="00BE0E0D"/>
    <w:rsid w:val="00BF617E"/>
    <w:rsid w:val="00C023D5"/>
    <w:rsid w:val="00C02415"/>
    <w:rsid w:val="00C11AFD"/>
    <w:rsid w:val="00C1599D"/>
    <w:rsid w:val="00C25C57"/>
    <w:rsid w:val="00C337F5"/>
    <w:rsid w:val="00C47BF1"/>
    <w:rsid w:val="00C61A52"/>
    <w:rsid w:val="00C80F6D"/>
    <w:rsid w:val="00C844E1"/>
    <w:rsid w:val="00C8654F"/>
    <w:rsid w:val="00C8663F"/>
    <w:rsid w:val="00C940BB"/>
    <w:rsid w:val="00CA22F9"/>
    <w:rsid w:val="00CB21E1"/>
    <w:rsid w:val="00CB5143"/>
    <w:rsid w:val="00CB5C9B"/>
    <w:rsid w:val="00CC5ADC"/>
    <w:rsid w:val="00CC63A8"/>
    <w:rsid w:val="00CC6705"/>
    <w:rsid w:val="00CD73DF"/>
    <w:rsid w:val="00D03020"/>
    <w:rsid w:val="00D03E1A"/>
    <w:rsid w:val="00D07892"/>
    <w:rsid w:val="00D11E1F"/>
    <w:rsid w:val="00D15E25"/>
    <w:rsid w:val="00D2184E"/>
    <w:rsid w:val="00D2493B"/>
    <w:rsid w:val="00D353AC"/>
    <w:rsid w:val="00D400E7"/>
    <w:rsid w:val="00D54A15"/>
    <w:rsid w:val="00D63EAC"/>
    <w:rsid w:val="00D94B6C"/>
    <w:rsid w:val="00D971BD"/>
    <w:rsid w:val="00DA0F8F"/>
    <w:rsid w:val="00DA5D8B"/>
    <w:rsid w:val="00DB1C7A"/>
    <w:rsid w:val="00DC0EC6"/>
    <w:rsid w:val="00DC190C"/>
    <w:rsid w:val="00DC1B3B"/>
    <w:rsid w:val="00DD6EA5"/>
    <w:rsid w:val="00DE0B20"/>
    <w:rsid w:val="00DE10C3"/>
    <w:rsid w:val="00DE26A0"/>
    <w:rsid w:val="00DE56D4"/>
    <w:rsid w:val="00E0012C"/>
    <w:rsid w:val="00E10B71"/>
    <w:rsid w:val="00E11BEE"/>
    <w:rsid w:val="00E17F33"/>
    <w:rsid w:val="00E360DB"/>
    <w:rsid w:val="00E523AE"/>
    <w:rsid w:val="00E52DB5"/>
    <w:rsid w:val="00E635D3"/>
    <w:rsid w:val="00E638D2"/>
    <w:rsid w:val="00E80923"/>
    <w:rsid w:val="00E94EC7"/>
    <w:rsid w:val="00E965A9"/>
    <w:rsid w:val="00EA56A3"/>
    <w:rsid w:val="00EC0D77"/>
    <w:rsid w:val="00EC2FDB"/>
    <w:rsid w:val="00ED186D"/>
    <w:rsid w:val="00EE3961"/>
    <w:rsid w:val="00EE5F35"/>
    <w:rsid w:val="00EF6C67"/>
    <w:rsid w:val="00F00179"/>
    <w:rsid w:val="00F04F4D"/>
    <w:rsid w:val="00F05445"/>
    <w:rsid w:val="00F12E84"/>
    <w:rsid w:val="00F13F0B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65644"/>
    <w:rsid w:val="00F734E9"/>
    <w:rsid w:val="00F741C6"/>
    <w:rsid w:val="00F862D1"/>
    <w:rsid w:val="00F95DBB"/>
    <w:rsid w:val="00FA21AD"/>
    <w:rsid w:val="00FB07D5"/>
    <w:rsid w:val="00FC20BB"/>
    <w:rsid w:val="00FD2755"/>
    <w:rsid w:val="00FD55AB"/>
    <w:rsid w:val="00FE0523"/>
    <w:rsid w:val="00FE56A2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18</cp:revision>
  <dcterms:created xsi:type="dcterms:W3CDTF">2021-03-31T14:33:00Z</dcterms:created>
  <dcterms:modified xsi:type="dcterms:W3CDTF">2022-02-04T15:43:00Z</dcterms:modified>
</cp:coreProperties>
</file>