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CD25" w14:textId="092B6C70" w:rsidR="003A0DC6" w:rsidRDefault="003A0DC6" w:rsidP="003A0DC6">
      <w:pPr>
        <w:pStyle w:val="Heading1"/>
      </w:pPr>
      <w:r>
        <w:t xml:space="preserve">Microaggression </w:t>
      </w:r>
      <w:r w:rsidR="00223A20">
        <w:t>Role-Play</w:t>
      </w:r>
      <w:r>
        <w:t xml:space="preserve"> Activity</w:t>
      </w:r>
      <w:r w:rsidR="00223A20">
        <w:t xml:space="preserve"> </w:t>
      </w:r>
    </w:p>
    <w:p w14:paraId="6C375B5A" w14:textId="77777777" w:rsidR="00DC45C3" w:rsidRDefault="00DC45C3" w:rsidP="00032DBE"/>
    <w:p w14:paraId="045BC6F9" w14:textId="23C23350" w:rsidR="00032DBE" w:rsidRPr="00032DBE" w:rsidRDefault="00032DBE" w:rsidP="00032DBE">
      <w:r w:rsidRPr="00032DBE">
        <w:t xml:space="preserve">We’ll break into groups of 3-5. </w:t>
      </w:r>
    </w:p>
    <w:p w14:paraId="4FECEDF6" w14:textId="77777777" w:rsidR="00032DBE" w:rsidRPr="00032DBE" w:rsidRDefault="00032DBE" w:rsidP="00032DBE">
      <w:r w:rsidRPr="00032DBE">
        <w:t xml:space="preserve">Each person in your group will play a role. </w:t>
      </w:r>
    </w:p>
    <w:p w14:paraId="4F71D65A" w14:textId="77777777" w:rsidR="00032DBE" w:rsidRPr="00032DBE" w:rsidRDefault="00032DBE" w:rsidP="00032DBE">
      <w:pPr>
        <w:numPr>
          <w:ilvl w:val="0"/>
          <w:numId w:val="2"/>
        </w:numPr>
      </w:pPr>
      <w:r w:rsidRPr="00032DBE">
        <w:t>One person will be the “</w:t>
      </w:r>
      <w:proofErr w:type="spellStart"/>
      <w:r w:rsidRPr="00032DBE">
        <w:t>microaggressor</w:t>
      </w:r>
      <w:proofErr w:type="spellEnd"/>
      <w:r w:rsidRPr="00032DBE">
        <w:t>”</w:t>
      </w:r>
    </w:p>
    <w:p w14:paraId="5D390852" w14:textId="77777777" w:rsidR="00032DBE" w:rsidRPr="00032DBE" w:rsidRDefault="00032DBE" w:rsidP="00032DBE">
      <w:pPr>
        <w:numPr>
          <w:ilvl w:val="0"/>
          <w:numId w:val="2"/>
        </w:numPr>
      </w:pPr>
      <w:r w:rsidRPr="00032DBE">
        <w:t>One person will be the “responder”</w:t>
      </w:r>
    </w:p>
    <w:p w14:paraId="70011285" w14:textId="77777777" w:rsidR="00032DBE" w:rsidRPr="00032DBE" w:rsidRDefault="00032DBE" w:rsidP="00032DBE">
      <w:pPr>
        <w:numPr>
          <w:ilvl w:val="0"/>
          <w:numId w:val="2"/>
        </w:numPr>
      </w:pPr>
      <w:r w:rsidRPr="00032DBE">
        <w:t>The other(s) will be the “observers”</w:t>
      </w:r>
    </w:p>
    <w:p w14:paraId="74306542" w14:textId="77777777" w:rsidR="00032DBE" w:rsidRPr="00032DBE" w:rsidRDefault="00032DBE" w:rsidP="00032DBE">
      <w:r w:rsidRPr="00032DBE">
        <w:t>We will rotate through these roles for each Scenario.</w:t>
      </w:r>
    </w:p>
    <w:p w14:paraId="7FA9995F" w14:textId="22B87CFD" w:rsidR="00032DBE" w:rsidRPr="00032DBE" w:rsidRDefault="00032DBE" w:rsidP="00032DBE">
      <w:r w:rsidRPr="00032DBE">
        <w:t xml:space="preserve">HINT:  There are no ‘wrong’ answers </w:t>
      </w:r>
      <w:r w:rsidRPr="00032DBE">
        <w:sym w:font="Wingdings" w:char="F04A"/>
      </w:r>
      <w:r w:rsidRPr="00032DBE">
        <w:t xml:space="preserve"> and (unfortunately!) no cash prizes.</w:t>
      </w:r>
      <w:r w:rsidRPr="00032DBE">
        <w:sym w:font="Wingdings" w:char="F04C"/>
      </w:r>
    </w:p>
    <w:p w14:paraId="3DCB3E6C" w14:textId="77777777" w:rsidR="00DC45C3" w:rsidRDefault="00DC45C3"/>
    <w:p w14:paraId="195C85C8" w14:textId="1C75DBB5" w:rsidR="00DC45C3" w:rsidRDefault="00DC45C3">
      <w:r>
        <w:t>To start:</w:t>
      </w:r>
    </w:p>
    <w:p w14:paraId="6007F0EA" w14:textId="77777777" w:rsidR="00393AF3" w:rsidRPr="00032DBE" w:rsidRDefault="002C53D9" w:rsidP="00393AF3">
      <w:r w:rsidRPr="002C53D9">
        <w:t xml:space="preserve">All group members read the Scenario and take 1-2 minutes to decide how they would each choose to respond. </w:t>
      </w:r>
      <w:r w:rsidR="00393AF3" w:rsidRPr="00032DBE">
        <w:t xml:space="preserve">You can use </w:t>
      </w:r>
      <w:hyperlink r:id="rId7" w:history="1">
        <w:r w:rsidR="00393AF3" w:rsidRPr="00032DBE">
          <w:rPr>
            <w:rStyle w:val="Hyperlink"/>
          </w:rPr>
          <w:t>Responding to Microaggressions – Summary</w:t>
        </w:r>
      </w:hyperlink>
      <w:r w:rsidR="00393AF3" w:rsidRPr="00032DBE">
        <w:t xml:space="preserve"> as a reference.</w:t>
      </w:r>
    </w:p>
    <w:p w14:paraId="61BE259F" w14:textId="2BB230E1" w:rsidR="002C53D9" w:rsidRPr="002C53D9" w:rsidRDefault="002C53D9" w:rsidP="002C53D9"/>
    <w:p w14:paraId="56B622A5" w14:textId="77777777" w:rsidR="002C53D9" w:rsidRPr="002C53D9" w:rsidRDefault="002C53D9" w:rsidP="002C53D9">
      <w:r w:rsidRPr="002C53D9">
        <w:t>Then:</w:t>
      </w:r>
    </w:p>
    <w:p w14:paraId="245C04A3" w14:textId="77777777" w:rsidR="002C53D9" w:rsidRPr="002C53D9" w:rsidRDefault="002C53D9" w:rsidP="002C53D9">
      <w:r w:rsidRPr="002C53D9">
        <w:t>The “</w:t>
      </w:r>
      <w:proofErr w:type="spellStart"/>
      <w:r w:rsidRPr="002C53D9">
        <w:t>microaggressor</w:t>
      </w:r>
      <w:proofErr w:type="spellEnd"/>
      <w:r w:rsidRPr="002C53D9">
        <w:t>” will speak their part and improvise their role in a dialog with the “responder”</w:t>
      </w:r>
    </w:p>
    <w:p w14:paraId="792A9BE1" w14:textId="77777777" w:rsidR="002C53D9" w:rsidRPr="002C53D9" w:rsidRDefault="002C53D9" w:rsidP="002C53D9">
      <w:r w:rsidRPr="002C53D9">
        <w:t xml:space="preserve">The “responder” will use skills from our discussion to practice responding.  </w:t>
      </w:r>
    </w:p>
    <w:p w14:paraId="72AB0F8E" w14:textId="77777777" w:rsidR="002C53D9" w:rsidRPr="002C53D9" w:rsidRDefault="002C53D9" w:rsidP="002C53D9">
      <w:r w:rsidRPr="002C53D9">
        <w:t xml:space="preserve">The “observer(s)” will observe the interaction, take notes on what worked well, and will then lead a </w:t>
      </w:r>
      <w:proofErr w:type="gramStart"/>
      <w:r w:rsidRPr="002C53D9">
        <w:t>1-2 minute</w:t>
      </w:r>
      <w:proofErr w:type="gramEnd"/>
      <w:r w:rsidRPr="002C53D9">
        <w:t xml:space="preserve"> discussion with the group for any suggestions/ feedback for the “responder”. The responder can then take another minute to practice again, incorporating the feedback. </w:t>
      </w:r>
    </w:p>
    <w:p w14:paraId="2780AE80" w14:textId="77777777" w:rsidR="002C53D9" w:rsidRPr="002C53D9" w:rsidRDefault="002C53D9" w:rsidP="002C53D9">
      <w:r w:rsidRPr="002C53D9">
        <w:t>Switch roles for the next Scenario.</w:t>
      </w:r>
    </w:p>
    <w:p w14:paraId="0EB33E58" w14:textId="77777777" w:rsidR="002C53D9" w:rsidRPr="002C53D9" w:rsidRDefault="002C53D9" w:rsidP="002C53D9">
      <w:r w:rsidRPr="002C53D9">
        <w:t>________________________</w:t>
      </w:r>
    </w:p>
    <w:p w14:paraId="0D6B6148" w14:textId="77777777" w:rsidR="002C53D9" w:rsidRPr="002C53D9" w:rsidRDefault="002C53D9" w:rsidP="002C53D9">
      <w:r w:rsidRPr="002C53D9">
        <w:t>Please keep notes on these to potentially share important learnings or questions with the larger group.</w:t>
      </w:r>
    </w:p>
    <w:p w14:paraId="012A58F6" w14:textId="11A74FB7" w:rsidR="00F254DF" w:rsidRDefault="007B44A7" w:rsidP="002027EE">
      <w:r>
        <w:t>________________________</w:t>
      </w:r>
    </w:p>
    <w:p w14:paraId="5AA9C9BD" w14:textId="77777777" w:rsidR="00F254DF" w:rsidRDefault="00F254DF"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2027EE" w:rsidRPr="002027EE" w14:paraId="14F6538A" w14:textId="77777777" w:rsidTr="00921AB2">
        <w:trPr>
          <w:trHeight w:val="129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430" w:type="dxa"/>
              <w:tblLook w:val="04A0" w:firstRow="1" w:lastRow="0" w:firstColumn="1" w:lastColumn="0" w:noHBand="0" w:noVBand="1"/>
            </w:tblPr>
            <w:tblGrid>
              <w:gridCol w:w="9430"/>
            </w:tblGrid>
            <w:tr w:rsidR="00763233" w:rsidRPr="00763233" w14:paraId="4A414670" w14:textId="77777777" w:rsidTr="00D57758"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FA3146" w14:textId="77777777" w:rsidR="00763233" w:rsidRPr="00763233" w:rsidRDefault="00763233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SCENARIO 1</w:t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  <w:t>The "</w:t>
                  </w:r>
                  <w:proofErr w:type="spellStart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microaggressor</w:t>
                  </w:r>
                  <w:proofErr w:type="spellEnd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", several colleagues, and the "responder" are on a Zoom call.  The group has just been asked a question by the leader of the discussion and you are a couple of sentences into your response when the "</w:t>
                  </w:r>
                  <w:proofErr w:type="spellStart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microaggressor</w:t>
                  </w:r>
                  <w:proofErr w:type="spellEnd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", someone you don't know well but will definitely need to work with over the coming year, jumps in and commandeers the conversation with the leader:</w:t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</w:rPr>
                    <w:t>"Oh I tend to agree, but here's what I'm thinking.  What if we take that a step further?  I've just been taking a few notes and can have some slides pulled together by the next meeting.  Let me walk you through it really quickly..."</w:t>
                  </w:r>
                </w:p>
              </w:tc>
            </w:tr>
            <w:tr w:rsidR="00763233" w:rsidRPr="00763233" w14:paraId="10A89632" w14:textId="77777777" w:rsidTr="00D57758"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559C92" w14:textId="77777777" w:rsidR="00921AB2" w:rsidRDefault="00921AB2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14:paraId="453801C4" w14:textId="62F78FD4" w:rsidR="00763233" w:rsidRPr="00763233" w:rsidRDefault="00763233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SCENARIO 2</w:t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  <w:t>The "</w:t>
                  </w:r>
                  <w:proofErr w:type="spellStart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microaggressor</w:t>
                  </w:r>
                  <w:proofErr w:type="spellEnd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 xml:space="preserve">", an older white person that you've seen but don't really know well, comes into a dining center and asks our site manager, a person of color, </w:t>
                  </w:r>
                  <w:r w:rsidRPr="00763233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"Can I talk to your boss -- the person in charge?"</w:t>
                  </w:r>
                </w:p>
              </w:tc>
            </w:tr>
            <w:tr w:rsidR="00763233" w:rsidRPr="00763233" w14:paraId="66BA4E4A" w14:textId="77777777" w:rsidTr="00D57758"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B6B274" w14:textId="77777777" w:rsidR="00763233" w:rsidRDefault="00763233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14:paraId="2E96B569" w14:textId="0D4002C3" w:rsidR="00763233" w:rsidRPr="00763233" w:rsidRDefault="00763233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SCENARIO 3</w:t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  <w:t>The "</w:t>
                  </w:r>
                  <w:proofErr w:type="spellStart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microaggressor</w:t>
                  </w:r>
                  <w:proofErr w:type="spellEnd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" and the "responder" are acquaintances in a small group discussion at a fundraiser.   A comment is made about the diversity of the crowd in attendance.  The "</w:t>
                  </w:r>
                  <w:proofErr w:type="spellStart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microaggressor</w:t>
                  </w:r>
                  <w:proofErr w:type="spellEnd"/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", a white person, proudly declares to the group:</w:t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</w:rPr>
                    <w:t xml:space="preserve">"I don’t see people in terms of race. We’re all part of </w:t>
                  </w:r>
                  <w:proofErr w:type="gramStart"/>
                  <w:r w:rsidRPr="0076323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</w:rPr>
                    <w:t>the human race</w:t>
                  </w:r>
                  <w:proofErr w:type="gramEnd"/>
                  <w:r w:rsidRPr="0076323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</w:rPr>
                    <w:t>."</w:t>
                  </w:r>
                </w:p>
              </w:tc>
            </w:tr>
            <w:tr w:rsidR="00763233" w:rsidRPr="00763233" w14:paraId="6A76E96A" w14:textId="77777777" w:rsidTr="00D57758"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6CE730" w14:textId="77777777" w:rsidR="00921AB2" w:rsidRDefault="00921AB2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14:paraId="145A6239" w14:textId="45645DBD" w:rsidR="00763233" w:rsidRPr="00763233" w:rsidRDefault="00763233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t>SCENARIO 4</w:t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  <w:t>A work event is scheduled for the end of the day.  You are in earshot of an all-female group of colleagues that has gathered and is discussing the event.  An older, male colleague you all know well walks by and, hearing the discussion, comments good-naturedly:</w:t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color w:val="00000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</w:rPr>
                    <w:t>"I guess all you girls are going over together?  See you over there."</w:t>
                  </w:r>
                </w:p>
              </w:tc>
            </w:tr>
            <w:tr w:rsidR="00763233" w:rsidRPr="00763233" w14:paraId="74131FA0" w14:textId="77777777" w:rsidTr="00D57758"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97CD41" w14:textId="77777777" w:rsidR="00921AB2" w:rsidRDefault="00921AB2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04040"/>
                    </w:rPr>
                  </w:pPr>
                </w:p>
                <w:p w14:paraId="6EE57700" w14:textId="0AEDF9E0" w:rsidR="00763233" w:rsidRPr="00763233" w:rsidRDefault="00763233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04040"/>
                    </w:rPr>
                  </w:pPr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t>SCENARIO 5</w:t>
                  </w:r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br/>
                    <w:t>A group of new volunteers is talking about the challenge of affordable housing in Portland.  You are standing next to the group and overhear the "</w:t>
                  </w:r>
                  <w:proofErr w:type="spellStart"/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t>microaggressor</w:t>
                  </w:r>
                  <w:proofErr w:type="spellEnd"/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t xml:space="preserve">" say: </w:t>
                  </w:r>
                  <w:r w:rsidRPr="0076323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404040"/>
                    </w:rPr>
                    <w:t>"Everyone can succeed in this society, if they are willing to work hard enough."</w:t>
                  </w:r>
                </w:p>
              </w:tc>
            </w:tr>
            <w:tr w:rsidR="00763233" w:rsidRPr="00763233" w14:paraId="563A14E2" w14:textId="77777777" w:rsidTr="00D57758"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B9E3E8" w14:textId="77777777" w:rsidR="00F254DF" w:rsidRDefault="00F254DF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04040"/>
                    </w:rPr>
                  </w:pPr>
                </w:p>
                <w:p w14:paraId="1CB13B3B" w14:textId="415D8B68" w:rsidR="00763233" w:rsidRPr="00763233" w:rsidRDefault="00763233" w:rsidP="007632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04040"/>
                    </w:rPr>
                  </w:pPr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t>SCENARIO 6</w:t>
                  </w:r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br/>
                  </w:r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br/>
                    <w:t>There are some relatively new colleagues on your team at work, including some racially diverse team members.  While the team is chatting and getting to know each other better, the "</w:t>
                  </w:r>
                  <w:proofErr w:type="spellStart"/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t>microaggressor</w:t>
                  </w:r>
                  <w:proofErr w:type="spellEnd"/>
                  <w:r w:rsidRPr="00763233">
                    <w:rPr>
                      <w:rFonts w:ascii="Calibri" w:eastAsia="Times New Roman" w:hAnsi="Calibri" w:cs="Calibri"/>
                      <w:color w:val="404040"/>
                    </w:rPr>
                    <w:t xml:space="preserve">" asks a new colleague of color:  </w:t>
                  </w:r>
                  <w:r w:rsidRPr="0076323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404040"/>
                    </w:rPr>
                    <w:t xml:space="preserve"> "So where are you from?  Your English is great."</w:t>
                  </w:r>
                </w:p>
              </w:tc>
            </w:tr>
          </w:tbl>
          <w:p w14:paraId="4F413E0D" w14:textId="0AC552B1" w:rsidR="003A0DC6" w:rsidRPr="002027EE" w:rsidRDefault="003A0DC6" w:rsidP="002027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A64338F" w14:textId="19912346" w:rsidR="00425FD0" w:rsidRDefault="00425FD0" w:rsidP="002027EE"/>
    <w:sectPr w:rsidR="00425FD0" w:rsidSect="007B4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6597" w14:textId="77777777" w:rsidR="00D415DC" w:rsidRDefault="00D415DC" w:rsidP="00D415DC">
      <w:pPr>
        <w:spacing w:after="0" w:line="240" w:lineRule="auto"/>
      </w:pPr>
      <w:r>
        <w:separator/>
      </w:r>
    </w:p>
  </w:endnote>
  <w:endnote w:type="continuationSeparator" w:id="0">
    <w:p w14:paraId="25635515" w14:textId="77777777" w:rsidR="00D415DC" w:rsidRDefault="00D415DC" w:rsidP="00D4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75C6" w14:textId="77777777" w:rsidR="00D415DC" w:rsidRDefault="00D41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B6F3" w14:textId="77777777" w:rsidR="00C81E40" w:rsidRDefault="00C81E40" w:rsidP="00C81E40">
    <w:pPr>
      <w:pStyle w:val="Footer"/>
    </w:pPr>
    <w:r>
      <w:rPr>
        <w:noProof/>
      </w:rPr>
      <w:drawing>
        <wp:inline distT="0" distB="0" distL="0" distR="0" wp14:anchorId="1A2E2660" wp14:editId="7782F9C7">
          <wp:extent cx="1447800" cy="2413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3F51B5" w14:textId="77777777" w:rsidR="00C81E40" w:rsidRPr="00517287" w:rsidRDefault="00C81E40" w:rsidP="00C81E40">
    <w:pPr>
      <w:pStyle w:val="Footer"/>
      <w:rPr>
        <w:sz w:val="16"/>
        <w:szCs w:val="16"/>
      </w:rPr>
    </w:pPr>
    <w:r w:rsidRPr="00517287">
      <w:rPr>
        <w:sz w:val="16"/>
        <w:szCs w:val="16"/>
      </w:rPr>
      <w:t xml:space="preserve">Copyright © 2021 Consonance Consulting. All rights reserved. </w:t>
    </w:r>
  </w:p>
  <w:p w14:paraId="072E66E5" w14:textId="77777777" w:rsidR="00C81E40" w:rsidRDefault="00C81E40" w:rsidP="00C81E40">
    <w:pPr>
      <w:pStyle w:val="Footer"/>
    </w:pPr>
  </w:p>
  <w:p w14:paraId="4B413B8E" w14:textId="77777777" w:rsidR="00D415DC" w:rsidRDefault="00D415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C115" w14:textId="77777777" w:rsidR="00D415DC" w:rsidRDefault="00D41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A1F0" w14:textId="77777777" w:rsidR="00D415DC" w:rsidRDefault="00D415DC" w:rsidP="00D415DC">
      <w:pPr>
        <w:spacing w:after="0" w:line="240" w:lineRule="auto"/>
      </w:pPr>
      <w:r>
        <w:separator/>
      </w:r>
    </w:p>
  </w:footnote>
  <w:footnote w:type="continuationSeparator" w:id="0">
    <w:p w14:paraId="0A6CB337" w14:textId="77777777" w:rsidR="00D415DC" w:rsidRDefault="00D415DC" w:rsidP="00D4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77DE" w14:textId="77777777" w:rsidR="00D415DC" w:rsidRDefault="00D41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AD52" w14:textId="77777777" w:rsidR="00D415DC" w:rsidRDefault="00D41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7007" w14:textId="77777777" w:rsidR="00D415DC" w:rsidRDefault="00D41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19C6"/>
    <w:multiLevelType w:val="hybridMultilevel"/>
    <w:tmpl w:val="09A2ED98"/>
    <w:lvl w:ilvl="0" w:tplc="5F48AE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80A2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E7CE8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74AA8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83074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DBA18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7EADD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76E46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1C260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8E53DB4"/>
    <w:multiLevelType w:val="hybridMultilevel"/>
    <w:tmpl w:val="77683366"/>
    <w:lvl w:ilvl="0" w:tplc="C3A410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20"/>
    <w:rsid w:val="000049E8"/>
    <w:rsid w:val="00032DBE"/>
    <w:rsid w:val="000B7683"/>
    <w:rsid w:val="001F31E3"/>
    <w:rsid w:val="002027EE"/>
    <w:rsid w:val="00223A20"/>
    <w:rsid w:val="002C53D9"/>
    <w:rsid w:val="00370F69"/>
    <w:rsid w:val="0038305C"/>
    <w:rsid w:val="00393AF3"/>
    <w:rsid w:val="003A0DC6"/>
    <w:rsid w:val="003F7E2A"/>
    <w:rsid w:val="00425FD0"/>
    <w:rsid w:val="00447EFB"/>
    <w:rsid w:val="00534C9F"/>
    <w:rsid w:val="00763233"/>
    <w:rsid w:val="007B44A7"/>
    <w:rsid w:val="00847158"/>
    <w:rsid w:val="008C0238"/>
    <w:rsid w:val="00921AB2"/>
    <w:rsid w:val="00C7095E"/>
    <w:rsid w:val="00C81E40"/>
    <w:rsid w:val="00D415DC"/>
    <w:rsid w:val="00D57758"/>
    <w:rsid w:val="00DC45C3"/>
    <w:rsid w:val="00E67003"/>
    <w:rsid w:val="00E74990"/>
    <w:rsid w:val="00E85536"/>
    <w:rsid w:val="00F254DF"/>
    <w:rsid w:val="00F3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0DA0"/>
  <w15:chartTrackingRefBased/>
  <w15:docId w15:val="{B4CEDEDC-0D9A-432C-9690-557BCAB6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D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A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0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2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DC"/>
  </w:style>
  <w:style w:type="paragraph" w:styleId="Footer">
    <w:name w:val="footer"/>
    <w:basedOn w:val="Normal"/>
    <w:link w:val="FooterChar"/>
    <w:uiPriority w:val="99"/>
    <w:unhideWhenUsed/>
    <w:rsid w:val="00D4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5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07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ahlandassociatesllc.com/reference-material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thurston</dc:creator>
  <cp:keywords/>
  <dc:description/>
  <cp:lastModifiedBy>d thurston</cp:lastModifiedBy>
  <cp:revision>25</cp:revision>
  <dcterms:created xsi:type="dcterms:W3CDTF">2021-09-14T23:55:00Z</dcterms:created>
  <dcterms:modified xsi:type="dcterms:W3CDTF">2021-09-20T23:27:00Z</dcterms:modified>
</cp:coreProperties>
</file>