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>
          <wp:inline distT="0" distB="0" distL="0" distR="0">
            <wp:extent cx="2447925" cy="1157288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1572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after="0" w:line="240" w:lineRule="auto"/>
        <w:jc w:val="center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pt-PT"/>
        </w:rPr>
        <w:t xml:space="preserve">Regular 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Meeting</w:t>
      </w:r>
    </w:p>
    <w:p>
      <w:pPr>
        <w:pStyle w:val="Body"/>
        <w:spacing w:after="0" w:line="240" w:lineRule="auto"/>
        <w:jc w:val="center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Tuesday May 3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, 202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2</w:t>
      </w:r>
    </w:p>
    <w:p>
      <w:pPr>
        <w:pStyle w:val="Body"/>
        <w:spacing w:after="0" w:line="240" w:lineRule="auto"/>
        <w:jc w:val="center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Wallingford HubCap</w:t>
      </w:r>
    </w:p>
    <w:p>
      <w:pPr>
        <w:pStyle w:val="Body"/>
        <w:spacing w:after="0" w:line="240" w:lineRule="auto"/>
        <w:jc w:val="center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128 Center Street Wallingford, Ct 06492</w:t>
      </w:r>
    </w:p>
    <w:p>
      <w:pPr>
        <w:pStyle w:val="Body"/>
        <w:spacing w:after="0" w:line="240" w:lineRule="auto"/>
        <w:jc w:val="center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5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:00pm in person</w:t>
      </w:r>
    </w:p>
    <w:p>
      <w:pPr>
        <w:pStyle w:val="Body"/>
        <w:spacing w:after="0" w:line="240" w:lineRule="auto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Call to Order</w:t>
      </w:r>
    </w:p>
    <w:p>
      <w:pPr>
        <w:pStyle w:val="Body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Appointment of Alternates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Approval of minutes</w:t>
      </w:r>
    </w:p>
    <w:p>
      <w:pPr>
        <w:pStyle w:val="Body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Regular Meeting April 5, 2022</w:t>
      </w:r>
    </w:p>
    <w:p>
      <w:pPr>
        <w:pStyle w:val="Body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Special Meeting  April 13, 2022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Treasurer</w:t>
      </w:r>
      <w:r>
        <w:rPr>
          <w:b w:val="1"/>
          <w:bCs w:val="1"/>
          <w:sz w:val="28"/>
          <w:szCs w:val="28"/>
          <w:rtl w:val="1"/>
        </w:rPr>
        <w:t>’</w:t>
      </w:r>
      <w:r>
        <w:rPr>
          <w:b w:val="1"/>
          <w:bCs w:val="1"/>
          <w:sz w:val="28"/>
          <w:szCs w:val="28"/>
          <w:rtl w:val="0"/>
          <w:lang w:val="fr-FR"/>
        </w:rPr>
        <w:t>s Report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Executive Director</w:t>
      </w:r>
      <w:r>
        <w:rPr>
          <w:b w:val="1"/>
          <w:bCs w:val="1"/>
          <w:sz w:val="28"/>
          <w:szCs w:val="28"/>
          <w:rtl w:val="1"/>
        </w:rPr>
        <w:t>’</w:t>
      </w:r>
      <w:r>
        <w:rPr>
          <w:b w:val="1"/>
          <w:bCs w:val="1"/>
          <w:sz w:val="28"/>
          <w:szCs w:val="28"/>
          <w:rtl w:val="0"/>
          <w:lang w:val="fr-FR"/>
        </w:rPr>
        <w:t>s Report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New Business</w:t>
      </w:r>
    </w:p>
    <w:p>
      <w:pPr>
        <w:pStyle w:val="Body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Annual Meeting scheduled for June Meeting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Old Business</w:t>
      </w:r>
    </w:p>
    <w:p>
      <w:pPr>
        <w:pStyle w:val="Body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discussion and possible action regarding new member policy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Report from committees</w:t>
      </w:r>
    </w:p>
    <w:p>
      <w:pPr>
        <w:pStyle w:val="Body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 xml:space="preserve">downtown collabtive </w:t>
      </w:r>
    </w:p>
    <w:p>
      <w:pPr>
        <w:pStyle w:val="Body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sz w:val="28"/>
          <w:szCs w:val="28"/>
          <w:rtl w:val="0"/>
          <w:lang w:val="es-ES_tradnl"/>
        </w:rPr>
      </w:pPr>
      <w:r>
        <w:rPr>
          <w:sz w:val="28"/>
          <w:szCs w:val="28"/>
          <w:rtl w:val="0"/>
          <w:lang w:val="es-ES_tradnl"/>
        </w:rPr>
        <w:t>hubcap</w:t>
      </w:r>
    </w:p>
    <w:p>
      <w:pPr>
        <w:pStyle w:val="Body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350th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Public Comment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Executive Session pursuant to CGS 1-200 6a ; purpose of session is discussion of annual review of staff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Adjournment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Roman"/>
      <w:suff w:val="tab"/>
      <w:lvlText w:val="%1."/>
      <w:lvlJc w:val="left"/>
      <w:pPr>
        <w:ind w:left="720" w:hanging="5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