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4" w:type="dxa"/>
        <w:tblInd w:w="-318" w:type="dxa"/>
        <w:tblLayout w:type="fixed"/>
        <w:tblLook w:val="01E0" w:firstRow="1" w:lastRow="1" w:firstColumn="1" w:lastColumn="1" w:noHBand="0" w:noVBand="0"/>
      </w:tblPr>
      <w:tblGrid>
        <w:gridCol w:w="3355"/>
        <w:gridCol w:w="1482"/>
        <w:gridCol w:w="1677"/>
        <w:gridCol w:w="149"/>
        <w:gridCol w:w="3011"/>
      </w:tblGrid>
      <w:tr w:rsidR="008762F0" w:rsidRPr="008762F0" w14:paraId="0513E7CC" w14:textId="77777777" w:rsidTr="00D66044">
        <w:tc>
          <w:tcPr>
            <w:tcW w:w="6663" w:type="dxa"/>
            <w:gridSpan w:val="4"/>
            <w:shd w:val="clear" w:color="auto" w:fill="auto"/>
          </w:tcPr>
          <w:p w14:paraId="2C2EA9DD" w14:textId="77777777" w:rsidR="00367003" w:rsidRPr="008762F0" w:rsidRDefault="00367003" w:rsidP="00D66044">
            <w:pPr>
              <w:tabs>
                <w:tab w:val="left" w:pos="3675"/>
              </w:tabs>
            </w:pPr>
            <w:r w:rsidRPr="008762F0">
              <w:t>IN THE COUNTY COURT AT BIRKENHEAD</w:t>
            </w:r>
          </w:p>
        </w:tc>
        <w:tc>
          <w:tcPr>
            <w:tcW w:w="3011" w:type="dxa"/>
            <w:shd w:val="clear" w:color="auto" w:fill="auto"/>
          </w:tcPr>
          <w:p w14:paraId="153749B8" w14:textId="77777777" w:rsidR="00367003" w:rsidRPr="008762F0" w:rsidRDefault="00367003" w:rsidP="00D66044">
            <w:pPr>
              <w:jc w:val="right"/>
            </w:pPr>
            <w:r w:rsidRPr="008762F0">
              <w:t>Case No: F23YJ733</w:t>
            </w:r>
          </w:p>
        </w:tc>
      </w:tr>
      <w:tr w:rsidR="008762F0" w:rsidRPr="008762F0" w14:paraId="1586B85E" w14:textId="77777777" w:rsidTr="00D66044">
        <w:tc>
          <w:tcPr>
            <w:tcW w:w="4837" w:type="dxa"/>
            <w:gridSpan w:val="2"/>
            <w:shd w:val="clear" w:color="auto" w:fill="auto"/>
          </w:tcPr>
          <w:p w14:paraId="67B02951" w14:textId="77777777" w:rsidR="00367003" w:rsidRPr="008762F0" w:rsidRDefault="00367003" w:rsidP="00D66044">
            <w:pPr>
              <w:rPr>
                <w:sz w:val="14"/>
              </w:rPr>
            </w:pPr>
          </w:p>
          <w:p w14:paraId="6C2DE8B5" w14:textId="77777777" w:rsidR="00367003" w:rsidRPr="008762F0" w:rsidRDefault="00367003" w:rsidP="00D66044">
            <w:pPr>
              <w:rPr>
                <w:sz w:val="20"/>
              </w:rPr>
            </w:pPr>
            <w:r w:rsidRPr="008762F0">
              <w:rPr>
                <w:sz w:val="20"/>
              </w:rPr>
              <w:t xml:space="preserve">B E T W E </w:t>
            </w:r>
            <w:proofErr w:type="spellStart"/>
            <w:r w:rsidRPr="008762F0">
              <w:rPr>
                <w:sz w:val="20"/>
              </w:rPr>
              <w:t>E</w:t>
            </w:r>
            <w:proofErr w:type="spellEnd"/>
            <w:r w:rsidRPr="008762F0">
              <w:rPr>
                <w:sz w:val="20"/>
              </w:rPr>
              <w:t xml:space="preserve"> N:</w:t>
            </w:r>
          </w:p>
          <w:p w14:paraId="38455141" w14:textId="77777777" w:rsidR="00367003" w:rsidRPr="008762F0" w:rsidRDefault="00367003" w:rsidP="00D66044">
            <w:pPr>
              <w:rPr>
                <w:sz w:val="20"/>
              </w:rPr>
            </w:pPr>
          </w:p>
        </w:tc>
        <w:tc>
          <w:tcPr>
            <w:tcW w:w="4837" w:type="dxa"/>
            <w:gridSpan w:val="3"/>
            <w:shd w:val="clear" w:color="auto" w:fill="auto"/>
          </w:tcPr>
          <w:p w14:paraId="564AFADC" w14:textId="77777777" w:rsidR="00367003" w:rsidRPr="008762F0" w:rsidRDefault="00367003" w:rsidP="00D66044">
            <w:pPr>
              <w:jc w:val="right"/>
              <w:rPr>
                <w:sz w:val="20"/>
              </w:rPr>
            </w:pPr>
          </w:p>
        </w:tc>
      </w:tr>
      <w:tr w:rsidR="008762F0" w:rsidRPr="008762F0" w14:paraId="42A8A3CE" w14:textId="77777777" w:rsidTr="00D66044">
        <w:tc>
          <w:tcPr>
            <w:tcW w:w="3355" w:type="dxa"/>
            <w:shd w:val="clear" w:color="auto" w:fill="auto"/>
          </w:tcPr>
          <w:p w14:paraId="6C5BBDF2" w14:textId="77777777" w:rsidR="00367003" w:rsidRPr="008762F0" w:rsidRDefault="00367003" w:rsidP="00D66044"/>
          <w:p w14:paraId="1692D7EA" w14:textId="77777777" w:rsidR="00367003" w:rsidRPr="008762F0" w:rsidRDefault="00367003" w:rsidP="00D66044"/>
        </w:tc>
        <w:tc>
          <w:tcPr>
            <w:tcW w:w="3159" w:type="dxa"/>
            <w:gridSpan w:val="2"/>
            <w:shd w:val="clear" w:color="auto" w:fill="auto"/>
            <w:vAlign w:val="center"/>
          </w:tcPr>
          <w:p w14:paraId="1A71EE2C" w14:textId="77777777" w:rsidR="00367003" w:rsidRPr="008762F0" w:rsidRDefault="00367003" w:rsidP="00D66044">
            <w:pPr>
              <w:jc w:val="center"/>
            </w:pPr>
            <w:r w:rsidRPr="008762F0">
              <w:t>MR ELLIS CASTLE</w:t>
            </w:r>
          </w:p>
        </w:tc>
        <w:tc>
          <w:tcPr>
            <w:tcW w:w="3160" w:type="dxa"/>
            <w:gridSpan w:val="2"/>
            <w:shd w:val="clear" w:color="auto" w:fill="auto"/>
          </w:tcPr>
          <w:p w14:paraId="1FCAD060" w14:textId="77777777" w:rsidR="00367003" w:rsidRPr="008762F0" w:rsidRDefault="00367003" w:rsidP="00D66044">
            <w:pPr>
              <w:jc w:val="right"/>
              <w:rPr>
                <w:i/>
                <w:u w:val="single"/>
              </w:rPr>
            </w:pPr>
            <w:r w:rsidRPr="008762F0">
              <w:rPr>
                <w:i/>
                <w:u w:val="single"/>
              </w:rPr>
              <w:t>Claimant</w:t>
            </w:r>
          </w:p>
        </w:tc>
      </w:tr>
      <w:tr w:rsidR="008762F0" w:rsidRPr="008762F0" w14:paraId="3B3F2B82" w14:textId="77777777" w:rsidTr="00D66044">
        <w:tc>
          <w:tcPr>
            <w:tcW w:w="3355" w:type="dxa"/>
            <w:shd w:val="clear" w:color="auto" w:fill="auto"/>
          </w:tcPr>
          <w:p w14:paraId="5AA0E0C3" w14:textId="77777777" w:rsidR="00367003" w:rsidRPr="008762F0" w:rsidRDefault="00367003" w:rsidP="00D66044"/>
          <w:p w14:paraId="68DB8B41" w14:textId="77777777" w:rsidR="00367003" w:rsidRPr="008762F0" w:rsidRDefault="00367003" w:rsidP="00D66044"/>
        </w:tc>
        <w:tc>
          <w:tcPr>
            <w:tcW w:w="3159" w:type="dxa"/>
            <w:gridSpan w:val="2"/>
            <w:shd w:val="clear" w:color="auto" w:fill="auto"/>
            <w:vAlign w:val="center"/>
          </w:tcPr>
          <w:p w14:paraId="497A2477" w14:textId="77777777" w:rsidR="00367003" w:rsidRPr="008762F0" w:rsidRDefault="00367003" w:rsidP="00D66044">
            <w:pPr>
              <w:jc w:val="center"/>
            </w:pPr>
            <w:r w:rsidRPr="008762F0">
              <w:t>v</w:t>
            </w:r>
          </w:p>
        </w:tc>
        <w:tc>
          <w:tcPr>
            <w:tcW w:w="3160" w:type="dxa"/>
            <w:gridSpan w:val="2"/>
            <w:shd w:val="clear" w:color="auto" w:fill="auto"/>
          </w:tcPr>
          <w:p w14:paraId="6DD5B9A0" w14:textId="77777777" w:rsidR="00367003" w:rsidRPr="008762F0" w:rsidRDefault="00367003" w:rsidP="00D66044">
            <w:pPr>
              <w:jc w:val="right"/>
              <w:rPr>
                <w:u w:val="single"/>
              </w:rPr>
            </w:pPr>
          </w:p>
        </w:tc>
      </w:tr>
      <w:tr w:rsidR="008762F0" w:rsidRPr="008762F0" w14:paraId="3212AD7F" w14:textId="77777777" w:rsidTr="00D66044">
        <w:tc>
          <w:tcPr>
            <w:tcW w:w="3355" w:type="dxa"/>
            <w:shd w:val="clear" w:color="auto" w:fill="auto"/>
          </w:tcPr>
          <w:p w14:paraId="0174E1CA" w14:textId="77777777" w:rsidR="00367003" w:rsidRPr="008762F0" w:rsidRDefault="00367003" w:rsidP="00D66044"/>
          <w:p w14:paraId="7C06A166" w14:textId="77777777" w:rsidR="00367003" w:rsidRPr="008762F0" w:rsidRDefault="00367003" w:rsidP="00D66044"/>
        </w:tc>
        <w:tc>
          <w:tcPr>
            <w:tcW w:w="3159" w:type="dxa"/>
            <w:gridSpan w:val="2"/>
            <w:shd w:val="clear" w:color="auto" w:fill="auto"/>
            <w:vAlign w:val="center"/>
          </w:tcPr>
          <w:p w14:paraId="3D99DCE2" w14:textId="77777777" w:rsidR="00977338" w:rsidRDefault="00367003" w:rsidP="00D66044">
            <w:pPr>
              <w:jc w:val="center"/>
            </w:pPr>
            <w:r w:rsidRPr="008762F0">
              <w:t xml:space="preserve">ANDREWS &amp; </w:t>
            </w:r>
          </w:p>
          <w:p w14:paraId="256ACDE7" w14:textId="001EEDEA" w:rsidR="00367003" w:rsidRPr="008762F0" w:rsidRDefault="00367003" w:rsidP="00D66044">
            <w:pPr>
              <w:jc w:val="center"/>
            </w:pPr>
            <w:r w:rsidRPr="008762F0">
              <w:t>DICKENS LTD</w:t>
            </w:r>
          </w:p>
        </w:tc>
        <w:tc>
          <w:tcPr>
            <w:tcW w:w="3160" w:type="dxa"/>
            <w:gridSpan w:val="2"/>
            <w:shd w:val="clear" w:color="auto" w:fill="auto"/>
          </w:tcPr>
          <w:p w14:paraId="0D69E213" w14:textId="77777777" w:rsidR="00367003" w:rsidRPr="008762F0" w:rsidRDefault="00367003" w:rsidP="00D66044">
            <w:pPr>
              <w:jc w:val="right"/>
              <w:rPr>
                <w:i/>
                <w:u w:val="single"/>
              </w:rPr>
            </w:pPr>
            <w:r w:rsidRPr="008762F0">
              <w:rPr>
                <w:i/>
                <w:u w:val="single"/>
              </w:rPr>
              <w:t>Defendant</w:t>
            </w:r>
          </w:p>
        </w:tc>
      </w:tr>
      <w:tr w:rsidR="008762F0" w:rsidRPr="008762F0" w14:paraId="0CCF16F2" w14:textId="77777777" w:rsidTr="00D66044">
        <w:tc>
          <w:tcPr>
            <w:tcW w:w="3355" w:type="dxa"/>
            <w:shd w:val="clear" w:color="auto" w:fill="auto"/>
          </w:tcPr>
          <w:p w14:paraId="1196BCA1" w14:textId="77777777" w:rsidR="00367003" w:rsidRPr="008762F0" w:rsidRDefault="00367003" w:rsidP="00D66044"/>
        </w:tc>
        <w:tc>
          <w:tcPr>
            <w:tcW w:w="3159" w:type="dxa"/>
            <w:gridSpan w:val="2"/>
            <w:shd w:val="clear" w:color="auto" w:fill="auto"/>
            <w:vAlign w:val="center"/>
          </w:tcPr>
          <w:p w14:paraId="5ECF17A5" w14:textId="77777777" w:rsidR="00367003" w:rsidRPr="008762F0" w:rsidRDefault="00367003" w:rsidP="00D66044">
            <w:pPr>
              <w:jc w:val="center"/>
            </w:pPr>
          </w:p>
        </w:tc>
        <w:tc>
          <w:tcPr>
            <w:tcW w:w="3160" w:type="dxa"/>
            <w:gridSpan w:val="2"/>
            <w:shd w:val="clear" w:color="auto" w:fill="auto"/>
          </w:tcPr>
          <w:p w14:paraId="49CB06C2" w14:textId="77777777" w:rsidR="00367003" w:rsidRPr="008762F0" w:rsidRDefault="00367003" w:rsidP="00D66044">
            <w:pPr>
              <w:jc w:val="right"/>
              <w:rPr>
                <w:u w:val="single"/>
              </w:rPr>
            </w:pPr>
          </w:p>
        </w:tc>
      </w:tr>
      <w:tr w:rsidR="008762F0" w:rsidRPr="008762F0" w14:paraId="3FCAEF83" w14:textId="77777777" w:rsidTr="00D66044">
        <w:tc>
          <w:tcPr>
            <w:tcW w:w="3355" w:type="dxa"/>
            <w:shd w:val="clear" w:color="auto" w:fill="auto"/>
            <w:vAlign w:val="center"/>
          </w:tcPr>
          <w:p w14:paraId="7FB00CEA" w14:textId="77777777" w:rsidR="00367003" w:rsidRPr="008762F0" w:rsidRDefault="00367003" w:rsidP="00D66044">
            <w:pPr>
              <w:jc w:val="center"/>
            </w:pPr>
          </w:p>
          <w:p w14:paraId="1FEC6665" w14:textId="77777777" w:rsidR="00367003" w:rsidRPr="008762F0" w:rsidRDefault="00367003" w:rsidP="00D66044">
            <w:pPr>
              <w:jc w:val="center"/>
            </w:pPr>
          </w:p>
          <w:p w14:paraId="4B20EE0F" w14:textId="77777777" w:rsidR="00367003" w:rsidRPr="008762F0" w:rsidRDefault="00367003" w:rsidP="00D66044">
            <w:pPr>
              <w:jc w:val="center"/>
            </w:pPr>
          </w:p>
        </w:tc>
        <w:tc>
          <w:tcPr>
            <w:tcW w:w="3159" w:type="dxa"/>
            <w:gridSpan w:val="2"/>
            <w:tcBorders>
              <w:top w:val="single" w:sz="4" w:space="0" w:color="auto"/>
              <w:bottom w:val="single" w:sz="4" w:space="0" w:color="auto"/>
            </w:tcBorders>
            <w:shd w:val="clear" w:color="auto" w:fill="auto"/>
            <w:vAlign w:val="center"/>
          </w:tcPr>
          <w:p w14:paraId="0A7F0B35" w14:textId="70C76C45" w:rsidR="00367003" w:rsidRPr="008762F0" w:rsidRDefault="00977338" w:rsidP="00977338">
            <w:pPr>
              <w:jc w:val="center"/>
              <w:rPr>
                <w:u w:val="single"/>
              </w:rPr>
            </w:pPr>
            <w:r>
              <w:t xml:space="preserve">DEFENDANT </w:t>
            </w:r>
            <w:r w:rsidR="00367003" w:rsidRPr="008762F0">
              <w:t xml:space="preserve">COUNSEL’S NOTE OF JUDGMENT </w:t>
            </w:r>
          </w:p>
        </w:tc>
        <w:tc>
          <w:tcPr>
            <w:tcW w:w="3160" w:type="dxa"/>
            <w:gridSpan w:val="2"/>
            <w:shd w:val="clear" w:color="auto" w:fill="auto"/>
            <w:vAlign w:val="center"/>
          </w:tcPr>
          <w:p w14:paraId="46DDA334" w14:textId="77777777" w:rsidR="00367003" w:rsidRPr="008762F0" w:rsidRDefault="00367003" w:rsidP="00D66044">
            <w:pPr>
              <w:jc w:val="center"/>
              <w:rPr>
                <w:u w:val="single"/>
              </w:rPr>
            </w:pPr>
          </w:p>
        </w:tc>
      </w:tr>
    </w:tbl>
    <w:p w14:paraId="383C12C2" w14:textId="3C679475" w:rsidR="00C15131" w:rsidRPr="008762F0" w:rsidRDefault="00C15131"/>
    <w:p w14:paraId="6CB73002" w14:textId="18AF1470" w:rsidR="000E2ECA" w:rsidRPr="008762F0" w:rsidRDefault="000E2ECA" w:rsidP="00751777">
      <w:pPr>
        <w:pStyle w:val="ListParagraph"/>
        <w:numPr>
          <w:ilvl w:val="0"/>
          <w:numId w:val="1"/>
        </w:numPr>
        <w:spacing w:line="360" w:lineRule="auto"/>
        <w:ind w:left="360"/>
        <w:jc w:val="both"/>
      </w:pPr>
      <w:r w:rsidRPr="008762F0">
        <w:t>This is an application to set aside a decision by a Legal Advisor allowing the Claimant to amend</w:t>
      </w:r>
      <w:r w:rsidR="008762F0">
        <w:t xml:space="preserve"> the claim</w:t>
      </w:r>
      <w:r w:rsidRPr="008762F0">
        <w:t xml:space="preserve"> to include Vehicle Related Damages.  I have read a skeleton argument and chronology from the Defendant</w:t>
      </w:r>
      <w:r w:rsidR="00977338">
        <w:t>,</w:t>
      </w:r>
      <w:r w:rsidRPr="008762F0">
        <w:t xml:space="preserve"> and heard detailed argument today</w:t>
      </w:r>
      <w:r w:rsidR="008762F0">
        <w:t xml:space="preserve"> from both parties</w:t>
      </w:r>
      <w:r w:rsidRPr="008762F0">
        <w:t>.  A number of cases are r</w:t>
      </w:r>
      <w:r w:rsidR="00FB39B4" w:rsidRPr="008762F0">
        <w:t>eferred to by Mrs Robson and I accept these are persuasive.</w:t>
      </w:r>
    </w:p>
    <w:p w14:paraId="3DD14EA7" w14:textId="21C3360F" w:rsidR="00FB39B4" w:rsidRPr="008762F0" w:rsidRDefault="00FB39B4" w:rsidP="00751777">
      <w:pPr>
        <w:spacing w:line="360" w:lineRule="auto"/>
        <w:jc w:val="both"/>
      </w:pPr>
    </w:p>
    <w:p w14:paraId="526AC92C" w14:textId="696DC44F" w:rsidR="0010382F" w:rsidRPr="008762F0" w:rsidRDefault="00FB39B4" w:rsidP="00751777">
      <w:pPr>
        <w:pStyle w:val="ListParagraph"/>
        <w:numPr>
          <w:ilvl w:val="0"/>
          <w:numId w:val="1"/>
        </w:numPr>
        <w:spacing w:line="360" w:lineRule="auto"/>
        <w:ind w:left="360"/>
        <w:jc w:val="both"/>
      </w:pPr>
      <w:r w:rsidRPr="008762F0">
        <w:t>The parties were involved in an RTA on 21.09.18 where the Claimant brought a claim for PSLA and physiotherapy in the Portal.  This court deals with many hundreds of such cases each year</w:t>
      </w:r>
      <w:r w:rsidR="008762F0">
        <w:t>, some</w:t>
      </w:r>
      <w:r w:rsidRPr="008762F0">
        <w:t xml:space="preserve"> 60,000 to date.</w:t>
      </w:r>
      <w:r w:rsidR="0010382F" w:rsidRPr="008762F0">
        <w:t xml:space="preserve">  </w:t>
      </w:r>
      <w:r w:rsidR="0090632A" w:rsidRPr="008762F0">
        <w:t xml:space="preserve">This court is very experienced in Portal matters.  </w:t>
      </w:r>
    </w:p>
    <w:p w14:paraId="65B4868E" w14:textId="77777777" w:rsidR="0010382F" w:rsidRPr="008762F0" w:rsidRDefault="0010382F" w:rsidP="00751777">
      <w:pPr>
        <w:pStyle w:val="ListParagraph"/>
        <w:spacing w:line="360" w:lineRule="auto"/>
        <w:jc w:val="both"/>
      </w:pPr>
    </w:p>
    <w:p w14:paraId="198D0D24" w14:textId="41EF1577" w:rsidR="0090632A" w:rsidRPr="008762F0" w:rsidRDefault="0090632A" w:rsidP="00751777">
      <w:pPr>
        <w:pStyle w:val="ListParagraph"/>
        <w:numPr>
          <w:ilvl w:val="0"/>
          <w:numId w:val="1"/>
        </w:numPr>
        <w:spacing w:line="360" w:lineRule="auto"/>
        <w:ind w:left="360"/>
        <w:jc w:val="both"/>
      </w:pPr>
      <w:r w:rsidRPr="008762F0">
        <w:t xml:space="preserve">The Claimant valued PSLA at £4000 in their Stage 2 offer.  I think I have already said there has been some conflation in the cases </w:t>
      </w:r>
      <w:r w:rsidR="00164A0C" w:rsidRPr="008762F0">
        <w:t xml:space="preserve">in the skeleton argument.  There is a difference between a Stage 2 offer and a Protocol offer.  A </w:t>
      </w:r>
      <w:r w:rsidR="00B60493">
        <w:t>P</w:t>
      </w:r>
      <w:r w:rsidR="00164A0C" w:rsidRPr="008762F0">
        <w:t>rotocol offer is a formal term with various cost consequence</w:t>
      </w:r>
      <w:r w:rsidR="00B60493">
        <w:t>s</w:t>
      </w:r>
      <w:r w:rsidR="00164A0C" w:rsidRPr="008762F0">
        <w:t>.</w:t>
      </w:r>
    </w:p>
    <w:p w14:paraId="21539C9F" w14:textId="77777777" w:rsidR="00164A0C" w:rsidRPr="008762F0" w:rsidRDefault="00164A0C" w:rsidP="00751777">
      <w:pPr>
        <w:pStyle w:val="ListParagraph"/>
        <w:spacing w:line="360" w:lineRule="auto"/>
        <w:jc w:val="both"/>
      </w:pPr>
    </w:p>
    <w:p w14:paraId="46A0C934" w14:textId="42977E3E" w:rsidR="00164A0C" w:rsidRPr="008762F0" w:rsidRDefault="00164A0C" w:rsidP="00751777">
      <w:pPr>
        <w:pStyle w:val="ListParagraph"/>
        <w:numPr>
          <w:ilvl w:val="0"/>
          <w:numId w:val="1"/>
        </w:numPr>
        <w:spacing w:line="360" w:lineRule="auto"/>
        <w:ind w:left="360"/>
        <w:jc w:val="both"/>
      </w:pPr>
      <w:r w:rsidRPr="008762F0">
        <w:t>Also</w:t>
      </w:r>
      <w:r w:rsidR="0010382F" w:rsidRPr="008762F0">
        <w:t>,</w:t>
      </w:r>
      <w:r w:rsidRPr="008762F0">
        <w:t xml:space="preserve"> I take into account that the Protocol is a stand-alone stet of rules</w:t>
      </w:r>
      <w:r w:rsidR="0010382F" w:rsidRPr="008762F0">
        <w:t>.  Portal rules not CPRs would prevail.  This avoids a lot of satellite litigation.</w:t>
      </w:r>
    </w:p>
    <w:p w14:paraId="338C6CEE" w14:textId="77777777" w:rsidR="0010382F" w:rsidRPr="008762F0" w:rsidRDefault="0010382F" w:rsidP="00751777">
      <w:pPr>
        <w:pStyle w:val="ListParagraph"/>
        <w:spacing w:line="360" w:lineRule="auto"/>
        <w:jc w:val="both"/>
      </w:pPr>
    </w:p>
    <w:p w14:paraId="6ADCCC09" w14:textId="4518BED4" w:rsidR="0010382F" w:rsidRPr="008762F0" w:rsidRDefault="002B6257" w:rsidP="00751777">
      <w:pPr>
        <w:pStyle w:val="ListParagraph"/>
        <w:numPr>
          <w:ilvl w:val="0"/>
          <w:numId w:val="1"/>
        </w:numPr>
        <w:spacing w:line="360" w:lineRule="auto"/>
        <w:ind w:left="360"/>
        <w:jc w:val="both"/>
      </w:pPr>
      <w:r w:rsidRPr="008762F0">
        <w:t>The Defendant did not respond within the Stage 2 initial consideration period and so the claim dropped out per para 7.40 of the Protocol</w:t>
      </w:r>
      <w:r w:rsidR="00B60493">
        <w:t>,</w:t>
      </w:r>
      <w:r w:rsidR="00A97B1E" w:rsidRPr="008762F0">
        <w:t xml:space="preserve"> and the consideration period was at an end.  The Claimant then issued Part 7 proceedings on 15.02.</w:t>
      </w:r>
      <w:r w:rsidR="00E93A22" w:rsidRPr="008762F0">
        <w:t>19 and vehicle related damages were not included.  That was the subject of an application to rectify.  On 21.03.19 the Defendant instructed solicitors</w:t>
      </w:r>
      <w:r w:rsidR="00B60493">
        <w:t>,</w:t>
      </w:r>
      <w:r w:rsidR="002F1F08" w:rsidRPr="008762F0">
        <w:t xml:space="preserve"> then 5 weeks later they purported to accept the Claimant’s Portal offer.</w:t>
      </w:r>
    </w:p>
    <w:p w14:paraId="68F009B1" w14:textId="77777777" w:rsidR="002F1F08" w:rsidRPr="008762F0" w:rsidRDefault="002F1F08" w:rsidP="00751777">
      <w:pPr>
        <w:pStyle w:val="ListParagraph"/>
        <w:spacing w:line="360" w:lineRule="auto"/>
        <w:jc w:val="both"/>
      </w:pPr>
    </w:p>
    <w:p w14:paraId="68CDD63E" w14:textId="16590E14" w:rsidR="00113908" w:rsidRDefault="002F1F08" w:rsidP="00751777">
      <w:pPr>
        <w:pStyle w:val="ListParagraph"/>
        <w:numPr>
          <w:ilvl w:val="0"/>
          <w:numId w:val="1"/>
        </w:numPr>
        <w:spacing w:line="360" w:lineRule="auto"/>
        <w:ind w:left="360"/>
        <w:jc w:val="both"/>
      </w:pPr>
      <w:r w:rsidRPr="008762F0">
        <w:lastRenderedPageBreak/>
        <w:t xml:space="preserve">The Claimant’s case is that the offer was not capable of acceptance as it did not compromise the whole claim.  </w:t>
      </w:r>
      <w:r w:rsidR="00457106">
        <w:t>Their application to amend their statement of case</w:t>
      </w:r>
      <w:r w:rsidR="00F02F1A">
        <w:t xml:space="preserve"> was approved on paper</w:t>
      </w:r>
      <w:r w:rsidR="00B33403">
        <w:t>.  The Defendant applies for a declaration that the claim has settled.</w:t>
      </w:r>
    </w:p>
    <w:p w14:paraId="717DE044" w14:textId="77777777" w:rsidR="00B33403" w:rsidRPr="008762F0" w:rsidRDefault="00B33403" w:rsidP="00751777">
      <w:pPr>
        <w:spacing w:line="360" w:lineRule="auto"/>
        <w:jc w:val="both"/>
      </w:pPr>
    </w:p>
    <w:p w14:paraId="7B1738BB" w14:textId="5478AEA5" w:rsidR="00774B10" w:rsidRDefault="00BC2965" w:rsidP="00751777">
      <w:pPr>
        <w:pStyle w:val="ListParagraph"/>
        <w:numPr>
          <w:ilvl w:val="0"/>
          <w:numId w:val="1"/>
        </w:numPr>
        <w:spacing w:line="360" w:lineRule="auto"/>
        <w:ind w:left="357"/>
        <w:jc w:val="both"/>
      </w:pPr>
      <w:r w:rsidRPr="008762F0">
        <w:t>The key question is</w:t>
      </w:r>
      <w:r w:rsidR="00B33403">
        <w:t>,</w:t>
      </w:r>
      <w:r w:rsidRPr="008762F0">
        <w:t xml:space="preserve"> was the </w:t>
      </w:r>
      <w:proofErr w:type="gramStart"/>
      <w:r w:rsidR="00F057B4">
        <w:t xml:space="preserve">Stage </w:t>
      </w:r>
      <w:r w:rsidRPr="008762F0">
        <w:t xml:space="preserve"> 2</w:t>
      </w:r>
      <w:proofErr w:type="gramEnd"/>
      <w:r w:rsidRPr="008762F0">
        <w:t xml:space="preserve"> offer capable of acceptance if not formally withdrawn?</w:t>
      </w:r>
    </w:p>
    <w:p w14:paraId="7E02C3D7" w14:textId="77777777" w:rsidR="00751777" w:rsidRPr="008762F0" w:rsidRDefault="00751777" w:rsidP="00751777">
      <w:pPr>
        <w:spacing w:line="360" w:lineRule="auto"/>
        <w:jc w:val="both"/>
      </w:pPr>
    </w:p>
    <w:p w14:paraId="4413C14A" w14:textId="63D1294E" w:rsidR="007E5165" w:rsidRPr="008762F0" w:rsidRDefault="00774B10" w:rsidP="00751777">
      <w:pPr>
        <w:pStyle w:val="ListParagraph"/>
        <w:numPr>
          <w:ilvl w:val="0"/>
          <w:numId w:val="1"/>
        </w:numPr>
        <w:spacing w:line="360" w:lineRule="auto"/>
        <w:ind w:left="360"/>
        <w:jc w:val="both"/>
      </w:pPr>
      <w:r w:rsidRPr="008762F0">
        <w:t>Para 6.4 of the Portal Protocol clearly state</w:t>
      </w:r>
      <w:r w:rsidR="007E5165" w:rsidRPr="008762F0">
        <w:t>s:</w:t>
      </w:r>
    </w:p>
    <w:p w14:paraId="67521D3C" w14:textId="49EAA3CD" w:rsidR="007E5165" w:rsidRPr="00751777" w:rsidRDefault="00973686" w:rsidP="00751777">
      <w:pPr>
        <w:ind w:left="720"/>
        <w:jc w:val="both"/>
        <w:rPr>
          <w:i/>
          <w:iCs/>
        </w:rPr>
      </w:pPr>
      <w:r w:rsidRPr="00751777">
        <w:rPr>
          <w:i/>
          <w:iCs/>
        </w:rPr>
        <w:t>“</w:t>
      </w:r>
      <w:r w:rsidR="007E5165" w:rsidRPr="00751777">
        <w:rPr>
          <w:i/>
          <w:iCs/>
        </w:rPr>
        <w:t>A claim for vehicle related damages will ordinarily be dealt with outside the provisions of this Protocol under industry agreements between relevant organisations and insurers. Where there is a claim for vehicle related damages the claimant must—</w:t>
      </w:r>
    </w:p>
    <w:p w14:paraId="5438729E" w14:textId="5069D9A9" w:rsidR="007E5165" w:rsidRPr="00751777" w:rsidRDefault="007E5165" w:rsidP="00751777">
      <w:pPr>
        <w:ind w:left="1440"/>
        <w:jc w:val="both"/>
        <w:rPr>
          <w:i/>
          <w:iCs/>
        </w:rPr>
      </w:pPr>
      <w:r w:rsidRPr="00751777">
        <w:rPr>
          <w:i/>
          <w:iCs/>
        </w:rPr>
        <w:t>(1)</w:t>
      </w:r>
      <w:r w:rsidR="00973686" w:rsidRPr="00751777">
        <w:rPr>
          <w:i/>
          <w:iCs/>
        </w:rPr>
        <w:t xml:space="preserve"> </w:t>
      </w:r>
      <w:r w:rsidRPr="00751777">
        <w:rPr>
          <w:i/>
          <w:iCs/>
        </w:rPr>
        <w:t>state in the CNF that the claim is being dealt with by a third party; or</w:t>
      </w:r>
    </w:p>
    <w:p w14:paraId="7EBD098B" w14:textId="77777777" w:rsidR="002D0814" w:rsidRPr="00751777" w:rsidRDefault="007E5165" w:rsidP="00751777">
      <w:pPr>
        <w:ind w:left="1440"/>
        <w:jc w:val="both"/>
        <w:rPr>
          <w:i/>
          <w:iCs/>
        </w:rPr>
      </w:pPr>
      <w:r w:rsidRPr="00751777">
        <w:rPr>
          <w:i/>
          <w:iCs/>
        </w:rPr>
        <w:t>(2)</w:t>
      </w:r>
      <w:r w:rsidR="002D0814" w:rsidRPr="00751777">
        <w:rPr>
          <w:i/>
          <w:iCs/>
        </w:rPr>
        <w:t xml:space="preserve"> </w:t>
      </w:r>
      <w:r w:rsidR="002D0814" w:rsidRPr="00751777">
        <w:rPr>
          <w:i/>
          <w:iCs/>
        </w:rPr>
        <w:tab/>
      </w:r>
      <w:r w:rsidRPr="00751777">
        <w:rPr>
          <w:i/>
          <w:iCs/>
        </w:rPr>
        <w:t>(a)</w:t>
      </w:r>
      <w:r w:rsidR="002D0814" w:rsidRPr="00751777">
        <w:rPr>
          <w:i/>
          <w:iCs/>
        </w:rPr>
        <w:tab/>
      </w:r>
      <w:r w:rsidRPr="00751777">
        <w:rPr>
          <w:i/>
          <w:iCs/>
        </w:rPr>
        <w:t xml:space="preserve">explain in the CNF that the legal representative is dealing with </w:t>
      </w:r>
    </w:p>
    <w:p w14:paraId="4011099D" w14:textId="6DCA2367" w:rsidR="007E5165" w:rsidRPr="00751777" w:rsidRDefault="007E5165" w:rsidP="00751777">
      <w:pPr>
        <w:ind w:left="2160" w:firstLine="720"/>
        <w:jc w:val="both"/>
        <w:rPr>
          <w:i/>
          <w:iCs/>
        </w:rPr>
      </w:pPr>
      <w:r w:rsidRPr="00751777">
        <w:rPr>
          <w:i/>
          <w:iCs/>
        </w:rPr>
        <w:t>the recovery of these additional amounts; and</w:t>
      </w:r>
    </w:p>
    <w:p w14:paraId="4DB7EFCB" w14:textId="77777777" w:rsidR="002D0814" w:rsidRPr="00751777" w:rsidRDefault="007E5165" w:rsidP="00751777">
      <w:pPr>
        <w:ind w:left="1440" w:firstLine="720"/>
        <w:jc w:val="both"/>
        <w:rPr>
          <w:i/>
          <w:iCs/>
        </w:rPr>
      </w:pPr>
      <w:r w:rsidRPr="00751777">
        <w:rPr>
          <w:i/>
          <w:iCs/>
        </w:rPr>
        <w:t>(b)</w:t>
      </w:r>
      <w:r w:rsidR="00973686" w:rsidRPr="00751777">
        <w:rPr>
          <w:i/>
          <w:iCs/>
        </w:rPr>
        <w:t xml:space="preserve"> </w:t>
      </w:r>
      <w:r w:rsidR="002D0814" w:rsidRPr="00751777">
        <w:rPr>
          <w:i/>
          <w:iCs/>
        </w:rPr>
        <w:tab/>
      </w:r>
      <w:r w:rsidRPr="00751777">
        <w:rPr>
          <w:i/>
          <w:iCs/>
        </w:rPr>
        <w:t xml:space="preserve">attach any relevant invoices and receipts to the CNF or explain </w:t>
      </w:r>
    </w:p>
    <w:p w14:paraId="68AAA772" w14:textId="46C6A515" w:rsidR="007E5165" w:rsidRPr="00751777" w:rsidRDefault="007E5165" w:rsidP="00751777">
      <w:pPr>
        <w:ind w:left="2160" w:firstLine="720"/>
        <w:jc w:val="both"/>
        <w:rPr>
          <w:i/>
          <w:iCs/>
        </w:rPr>
      </w:pPr>
      <w:r w:rsidRPr="00751777">
        <w:rPr>
          <w:i/>
          <w:iCs/>
        </w:rPr>
        <w:t>when they are likely to be sent to the defendant.</w:t>
      </w:r>
      <w:r w:rsidR="00973686" w:rsidRPr="00751777">
        <w:rPr>
          <w:i/>
          <w:iCs/>
        </w:rPr>
        <w:t>”</w:t>
      </w:r>
    </w:p>
    <w:p w14:paraId="0FE373A3" w14:textId="2393B648" w:rsidR="00774B10" w:rsidRPr="008762F0" w:rsidRDefault="00774B10" w:rsidP="004A0B1D">
      <w:pPr>
        <w:spacing w:before="120" w:line="360" w:lineRule="auto"/>
        <w:ind w:left="357"/>
        <w:jc w:val="both"/>
      </w:pPr>
      <w:r w:rsidRPr="008762F0">
        <w:t xml:space="preserve">The CNF says I am told, that he requires a vehicle.  </w:t>
      </w:r>
      <w:r w:rsidR="00F057B4">
        <w:t xml:space="preserve">There is some query of the use of vehicle </w:t>
      </w:r>
      <w:r w:rsidR="00124C75">
        <w:t xml:space="preserve">– </w:t>
      </w:r>
      <w:r w:rsidRPr="008762F0">
        <w:t>I</w:t>
      </w:r>
      <w:r w:rsidR="00124C75">
        <w:t xml:space="preserve"> </w:t>
      </w:r>
      <w:r w:rsidRPr="008762F0">
        <w:t>have not seen this but ambigu</w:t>
      </w:r>
      <w:r w:rsidR="00124C75">
        <w:t>ity</w:t>
      </w:r>
      <w:r w:rsidRPr="008762F0">
        <w:t xml:space="preserve"> is a matter for quantum and matters for evidence.  It is clear that vehicle hire is contemplated and documents</w:t>
      </w:r>
      <w:r w:rsidR="003B7591" w:rsidRPr="008762F0">
        <w:t xml:space="preserve"> were sent to the Defendant insurer before Part 7 proceedings, so it was clear they were being pursued as part of the claim.</w:t>
      </w:r>
    </w:p>
    <w:p w14:paraId="134308B9" w14:textId="433559F1" w:rsidR="003B7591" w:rsidRPr="008762F0" w:rsidRDefault="002D0814" w:rsidP="00751777">
      <w:pPr>
        <w:pStyle w:val="ListParagraph"/>
        <w:tabs>
          <w:tab w:val="left" w:pos="3750"/>
        </w:tabs>
        <w:spacing w:line="360" w:lineRule="auto"/>
        <w:jc w:val="both"/>
      </w:pPr>
      <w:r w:rsidRPr="008762F0">
        <w:tab/>
      </w:r>
    </w:p>
    <w:p w14:paraId="44B9DB04" w14:textId="77777777" w:rsidR="002D0814" w:rsidRPr="008762F0" w:rsidRDefault="003B7591" w:rsidP="00751777">
      <w:pPr>
        <w:pStyle w:val="ListParagraph"/>
        <w:numPr>
          <w:ilvl w:val="0"/>
          <w:numId w:val="1"/>
        </w:numPr>
        <w:spacing w:line="360" w:lineRule="auto"/>
        <w:ind w:left="360"/>
        <w:jc w:val="both"/>
      </w:pPr>
      <w:r w:rsidRPr="008762F0">
        <w:t xml:space="preserve">Para 7.51/2 of the Portal Protocol </w:t>
      </w:r>
      <w:r w:rsidR="002D0814" w:rsidRPr="008762F0">
        <w:t>says:</w:t>
      </w:r>
      <w:bookmarkStart w:id="0" w:name="Para_7.51"/>
      <w:bookmarkEnd w:id="0"/>
    </w:p>
    <w:p w14:paraId="41A8974A" w14:textId="611F6A4E" w:rsidR="002D0814" w:rsidRPr="00751777" w:rsidRDefault="002D0814" w:rsidP="00751777">
      <w:pPr>
        <w:pStyle w:val="ListParagraph"/>
        <w:jc w:val="both"/>
        <w:rPr>
          <w:i/>
          <w:iCs/>
        </w:rPr>
      </w:pPr>
      <w:r w:rsidRPr="00751777">
        <w:rPr>
          <w:i/>
          <w:iCs/>
        </w:rPr>
        <w:t>“7.51 Paragraph 7.52 applies where at the end of the relevant period in paragraphs 7.35 to 7.37 the claim (“the original damages”) has not settled and there remain vehicle related damages (“the additional damages”) being dealt with by a third party separate from the claim. The original damages include all elements of the claim in the existing Stage 2 Settlement Pack.</w:t>
      </w:r>
      <w:bookmarkStart w:id="1" w:name="Para_7.52"/>
      <w:bookmarkEnd w:id="1"/>
    </w:p>
    <w:p w14:paraId="03419FBC" w14:textId="7B3F2CDA" w:rsidR="002D0814" w:rsidRPr="00751777" w:rsidRDefault="002D0814" w:rsidP="00751777">
      <w:pPr>
        <w:pStyle w:val="ListParagraph"/>
        <w:jc w:val="both"/>
        <w:rPr>
          <w:i/>
          <w:iCs/>
        </w:rPr>
      </w:pPr>
      <w:r w:rsidRPr="00751777">
        <w:rPr>
          <w:i/>
          <w:iCs/>
        </w:rPr>
        <w:t>7.52 Where paragraph 7.51 applies the claimant must, in relation to the additional damages—</w:t>
      </w:r>
    </w:p>
    <w:p w14:paraId="07998F38" w14:textId="7BC0C187" w:rsidR="002D0814" w:rsidRPr="00751777" w:rsidRDefault="002D0814" w:rsidP="00751777">
      <w:pPr>
        <w:ind w:left="1080"/>
        <w:jc w:val="both"/>
        <w:rPr>
          <w:i/>
          <w:iCs/>
        </w:rPr>
      </w:pPr>
      <w:r w:rsidRPr="00751777">
        <w:rPr>
          <w:i/>
          <w:iCs/>
        </w:rPr>
        <w:t>(1) notify the defendant that this separate claim is being considered;</w:t>
      </w:r>
    </w:p>
    <w:p w14:paraId="2918195C" w14:textId="2CCD5B78" w:rsidR="002D0814" w:rsidRPr="00751777" w:rsidRDefault="002D0814" w:rsidP="00751777">
      <w:pPr>
        <w:ind w:left="1080"/>
        <w:jc w:val="both"/>
        <w:rPr>
          <w:i/>
          <w:iCs/>
        </w:rPr>
      </w:pPr>
      <w:r w:rsidRPr="00751777">
        <w:rPr>
          <w:i/>
          <w:iCs/>
        </w:rPr>
        <w:t>(2) obtain all relevant information from the third party; and</w:t>
      </w:r>
    </w:p>
    <w:p w14:paraId="1C91A9DE" w14:textId="3E9D6C1D" w:rsidR="002D0814" w:rsidRPr="00751777" w:rsidRDefault="002D0814" w:rsidP="00751777">
      <w:pPr>
        <w:ind w:left="1080"/>
        <w:jc w:val="both"/>
        <w:rPr>
          <w:i/>
          <w:iCs/>
        </w:rPr>
      </w:pPr>
      <w:r w:rsidRPr="00751777">
        <w:rPr>
          <w:i/>
          <w:iCs/>
        </w:rPr>
        <w:t>(3) make a separate offer by amending the Stage 2 Settlement Pack Form.”</w:t>
      </w:r>
    </w:p>
    <w:p w14:paraId="4EAE641A" w14:textId="28722C56" w:rsidR="003B7591" w:rsidRPr="008762F0" w:rsidRDefault="003B7591" w:rsidP="004A0B1D">
      <w:pPr>
        <w:pStyle w:val="ListParagraph"/>
        <w:spacing w:before="120" w:line="360" w:lineRule="auto"/>
        <w:ind w:left="357"/>
        <w:jc w:val="both"/>
      </w:pPr>
      <w:r w:rsidRPr="008762F0">
        <w:t xml:space="preserve">It seems to me that is the situation the Claimant found themselves in when the claim dropped out of the Portal.  It is contemplated by the rules that where it remains in the Portal then a Claimant must amend a </w:t>
      </w:r>
      <w:r w:rsidR="004A0B1D">
        <w:t>S</w:t>
      </w:r>
      <w:r w:rsidRPr="008762F0">
        <w:t xml:space="preserve">tage 2 settlement pack.  The </w:t>
      </w:r>
      <w:r w:rsidR="004A0B1D">
        <w:t>S</w:t>
      </w:r>
      <w:r w:rsidRPr="008762F0">
        <w:t xml:space="preserve">tage 2 pack is then amended then crystalises as a </w:t>
      </w:r>
      <w:r w:rsidR="004A0B1D">
        <w:t>P</w:t>
      </w:r>
      <w:r w:rsidRPr="008762F0">
        <w:t>rotocol offer at Stage 3.</w:t>
      </w:r>
    </w:p>
    <w:p w14:paraId="2E2F4CD1" w14:textId="77777777" w:rsidR="00FB57C0" w:rsidRPr="008762F0" w:rsidRDefault="00FB57C0" w:rsidP="00751777">
      <w:pPr>
        <w:pStyle w:val="ListParagraph"/>
        <w:spacing w:line="360" w:lineRule="auto"/>
        <w:jc w:val="both"/>
      </w:pPr>
    </w:p>
    <w:p w14:paraId="428973E1" w14:textId="7BD0B901" w:rsidR="00FB57C0" w:rsidRDefault="00FB57C0" w:rsidP="004A0B1D">
      <w:pPr>
        <w:pStyle w:val="ListParagraph"/>
        <w:numPr>
          <w:ilvl w:val="0"/>
          <w:numId w:val="1"/>
        </w:numPr>
        <w:spacing w:line="360" w:lineRule="auto"/>
        <w:ind w:left="360"/>
        <w:jc w:val="both"/>
      </w:pPr>
      <w:r w:rsidRPr="008762F0">
        <w:t>Paragraph 7.59 says if the claim sta</w:t>
      </w:r>
      <w:r w:rsidR="001B2F72">
        <w:t>y</w:t>
      </w:r>
      <w:r w:rsidRPr="008762F0">
        <w:t xml:space="preserve">ed in the Portal and the original damages settled and the additional damages do not </w:t>
      </w:r>
      <w:r w:rsidR="001B2F72">
        <w:t xml:space="preserve">settle, </w:t>
      </w:r>
      <w:r w:rsidRPr="008762F0">
        <w:t>the Claimant may start Part 7 proceedings</w:t>
      </w:r>
      <w:r w:rsidR="00771512" w:rsidRPr="008762F0">
        <w:t xml:space="preserve">, per para </w:t>
      </w:r>
      <w:r w:rsidR="00771512" w:rsidRPr="008762F0">
        <w:lastRenderedPageBreak/>
        <w:t>7.60(2).  So</w:t>
      </w:r>
      <w:r w:rsidR="004A0B1D">
        <w:t>,</w:t>
      </w:r>
      <w:r w:rsidR="00771512" w:rsidRPr="008762F0">
        <w:t xml:space="preserve"> it is clear that the Claimant’s valuation for damages is completely separate from the credit hire.</w:t>
      </w:r>
    </w:p>
    <w:p w14:paraId="104FAA7F" w14:textId="77777777" w:rsidR="004A0B1D" w:rsidRPr="008762F0" w:rsidRDefault="004A0B1D" w:rsidP="004A0B1D">
      <w:pPr>
        <w:pStyle w:val="ListParagraph"/>
        <w:spacing w:line="360" w:lineRule="auto"/>
        <w:ind w:left="360"/>
        <w:jc w:val="both"/>
      </w:pPr>
    </w:p>
    <w:p w14:paraId="4B419FA1" w14:textId="2351D0B1" w:rsidR="00771512" w:rsidRPr="008762F0" w:rsidRDefault="00771512" w:rsidP="004A0B1D">
      <w:pPr>
        <w:pStyle w:val="ListParagraph"/>
        <w:numPr>
          <w:ilvl w:val="0"/>
          <w:numId w:val="1"/>
        </w:numPr>
        <w:spacing w:line="360" w:lineRule="auto"/>
        <w:ind w:left="360"/>
        <w:jc w:val="both"/>
      </w:pPr>
      <w:r w:rsidRPr="008762F0">
        <w:t>The Defendant’s case is that the original offer is for the entirety of the claim.  It is clear to me in the rules it is not.</w:t>
      </w:r>
    </w:p>
    <w:p w14:paraId="204D1F32" w14:textId="77777777" w:rsidR="00771512" w:rsidRPr="008762F0" w:rsidRDefault="00771512" w:rsidP="004A0B1D">
      <w:pPr>
        <w:pStyle w:val="ListParagraph"/>
        <w:spacing w:line="360" w:lineRule="auto"/>
        <w:jc w:val="both"/>
      </w:pPr>
    </w:p>
    <w:p w14:paraId="14BFE1FB" w14:textId="502BDBA8" w:rsidR="00771512" w:rsidRPr="008762F0" w:rsidRDefault="00771512" w:rsidP="004A0B1D">
      <w:pPr>
        <w:pStyle w:val="ListParagraph"/>
        <w:numPr>
          <w:ilvl w:val="0"/>
          <w:numId w:val="1"/>
        </w:numPr>
        <w:spacing w:line="360" w:lineRule="auto"/>
        <w:ind w:left="360"/>
        <w:jc w:val="both"/>
      </w:pPr>
      <w:r w:rsidRPr="008762F0">
        <w:t>The next question is whether the offer is open for acceptance.  The offer crystalises at Stage 3 and parties need permission to withdraw.  Mrs Robson says if a claim is not formally withdrawn it is open for acceptance.  There is a gap here.</w:t>
      </w:r>
    </w:p>
    <w:p w14:paraId="6B4AFFE8" w14:textId="77777777" w:rsidR="00771512" w:rsidRPr="008762F0" w:rsidRDefault="00771512" w:rsidP="004A0B1D">
      <w:pPr>
        <w:pStyle w:val="ListParagraph"/>
        <w:spacing w:line="360" w:lineRule="auto"/>
        <w:jc w:val="both"/>
      </w:pPr>
    </w:p>
    <w:p w14:paraId="6D01D11C" w14:textId="2DD41CA7" w:rsidR="00065B97" w:rsidRPr="008762F0" w:rsidRDefault="00771512" w:rsidP="004A0B1D">
      <w:pPr>
        <w:pStyle w:val="ListParagraph"/>
        <w:numPr>
          <w:ilvl w:val="0"/>
          <w:numId w:val="1"/>
        </w:numPr>
        <w:spacing w:line="360" w:lineRule="auto"/>
        <w:ind w:left="360"/>
        <w:jc w:val="both"/>
      </w:pPr>
      <w:r w:rsidRPr="008762F0">
        <w:t xml:space="preserve">There is only one binding case here, </w:t>
      </w:r>
      <w:r w:rsidRPr="008762F0">
        <w:rPr>
          <w:i/>
          <w:iCs/>
          <w:u w:val="single"/>
        </w:rPr>
        <w:t xml:space="preserve">Mahmood v </w:t>
      </w:r>
      <w:proofErr w:type="spellStart"/>
      <w:r w:rsidRPr="008762F0">
        <w:rPr>
          <w:i/>
          <w:iCs/>
          <w:u w:val="single"/>
        </w:rPr>
        <w:t>Elmi</w:t>
      </w:r>
      <w:proofErr w:type="spellEnd"/>
      <w:r w:rsidRPr="008762F0">
        <w:rPr>
          <w:i/>
          <w:iCs/>
          <w:u w:val="single"/>
        </w:rPr>
        <w:t xml:space="preserve"> [2010] EWHC 1993 (QB)</w:t>
      </w:r>
      <w:r w:rsidRPr="008762F0">
        <w:t xml:space="preserve">.  However, that concerns a Part 36 offer.  This is not.  </w:t>
      </w:r>
    </w:p>
    <w:p w14:paraId="79BFFE67" w14:textId="77777777" w:rsidR="00065B97" w:rsidRPr="008762F0" w:rsidRDefault="00065B97" w:rsidP="004A0B1D">
      <w:pPr>
        <w:pStyle w:val="ListParagraph"/>
        <w:spacing w:line="360" w:lineRule="auto"/>
        <w:jc w:val="both"/>
      </w:pPr>
    </w:p>
    <w:p w14:paraId="59033667" w14:textId="78C8B035" w:rsidR="00771512" w:rsidRPr="008762F0" w:rsidRDefault="00676010" w:rsidP="004A0B1D">
      <w:pPr>
        <w:pStyle w:val="ListParagraph"/>
        <w:numPr>
          <w:ilvl w:val="0"/>
          <w:numId w:val="1"/>
        </w:numPr>
        <w:spacing w:line="360" w:lineRule="auto"/>
        <w:ind w:left="360"/>
        <w:jc w:val="both"/>
      </w:pPr>
      <w:r w:rsidRPr="008762F0">
        <w:t>V</w:t>
      </w:r>
      <w:r w:rsidR="00771512" w:rsidRPr="008762F0">
        <w:t>arious refer</w:t>
      </w:r>
      <w:r w:rsidRPr="008762F0">
        <w:t>e</w:t>
      </w:r>
      <w:r w:rsidR="00771512" w:rsidRPr="008762F0">
        <w:t>nces to CPR 36.20</w:t>
      </w:r>
      <w:r w:rsidRPr="008762F0">
        <w:t xml:space="preserve"> convert a Defendant’s Stage 2 offer to a Protocol offer, but there is no reference to a Claimant’s Stage 2 offer converting to a Protocol offer </w:t>
      </w:r>
      <w:r w:rsidR="00FB3488" w:rsidRPr="008762F0">
        <w:t>– it would say so if it did.  The reason the Claimant says this is</w:t>
      </w:r>
      <w:r w:rsidR="00D27C41">
        <w:t>, is</w:t>
      </w:r>
      <w:r w:rsidR="00FB3488" w:rsidRPr="008762F0">
        <w:t xml:space="preserve"> because a Stage 2 offer is capable of amendment and only </w:t>
      </w:r>
      <w:r w:rsidR="00065B97" w:rsidRPr="008762F0">
        <w:t xml:space="preserve">crystalises </w:t>
      </w:r>
      <w:r w:rsidR="00FB3488" w:rsidRPr="008762F0">
        <w:t xml:space="preserve">at Stage </w:t>
      </w:r>
      <w:r w:rsidR="00065B97" w:rsidRPr="008762F0">
        <w:t>3</w:t>
      </w:r>
      <w:r w:rsidR="00FB3488" w:rsidRPr="008762F0">
        <w:t>.</w:t>
      </w:r>
    </w:p>
    <w:p w14:paraId="3FCE6157" w14:textId="77777777" w:rsidR="00FB3488" w:rsidRPr="008762F0" w:rsidRDefault="00FB3488" w:rsidP="004A0B1D">
      <w:pPr>
        <w:pStyle w:val="ListParagraph"/>
        <w:spacing w:line="360" w:lineRule="auto"/>
        <w:jc w:val="both"/>
      </w:pPr>
    </w:p>
    <w:p w14:paraId="3845FD05" w14:textId="2EDB76B2" w:rsidR="00861D3E" w:rsidRPr="008762F0" w:rsidRDefault="00FB3488" w:rsidP="004A0B1D">
      <w:pPr>
        <w:pStyle w:val="ListParagraph"/>
        <w:numPr>
          <w:ilvl w:val="0"/>
          <w:numId w:val="1"/>
        </w:numPr>
        <w:spacing w:line="360" w:lineRule="auto"/>
        <w:ind w:left="360"/>
        <w:jc w:val="both"/>
      </w:pPr>
      <w:r w:rsidRPr="008762F0">
        <w:t xml:space="preserve">The cases I have been referred to </w:t>
      </w:r>
      <w:r w:rsidR="00861D3E" w:rsidRPr="008762F0">
        <w:t xml:space="preserve">are all distinguished.  The </w:t>
      </w:r>
      <w:r w:rsidR="00985740">
        <w:t>offer w</w:t>
      </w:r>
      <w:r w:rsidR="00861D3E" w:rsidRPr="008762F0">
        <w:t xml:space="preserve">as clearly not </w:t>
      </w:r>
      <w:r w:rsidR="00985740">
        <w:t xml:space="preserve">for the </w:t>
      </w:r>
      <w:r w:rsidR="00861D3E" w:rsidRPr="008762F0">
        <w:t xml:space="preserve">whole </w:t>
      </w:r>
      <w:r w:rsidR="00985740">
        <w:t>claim</w:t>
      </w:r>
      <w:r w:rsidR="00861D3E" w:rsidRPr="008762F0">
        <w:t xml:space="preserve">.  </w:t>
      </w:r>
      <w:r w:rsidR="00861D3E" w:rsidRPr="008762F0">
        <w:rPr>
          <w:i/>
          <w:iCs/>
          <w:u w:val="single"/>
        </w:rPr>
        <w:t>Akinrodoye v Esure Services Ltd, DJ Goodchild, Romford CC, 16.02.15</w:t>
      </w:r>
      <w:r w:rsidR="00985740">
        <w:t xml:space="preserve"> i</w:t>
      </w:r>
      <w:r w:rsidR="009F3C22" w:rsidRPr="008762F0">
        <w:t>s the close</w:t>
      </w:r>
      <w:r w:rsidR="007F3737" w:rsidRPr="008762F0">
        <w:t>s</w:t>
      </w:r>
      <w:r w:rsidR="009F3C22" w:rsidRPr="008762F0">
        <w:t>t</w:t>
      </w:r>
      <w:r w:rsidR="00985740">
        <w:t>,</w:t>
      </w:r>
      <w:r w:rsidR="009F3C22" w:rsidRPr="008762F0">
        <w:t xml:space="preserve"> but it is not binding on me as a decision of a DJ in another court</w:t>
      </w:r>
      <w:r w:rsidR="007F3737" w:rsidRPr="008762F0">
        <w:t>,</w:t>
      </w:r>
      <w:r w:rsidR="009F3C22" w:rsidRPr="008762F0">
        <w:t xml:space="preserve"> </w:t>
      </w:r>
      <w:r w:rsidR="00030BF6">
        <w:t xml:space="preserve">and this is </w:t>
      </w:r>
      <w:r w:rsidR="009F3C22" w:rsidRPr="008762F0">
        <w:t xml:space="preserve">not the whole of claim.  </w:t>
      </w:r>
      <w:r w:rsidR="007F3737" w:rsidRPr="008762F0">
        <w:t>It c</w:t>
      </w:r>
      <w:r w:rsidR="009F3C22" w:rsidRPr="008762F0">
        <w:t>onflates these two rules.</w:t>
      </w:r>
    </w:p>
    <w:p w14:paraId="0C01627D" w14:textId="77777777" w:rsidR="009F3C22" w:rsidRPr="008762F0" w:rsidRDefault="009F3C22" w:rsidP="004A0B1D">
      <w:pPr>
        <w:pStyle w:val="ListParagraph"/>
        <w:spacing w:line="360" w:lineRule="auto"/>
        <w:jc w:val="both"/>
      </w:pPr>
    </w:p>
    <w:p w14:paraId="660B3760" w14:textId="77777777" w:rsidR="004624AA" w:rsidRPr="00A41F81" w:rsidRDefault="009F3C22" w:rsidP="004A0B1D">
      <w:pPr>
        <w:pStyle w:val="ListParagraph"/>
        <w:numPr>
          <w:ilvl w:val="0"/>
          <w:numId w:val="1"/>
        </w:numPr>
        <w:spacing w:line="360" w:lineRule="auto"/>
        <w:ind w:left="360"/>
        <w:jc w:val="both"/>
      </w:pPr>
      <w:r w:rsidRPr="008762F0">
        <w:t xml:space="preserve">I find some assistance from the case of </w:t>
      </w:r>
      <w:r w:rsidRPr="008762F0">
        <w:rPr>
          <w:i/>
          <w:iCs/>
          <w:u w:val="single"/>
        </w:rPr>
        <w:t>Maddocks v Lyne HHJ Wood QC, Chester CC, 22.01.16</w:t>
      </w:r>
      <w:r w:rsidRPr="008762F0">
        <w:t>, I refer to paragraphs 51 and 52.  Th</w:t>
      </w:r>
      <w:r w:rsidR="00EC1317" w:rsidRPr="008762F0">
        <w:t xml:space="preserve">e issue he had to decide was if parties agreed at Stage 2, could this be reopened at Stage 3.  He said uncertainty has arisen due to different decisions and he felt it appropriate to give guidance.  So, whilst </w:t>
      </w:r>
      <w:r w:rsidR="00EC1317" w:rsidRPr="008762F0">
        <w:rPr>
          <w:i/>
          <w:iCs/>
        </w:rPr>
        <w:t>obiter</w:t>
      </w:r>
      <w:r w:rsidR="00EC1317" w:rsidRPr="008762F0">
        <w:t xml:space="preserve">, it was designed to </w:t>
      </w:r>
      <w:r w:rsidR="00EC1317" w:rsidRPr="00A41F81">
        <w:t xml:space="preserve">give guidance.  </w:t>
      </w:r>
      <w:r w:rsidR="0094393F" w:rsidRPr="00A41F81">
        <w:t>Paragraph 51 says:</w:t>
      </w:r>
    </w:p>
    <w:p w14:paraId="57584FC4" w14:textId="77777777" w:rsidR="004624AA" w:rsidRPr="00A41F81" w:rsidRDefault="004624AA" w:rsidP="004624AA">
      <w:pPr>
        <w:pStyle w:val="ListParagraph"/>
        <w:rPr>
          <w:i/>
          <w:iCs/>
        </w:rPr>
      </w:pPr>
    </w:p>
    <w:p w14:paraId="1927217E" w14:textId="562CF89E" w:rsidR="004624AA" w:rsidRPr="00A41F81" w:rsidRDefault="009E27DD" w:rsidP="00A41F81">
      <w:pPr>
        <w:pStyle w:val="ListParagraph"/>
        <w:numPr>
          <w:ilvl w:val="0"/>
          <w:numId w:val="2"/>
        </w:numPr>
        <w:ind w:left="1080"/>
        <w:jc w:val="both"/>
        <w:rPr>
          <w:i/>
          <w:iCs/>
        </w:rPr>
      </w:pPr>
      <w:r w:rsidRPr="00A41F81">
        <w:rPr>
          <w:i/>
          <w:iCs/>
        </w:rPr>
        <w:t>“</w:t>
      </w:r>
      <w:r w:rsidR="0094393F" w:rsidRPr="00A41F81">
        <w:rPr>
          <w:i/>
          <w:iCs/>
        </w:rPr>
        <w:t xml:space="preserve">However, this does not mean that if a claimant within the stage 2 negotiating process agrees a defendant’s figure, say in relation to general damages, it should follow that a binding agreement is thereby created, preventing the claimant from pursuing a higher award for general damages outside the portal. There is nothing in the language of the protocol which suggests that anything other than the agreement of the final overall offer creates a lawfully enforceable compromise. In my judgment, this would be inconsistent with the existence of a procedure allowing </w:t>
      </w:r>
      <w:r w:rsidR="0094393F" w:rsidRPr="00A41F81">
        <w:rPr>
          <w:i/>
          <w:iCs/>
        </w:rPr>
        <w:lastRenderedPageBreak/>
        <w:t>a party to withdraw a Stage 2 offer, whereby the claim no longer continues under the protocol, and Part 7 proceedings can be commenced by the claimant.</w:t>
      </w:r>
    </w:p>
    <w:p w14:paraId="2DCC4DF8" w14:textId="77777777" w:rsidR="009E27DD" w:rsidRPr="00A41F81" w:rsidRDefault="009E27DD" w:rsidP="009E27DD">
      <w:pPr>
        <w:pStyle w:val="ListParagraph"/>
        <w:ind w:left="1080"/>
        <w:rPr>
          <w:i/>
          <w:iCs/>
        </w:rPr>
      </w:pPr>
    </w:p>
    <w:p w14:paraId="1A7F4135" w14:textId="013C88C0" w:rsidR="0094393F" w:rsidRPr="00A41F81" w:rsidRDefault="004624AA" w:rsidP="00A41F81">
      <w:pPr>
        <w:pStyle w:val="ListParagraph"/>
        <w:numPr>
          <w:ilvl w:val="0"/>
          <w:numId w:val="2"/>
        </w:numPr>
        <w:ind w:left="1080"/>
        <w:jc w:val="both"/>
        <w:rPr>
          <w:i/>
          <w:iCs/>
        </w:rPr>
      </w:pPr>
      <w:r w:rsidRPr="00A41F81">
        <w:rPr>
          <w:i/>
          <w:iCs/>
        </w:rPr>
        <w:t xml:space="preserve">I am fortified in this conclusion that the portal does not create binding agreements on individual items by the language of the Stage 2 settlement pack which refers to the presentation of offers and counter-offers. It is only when an offer from a defendant is acceptable that an agreement will ensue, and “the offer” is clearly couched in terms of it being an overall offer in the singular. This is not inconsistent with a process which allows for the scope of any dispute to be narrowed, leaving only those items which have not been agreed to be determined at a stage 3 hearing, and is not tantamount to enforcing a binding agreement, because having chosen to proceed to a Stage 3 hearing and to remain within the protocol, a claimant in effect, is saying that he is happy to stand by the adjusted figure. (It is also entirely consistent with the exercise by the court of its case management powers under </w:t>
      </w:r>
      <w:r w:rsidRPr="00A41F81">
        <w:rPr>
          <w:b/>
          <w:i/>
          <w:iCs/>
        </w:rPr>
        <w:t>CPR 3.1(k)</w:t>
      </w:r>
      <w:r w:rsidRPr="00A41F81">
        <w:rPr>
          <w:i/>
          <w:iCs/>
        </w:rPr>
        <w:t xml:space="preserve"> excluding an issue from consideration, effectively because it is not in dispute. Equally, it must be open to the court to allow all items to be claimed, despite earlier individual item agreement pursuant to the same case management powers, but it is not expected that with a Stage 3 Part process permission will be given except in the rarest of circumstances.)</w:t>
      </w:r>
      <w:r w:rsidR="00D13F54" w:rsidRPr="00A41F81">
        <w:rPr>
          <w:i/>
          <w:iCs/>
        </w:rPr>
        <w:t>”</w:t>
      </w:r>
    </w:p>
    <w:p w14:paraId="4CE2F902" w14:textId="3C1734E5" w:rsidR="00E46C92" w:rsidRPr="008762F0" w:rsidRDefault="00D13F54" w:rsidP="00A41F81">
      <w:pPr>
        <w:spacing w:before="120" w:line="360" w:lineRule="auto"/>
        <w:ind w:left="357"/>
        <w:jc w:val="both"/>
      </w:pPr>
      <w:r w:rsidRPr="008762F0">
        <w:t>H</w:t>
      </w:r>
      <w:r w:rsidR="00C96EE6" w:rsidRPr="008762F0">
        <w:t>is conclusion was</w:t>
      </w:r>
      <w:r w:rsidR="009E27DD" w:rsidRPr="008762F0">
        <w:t xml:space="preserve"> that</w:t>
      </w:r>
      <w:r w:rsidR="00C96EE6" w:rsidRPr="008762F0">
        <w:t xml:space="preserve"> if agreement </w:t>
      </w:r>
      <w:r w:rsidR="009E27DD" w:rsidRPr="008762F0">
        <w:t xml:space="preserve">was </w:t>
      </w:r>
      <w:r w:rsidR="00C96EE6" w:rsidRPr="008762F0">
        <w:t xml:space="preserve">reached in </w:t>
      </w:r>
      <w:r w:rsidR="009E27DD" w:rsidRPr="008762F0">
        <w:t>S</w:t>
      </w:r>
      <w:r w:rsidR="00C96EE6" w:rsidRPr="008762F0">
        <w:t>tage 2 it is binding in Stage 3, but if whole agreement is not reached</w:t>
      </w:r>
      <w:r w:rsidR="00C24773">
        <w:t xml:space="preserve"> in Stage 2,</w:t>
      </w:r>
      <w:r w:rsidR="00C96EE6" w:rsidRPr="008762F0">
        <w:t xml:space="preserve"> then </w:t>
      </w:r>
      <w:r w:rsidR="00E46C92" w:rsidRPr="008762F0">
        <w:t xml:space="preserve">any part accepted in </w:t>
      </w:r>
      <w:r w:rsidR="00C96EE6" w:rsidRPr="008762F0">
        <w:t>Stage</w:t>
      </w:r>
      <w:r w:rsidR="00C24773">
        <w:t xml:space="preserve"> </w:t>
      </w:r>
      <w:r w:rsidR="00E46C92" w:rsidRPr="008762F0">
        <w:t>2 is not binding in Part 7</w:t>
      </w:r>
      <w:r w:rsidR="00C24773">
        <w:t xml:space="preserve"> proceedings</w:t>
      </w:r>
      <w:r w:rsidR="009E27DD" w:rsidRPr="008762F0">
        <w:t>.</w:t>
      </w:r>
      <w:r w:rsidR="007E5165" w:rsidRPr="008762F0">
        <w:t xml:space="preserve">  </w:t>
      </w:r>
      <w:r w:rsidR="00E46C92" w:rsidRPr="008762F0">
        <w:t xml:space="preserve">Therefore, where the Defendant fails to deal with a Stage 2 offer that cannot be intended that the Claimant loses the ability to subsequently bring in Vehicle Related Damages simply because of the Defendant’s default.  </w:t>
      </w:r>
    </w:p>
    <w:p w14:paraId="515B3711" w14:textId="77777777" w:rsidR="00E46C92" w:rsidRPr="008762F0" w:rsidRDefault="00E46C92" w:rsidP="00A41F81">
      <w:pPr>
        <w:pStyle w:val="ListParagraph"/>
        <w:spacing w:line="360" w:lineRule="auto"/>
        <w:jc w:val="both"/>
      </w:pPr>
    </w:p>
    <w:p w14:paraId="184CB227" w14:textId="260F5AB7" w:rsidR="00E46C92" w:rsidRPr="008762F0" w:rsidRDefault="00E46C92" w:rsidP="000C4A31">
      <w:pPr>
        <w:pStyle w:val="ListParagraph"/>
        <w:numPr>
          <w:ilvl w:val="0"/>
          <w:numId w:val="1"/>
        </w:numPr>
        <w:spacing w:line="360" w:lineRule="auto"/>
        <w:ind w:left="360"/>
        <w:jc w:val="both"/>
      </w:pPr>
      <w:r w:rsidRPr="008762F0">
        <w:t>It was argued in the alternative</w:t>
      </w:r>
      <w:r w:rsidR="00BA2156" w:rsidRPr="008762F0">
        <w:t xml:space="preserve"> that partial settlement could be </w:t>
      </w:r>
      <w:r w:rsidR="00BA2156" w:rsidRPr="000C4A31">
        <w:rPr>
          <w:i/>
          <w:iCs/>
        </w:rPr>
        <w:t>Henderson v Henderson</w:t>
      </w:r>
      <w:r w:rsidR="00BA2156" w:rsidRPr="008762F0">
        <w:t xml:space="preserve"> – but what we need is certainty.  Although there is a </w:t>
      </w:r>
      <w:r w:rsidR="00657CB7" w:rsidRPr="008762F0">
        <w:t>g</w:t>
      </w:r>
      <w:r w:rsidR="00BA2156" w:rsidRPr="008762F0">
        <w:t xml:space="preserve">ap </w:t>
      </w:r>
      <w:r w:rsidR="00657CB7" w:rsidRPr="008762F0">
        <w:t xml:space="preserve">– </w:t>
      </w:r>
      <w:r w:rsidR="00BA2156" w:rsidRPr="008762F0">
        <w:t>if</w:t>
      </w:r>
      <w:r w:rsidR="00657CB7" w:rsidRPr="008762F0">
        <w:t xml:space="preserve"> </w:t>
      </w:r>
      <w:r w:rsidR="00BA2156" w:rsidRPr="008762F0">
        <w:t xml:space="preserve">a Stage 2 offer </w:t>
      </w:r>
      <w:r w:rsidR="00657CB7" w:rsidRPr="008762F0">
        <w:t>is made an</w:t>
      </w:r>
      <w:r w:rsidR="00AD703F">
        <w:t xml:space="preserve">d a </w:t>
      </w:r>
      <w:r w:rsidR="00657CB7" w:rsidRPr="008762F0">
        <w:t>cl</w:t>
      </w:r>
      <w:r w:rsidR="00AD703F">
        <w:t>a</w:t>
      </w:r>
      <w:r w:rsidR="00657CB7" w:rsidRPr="008762F0">
        <w:t>im falls out and so is at an end</w:t>
      </w:r>
      <w:r w:rsidR="00BA2156" w:rsidRPr="008762F0">
        <w:t>.</w:t>
      </w:r>
      <w:r w:rsidR="00657CB7" w:rsidRPr="008762F0">
        <w:t xml:space="preserve">  The</w:t>
      </w:r>
      <w:r w:rsidR="00BA2156" w:rsidRPr="008762F0">
        <w:t xml:space="preserve"> Portal </w:t>
      </w:r>
      <w:r w:rsidR="00657CB7" w:rsidRPr="008762F0">
        <w:t xml:space="preserve">is </w:t>
      </w:r>
      <w:r w:rsidR="00BA2156" w:rsidRPr="008762F0">
        <w:t xml:space="preserve">not clear when </w:t>
      </w:r>
      <w:r w:rsidR="00657CB7" w:rsidRPr="008762F0">
        <w:t xml:space="preserve">a claim </w:t>
      </w:r>
      <w:r w:rsidR="00BA2156" w:rsidRPr="008762F0">
        <w:t xml:space="preserve">falls out when leave the Portal, otherwise a Defendant could accept </w:t>
      </w:r>
      <w:r w:rsidR="00AD703F">
        <w:t>an</w:t>
      </w:r>
      <w:r w:rsidR="00BA2156" w:rsidRPr="008762F0">
        <w:t xml:space="preserve"> original</w:t>
      </w:r>
      <w:r w:rsidR="00657CB7" w:rsidRPr="008762F0">
        <w:t xml:space="preserve"> offer.</w:t>
      </w:r>
    </w:p>
    <w:p w14:paraId="0A50E7F1" w14:textId="77777777" w:rsidR="00657CB7" w:rsidRPr="008762F0" w:rsidRDefault="00657CB7" w:rsidP="00A41F81">
      <w:pPr>
        <w:pStyle w:val="ListParagraph"/>
        <w:spacing w:line="360" w:lineRule="auto"/>
        <w:jc w:val="both"/>
      </w:pPr>
    </w:p>
    <w:p w14:paraId="206CD5C0" w14:textId="0B6311C3" w:rsidR="00657CB7" w:rsidRPr="008762F0" w:rsidRDefault="00657CB7" w:rsidP="000C4A31">
      <w:pPr>
        <w:pStyle w:val="ListParagraph"/>
        <w:numPr>
          <w:ilvl w:val="0"/>
          <w:numId w:val="1"/>
        </w:numPr>
        <w:spacing w:line="360" w:lineRule="auto"/>
        <w:ind w:left="360"/>
        <w:jc w:val="both"/>
      </w:pPr>
      <w:r w:rsidRPr="008762F0">
        <w:t>I have been asked to elaborate on whether this applies also to the EL/PL Protocol, but the only case I’ve been asked to deal with today is on the RTA Protocol.  That is the issue I’ve been asked to rule on today.</w:t>
      </w:r>
    </w:p>
    <w:sectPr w:rsidR="00657CB7" w:rsidRPr="00876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1ED6"/>
    <w:multiLevelType w:val="hybridMultilevel"/>
    <w:tmpl w:val="907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A156C7"/>
    <w:multiLevelType w:val="hybridMultilevel"/>
    <w:tmpl w:val="A5D0C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2F0406"/>
    <w:multiLevelType w:val="hybridMultilevel"/>
    <w:tmpl w:val="BE56A3C8"/>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03"/>
    <w:rsid w:val="00030BF6"/>
    <w:rsid w:val="000373C3"/>
    <w:rsid w:val="00065B97"/>
    <w:rsid w:val="000C4A31"/>
    <w:rsid w:val="000E2ECA"/>
    <w:rsid w:val="0010382F"/>
    <w:rsid w:val="00113908"/>
    <w:rsid w:val="00124C75"/>
    <w:rsid w:val="00136A89"/>
    <w:rsid w:val="00164A0C"/>
    <w:rsid w:val="001B2F72"/>
    <w:rsid w:val="002B6257"/>
    <w:rsid w:val="002D0814"/>
    <w:rsid w:val="002F1F08"/>
    <w:rsid w:val="00367003"/>
    <w:rsid w:val="003B7591"/>
    <w:rsid w:val="00457106"/>
    <w:rsid w:val="004624AA"/>
    <w:rsid w:val="00472AA1"/>
    <w:rsid w:val="004804AD"/>
    <w:rsid w:val="004A0B1D"/>
    <w:rsid w:val="004B2C80"/>
    <w:rsid w:val="005179E5"/>
    <w:rsid w:val="00536F2F"/>
    <w:rsid w:val="00657CB7"/>
    <w:rsid w:val="00676010"/>
    <w:rsid w:val="006817E9"/>
    <w:rsid w:val="00751777"/>
    <w:rsid w:val="00771512"/>
    <w:rsid w:val="00774B10"/>
    <w:rsid w:val="007E5165"/>
    <w:rsid w:val="007F3737"/>
    <w:rsid w:val="00861D3E"/>
    <w:rsid w:val="008762F0"/>
    <w:rsid w:val="0090632A"/>
    <w:rsid w:val="0094393F"/>
    <w:rsid w:val="00973686"/>
    <w:rsid w:val="00977338"/>
    <w:rsid w:val="00985740"/>
    <w:rsid w:val="009B5644"/>
    <w:rsid w:val="009E27DD"/>
    <w:rsid w:val="009F3C22"/>
    <w:rsid w:val="00A41F81"/>
    <w:rsid w:val="00A97B1E"/>
    <w:rsid w:val="00AD703F"/>
    <w:rsid w:val="00B33403"/>
    <w:rsid w:val="00B5116D"/>
    <w:rsid w:val="00B60493"/>
    <w:rsid w:val="00BA2156"/>
    <w:rsid w:val="00BC2965"/>
    <w:rsid w:val="00C15131"/>
    <w:rsid w:val="00C24773"/>
    <w:rsid w:val="00C96EE6"/>
    <w:rsid w:val="00CE13F3"/>
    <w:rsid w:val="00D13F54"/>
    <w:rsid w:val="00D27C41"/>
    <w:rsid w:val="00D85425"/>
    <w:rsid w:val="00DA7939"/>
    <w:rsid w:val="00DB00AB"/>
    <w:rsid w:val="00DD16BF"/>
    <w:rsid w:val="00E46C92"/>
    <w:rsid w:val="00E93A22"/>
    <w:rsid w:val="00EC1317"/>
    <w:rsid w:val="00F02F1A"/>
    <w:rsid w:val="00F057B4"/>
    <w:rsid w:val="00F65662"/>
    <w:rsid w:val="00FB3488"/>
    <w:rsid w:val="00FB39B4"/>
    <w:rsid w:val="00FB5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78DD"/>
  <w15:chartTrackingRefBased/>
  <w15:docId w15:val="{88A71E9F-ED95-47C7-9FFA-E59FEDB3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12121"/>
        <w:sz w:val="24"/>
        <w:szCs w:val="24"/>
        <w:lang w:val="en-GB" w:eastAsia="en-US" w:bidi="ar-SA"/>
      </w:rPr>
    </w:rPrDefault>
    <w:pPrDefault>
      <w:pPr>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003"/>
    <w:pPr>
      <w:ind w:left="0"/>
      <w:jc w:val="left"/>
    </w:pPr>
    <w:rPr>
      <w:rFonts w:eastAsia="Times New Roman"/>
      <w:color w:val="auto"/>
    </w:rPr>
  </w:style>
  <w:style w:type="paragraph" w:styleId="Heading1">
    <w:name w:val="heading 1"/>
    <w:basedOn w:val="Normal"/>
    <w:next w:val="Normal"/>
    <w:link w:val="Heading1Char"/>
    <w:uiPriority w:val="9"/>
    <w:qFormat/>
    <w:rsid w:val="004B2C8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t">
    <w:name w:val="hit"/>
    <w:basedOn w:val="DefaultParagraphFont"/>
    <w:rsid w:val="004B2C80"/>
  </w:style>
  <w:style w:type="character" w:customStyle="1" w:styleId="label">
    <w:name w:val="label"/>
    <w:basedOn w:val="DefaultParagraphFont"/>
    <w:rsid w:val="004B2C80"/>
  </w:style>
  <w:style w:type="character" w:customStyle="1" w:styleId="caps">
    <w:name w:val="caps"/>
    <w:basedOn w:val="DefaultParagraphFont"/>
    <w:rsid w:val="004B2C80"/>
  </w:style>
  <w:style w:type="character" w:customStyle="1" w:styleId="boldtext">
    <w:name w:val="boldtext"/>
    <w:basedOn w:val="DefaultParagraphFont"/>
    <w:rsid w:val="004B2C80"/>
  </w:style>
  <w:style w:type="paragraph" w:styleId="Header">
    <w:name w:val="header"/>
    <w:basedOn w:val="Normal"/>
    <w:link w:val="HeaderChar"/>
    <w:uiPriority w:val="99"/>
    <w:unhideWhenUsed/>
    <w:rsid w:val="004B2C80"/>
    <w:pPr>
      <w:tabs>
        <w:tab w:val="center" w:pos="4513"/>
        <w:tab w:val="right" w:pos="9026"/>
      </w:tabs>
    </w:pPr>
    <w:rPr>
      <w:lang w:val="en-US"/>
    </w:rPr>
  </w:style>
  <w:style w:type="character" w:customStyle="1" w:styleId="HeaderChar">
    <w:name w:val="Header Char"/>
    <w:basedOn w:val="DefaultParagraphFont"/>
    <w:link w:val="Header"/>
    <w:uiPriority w:val="99"/>
    <w:rsid w:val="004B2C80"/>
    <w:rPr>
      <w:rFonts w:eastAsia="Times New Roman"/>
      <w:lang w:val="en-US"/>
    </w:rPr>
  </w:style>
  <w:style w:type="paragraph" w:styleId="Footer">
    <w:name w:val="footer"/>
    <w:basedOn w:val="Normal"/>
    <w:link w:val="FooterChar"/>
    <w:uiPriority w:val="99"/>
    <w:unhideWhenUsed/>
    <w:rsid w:val="004B2C80"/>
    <w:pPr>
      <w:tabs>
        <w:tab w:val="center" w:pos="4513"/>
        <w:tab w:val="right" w:pos="9026"/>
      </w:tabs>
    </w:pPr>
    <w:rPr>
      <w:lang w:val="en-US"/>
    </w:rPr>
  </w:style>
  <w:style w:type="character" w:customStyle="1" w:styleId="FooterChar">
    <w:name w:val="Footer Char"/>
    <w:basedOn w:val="DefaultParagraphFont"/>
    <w:link w:val="Footer"/>
    <w:uiPriority w:val="99"/>
    <w:rsid w:val="004B2C80"/>
    <w:rPr>
      <w:rFonts w:eastAsia="Times New Roman"/>
      <w:lang w:val="en-US"/>
    </w:rPr>
  </w:style>
  <w:style w:type="character" w:styleId="Hyperlink">
    <w:name w:val="Hyperlink"/>
    <w:basedOn w:val="DefaultParagraphFont"/>
    <w:uiPriority w:val="99"/>
    <w:unhideWhenUsed/>
    <w:rsid w:val="004B2C80"/>
    <w:rPr>
      <w:color w:val="0000FF"/>
      <w:u w:val="single"/>
    </w:rPr>
  </w:style>
  <w:style w:type="character" w:styleId="Emphasis">
    <w:name w:val="Emphasis"/>
    <w:basedOn w:val="DefaultParagraphFont"/>
    <w:uiPriority w:val="20"/>
    <w:qFormat/>
    <w:rsid w:val="004B2C80"/>
    <w:rPr>
      <w:i/>
      <w:iCs/>
    </w:rPr>
  </w:style>
  <w:style w:type="paragraph" w:styleId="NormalWeb">
    <w:name w:val="Normal (Web)"/>
    <w:basedOn w:val="Normal"/>
    <w:uiPriority w:val="99"/>
    <w:unhideWhenUsed/>
    <w:rsid w:val="004B2C80"/>
    <w:pPr>
      <w:spacing w:before="100" w:beforeAutospacing="1" w:after="100" w:afterAutospacing="1"/>
    </w:pPr>
    <w:rPr>
      <w:lang w:eastAsia="en-GB"/>
    </w:rPr>
  </w:style>
  <w:style w:type="paragraph" w:styleId="ListParagraph">
    <w:name w:val="List Paragraph"/>
    <w:basedOn w:val="Normal"/>
    <w:link w:val="ListParagraphChar"/>
    <w:uiPriority w:val="34"/>
    <w:qFormat/>
    <w:rsid w:val="004B2C80"/>
    <w:pPr>
      <w:ind w:left="720"/>
      <w:contextualSpacing/>
    </w:pPr>
  </w:style>
  <w:style w:type="table" w:customStyle="1" w:styleId="TableGrid2">
    <w:name w:val="Table Grid2"/>
    <w:basedOn w:val="TableNormal"/>
    <w:next w:val="TableGrid"/>
    <w:uiPriority w:val="59"/>
    <w:rsid w:val="004B2C80"/>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B2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uiPriority w:val="99"/>
    <w:rsid w:val="004B2C80"/>
    <w:rPr>
      <w:rFonts w:cs="Times New Roman"/>
    </w:rPr>
  </w:style>
  <w:style w:type="paragraph" w:customStyle="1" w:styleId="BodyA">
    <w:name w:val="Body A"/>
    <w:uiPriority w:val="99"/>
    <w:rsid w:val="004B2C80"/>
    <w:pPr>
      <w:pBdr>
        <w:top w:val="none" w:sz="96" w:space="31" w:color="FFFFFF" w:frame="1"/>
        <w:left w:val="none" w:sz="96" w:space="31" w:color="FFFFFF" w:frame="1"/>
        <w:bottom w:val="none" w:sz="96" w:space="31" w:color="FFFFFF" w:frame="1"/>
        <w:right w:val="none" w:sz="96" w:space="31" w:color="FFFFFF" w:frame="1"/>
        <w:bar w:val="none" w:sz="0" w:color="000000"/>
      </w:pBdr>
      <w:ind w:left="0"/>
      <w:jc w:val="left"/>
    </w:pPr>
    <w:rPr>
      <w:rFonts w:eastAsia="Arial Unicode MS" w:hAnsi="Arial Unicode MS" w:cs="Arial Unicode MS"/>
      <w:color w:val="000000"/>
      <w:u w:color="000000"/>
      <w:lang w:val="en-US" w:eastAsia="en-GB"/>
    </w:rPr>
  </w:style>
  <w:style w:type="character" w:customStyle="1" w:styleId="Heading1Char">
    <w:name w:val="Heading 1 Char"/>
    <w:basedOn w:val="DefaultParagraphFont"/>
    <w:link w:val="Heading1"/>
    <w:uiPriority w:val="9"/>
    <w:rsid w:val="004B2C8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4B2C80"/>
    <w:rPr>
      <w:sz w:val="20"/>
      <w:szCs w:val="20"/>
    </w:rPr>
  </w:style>
  <w:style w:type="character" w:customStyle="1" w:styleId="FootnoteTextChar">
    <w:name w:val="Footnote Text Char"/>
    <w:basedOn w:val="DefaultParagraphFont"/>
    <w:link w:val="FootnoteText"/>
    <w:uiPriority w:val="99"/>
    <w:semiHidden/>
    <w:rsid w:val="004B2C80"/>
    <w:rPr>
      <w:rFonts w:eastAsia="Times New Roman"/>
      <w:sz w:val="20"/>
      <w:szCs w:val="20"/>
    </w:rPr>
  </w:style>
  <w:style w:type="character" w:styleId="FootnoteReference">
    <w:name w:val="footnote reference"/>
    <w:basedOn w:val="DefaultParagraphFont"/>
    <w:uiPriority w:val="99"/>
    <w:semiHidden/>
    <w:unhideWhenUsed/>
    <w:rsid w:val="004B2C80"/>
    <w:rPr>
      <w:vertAlign w:val="superscript"/>
    </w:rPr>
  </w:style>
  <w:style w:type="character" w:styleId="Strong">
    <w:name w:val="Strong"/>
    <w:basedOn w:val="DefaultParagraphFont"/>
    <w:uiPriority w:val="22"/>
    <w:qFormat/>
    <w:rsid w:val="004B2C80"/>
    <w:rPr>
      <w:b/>
      <w:bCs/>
    </w:rPr>
  </w:style>
  <w:style w:type="character" w:customStyle="1" w:styleId="ListParagraphChar">
    <w:name w:val="List Paragraph Char"/>
    <w:link w:val="ListParagraph"/>
    <w:uiPriority w:val="34"/>
    <w:rsid w:val="004B2C80"/>
    <w:rPr>
      <w:rFonts w:eastAsia="Times New Roman"/>
    </w:rPr>
  </w:style>
  <w:style w:type="table" w:customStyle="1" w:styleId="TableGrid1">
    <w:name w:val="Table Grid1"/>
    <w:basedOn w:val="TableNormal"/>
    <w:uiPriority w:val="59"/>
    <w:rsid w:val="004B2C80"/>
    <w:pPr>
      <w:ind w:left="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se-ref">
    <w:name w:val="case-ref"/>
    <w:basedOn w:val="Normal"/>
    <w:rsid w:val="004B2C80"/>
    <w:pPr>
      <w:spacing w:before="100" w:beforeAutospacing="1" w:after="100" w:afterAutospacing="1"/>
    </w:pPr>
    <w:rPr>
      <w:lang w:eastAsia="en-GB"/>
    </w:rPr>
  </w:style>
  <w:style w:type="character" w:customStyle="1" w:styleId="pubref">
    <w:name w:val="pubref"/>
    <w:basedOn w:val="DefaultParagraphFont"/>
    <w:rsid w:val="004B2C80"/>
  </w:style>
  <w:style w:type="character" w:customStyle="1" w:styleId="court">
    <w:name w:val="court"/>
    <w:basedOn w:val="DefaultParagraphFont"/>
    <w:rsid w:val="004B2C80"/>
  </w:style>
  <w:style w:type="character" w:customStyle="1" w:styleId="font-style-bold">
    <w:name w:val="font-style-bold"/>
    <w:basedOn w:val="DefaultParagraphFont"/>
    <w:rsid w:val="007E5165"/>
  </w:style>
  <w:style w:type="character" w:customStyle="1" w:styleId="c2002a">
    <w:name w:val="c2002a"/>
    <w:basedOn w:val="DefaultParagraphFont"/>
    <w:rsid w:val="007E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895">
      <w:bodyDiv w:val="1"/>
      <w:marLeft w:val="0"/>
      <w:marRight w:val="0"/>
      <w:marTop w:val="0"/>
      <w:marBottom w:val="0"/>
      <w:divBdr>
        <w:top w:val="none" w:sz="0" w:space="0" w:color="auto"/>
        <w:left w:val="none" w:sz="0" w:space="0" w:color="auto"/>
        <w:bottom w:val="none" w:sz="0" w:space="0" w:color="auto"/>
        <w:right w:val="none" w:sz="0" w:space="0" w:color="auto"/>
      </w:divBdr>
      <w:divsChild>
        <w:div w:id="647561266">
          <w:marLeft w:val="0"/>
          <w:marRight w:val="0"/>
          <w:marTop w:val="168"/>
          <w:marBottom w:val="0"/>
          <w:divBdr>
            <w:top w:val="none" w:sz="0" w:space="0" w:color="auto"/>
            <w:left w:val="none" w:sz="0" w:space="0" w:color="auto"/>
            <w:bottom w:val="none" w:sz="0" w:space="0" w:color="auto"/>
            <w:right w:val="none" w:sz="0" w:space="0" w:color="auto"/>
          </w:divBdr>
        </w:div>
        <w:div w:id="696853193">
          <w:marLeft w:val="360"/>
          <w:marRight w:val="0"/>
          <w:marTop w:val="0"/>
          <w:marBottom w:val="0"/>
          <w:divBdr>
            <w:top w:val="none" w:sz="0" w:space="0" w:color="auto"/>
            <w:left w:val="none" w:sz="0" w:space="0" w:color="auto"/>
            <w:bottom w:val="none" w:sz="0" w:space="0" w:color="auto"/>
            <w:right w:val="none" w:sz="0" w:space="0" w:color="auto"/>
          </w:divBdr>
          <w:divsChild>
            <w:div w:id="78449930">
              <w:marLeft w:val="552"/>
              <w:marRight w:val="0"/>
              <w:marTop w:val="0"/>
              <w:marBottom w:val="0"/>
              <w:divBdr>
                <w:top w:val="none" w:sz="0" w:space="0" w:color="auto"/>
                <w:left w:val="none" w:sz="0" w:space="0" w:color="auto"/>
                <w:bottom w:val="none" w:sz="0" w:space="0" w:color="auto"/>
                <w:right w:val="none" w:sz="0" w:space="0" w:color="auto"/>
              </w:divBdr>
            </w:div>
            <w:div w:id="921371996">
              <w:marLeft w:val="552"/>
              <w:marRight w:val="0"/>
              <w:marTop w:val="0"/>
              <w:marBottom w:val="0"/>
              <w:divBdr>
                <w:top w:val="none" w:sz="0" w:space="0" w:color="auto"/>
                <w:left w:val="none" w:sz="0" w:space="0" w:color="auto"/>
                <w:bottom w:val="none" w:sz="0" w:space="0" w:color="auto"/>
                <w:right w:val="none" w:sz="0" w:space="0" w:color="auto"/>
              </w:divBdr>
            </w:div>
            <w:div w:id="1601064202">
              <w:marLeft w:val="600"/>
              <w:marRight w:val="0"/>
              <w:marTop w:val="0"/>
              <w:marBottom w:val="0"/>
              <w:divBdr>
                <w:top w:val="none" w:sz="0" w:space="0" w:color="auto"/>
                <w:left w:val="none" w:sz="0" w:space="0" w:color="auto"/>
                <w:bottom w:val="none" w:sz="0" w:space="0" w:color="auto"/>
                <w:right w:val="none" w:sz="0" w:space="0" w:color="auto"/>
              </w:divBdr>
              <w:divsChild>
                <w:div w:id="405684896">
                  <w:marLeft w:val="552"/>
                  <w:marRight w:val="0"/>
                  <w:marTop w:val="0"/>
                  <w:marBottom w:val="0"/>
                  <w:divBdr>
                    <w:top w:val="none" w:sz="0" w:space="0" w:color="auto"/>
                    <w:left w:val="none" w:sz="0" w:space="0" w:color="auto"/>
                    <w:bottom w:val="none" w:sz="0" w:space="0" w:color="auto"/>
                    <w:right w:val="none" w:sz="0" w:space="0" w:color="auto"/>
                  </w:divBdr>
                </w:div>
                <w:div w:id="568617550">
                  <w:marLeft w:val="55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9995">
      <w:bodyDiv w:val="1"/>
      <w:marLeft w:val="0"/>
      <w:marRight w:val="0"/>
      <w:marTop w:val="0"/>
      <w:marBottom w:val="0"/>
      <w:divBdr>
        <w:top w:val="none" w:sz="0" w:space="0" w:color="auto"/>
        <w:left w:val="none" w:sz="0" w:space="0" w:color="auto"/>
        <w:bottom w:val="none" w:sz="0" w:space="0" w:color="auto"/>
        <w:right w:val="none" w:sz="0" w:space="0" w:color="auto"/>
      </w:divBdr>
      <w:divsChild>
        <w:div w:id="1858956057">
          <w:marLeft w:val="0"/>
          <w:marRight w:val="0"/>
          <w:marTop w:val="240"/>
          <w:marBottom w:val="0"/>
          <w:divBdr>
            <w:top w:val="none" w:sz="0" w:space="0" w:color="auto"/>
            <w:left w:val="none" w:sz="0" w:space="0" w:color="auto"/>
            <w:bottom w:val="none" w:sz="0" w:space="0" w:color="auto"/>
            <w:right w:val="none" w:sz="0" w:space="0" w:color="auto"/>
          </w:divBdr>
        </w:div>
        <w:div w:id="166098075">
          <w:marLeft w:val="360"/>
          <w:marRight w:val="0"/>
          <w:marTop w:val="0"/>
          <w:marBottom w:val="0"/>
          <w:divBdr>
            <w:top w:val="none" w:sz="0" w:space="0" w:color="auto"/>
            <w:left w:val="none" w:sz="0" w:space="0" w:color="auto"/>
            <w:bottom w:val="none" w:sz="0" w:space="0" w:color="auto"/>
            <w:right w:val="none" w:sz="0" w:space="0" w:color="auto"/>
          </w:divBdr>
          <w:divsChild>
            <w:div w:id="1457605436">
              <w:marLeft w:val="552"/>
              <w:marRight w:val="0"/>
              <w:marTop w:val="0"/>
              <w:marBottom w:val="0"/>
              <w:divBdr>
                <w:top w:val="none" w:sz="0" w:space="0" w:color="auto"/>
                <w:left w:val="none" w:sz="0" w:space="0" w:color="auto"/>
                <w:bottom w:val="none" w:sz="0" w:space="0" w:color="auto"/>
                <w:right w:val="none" w:sz="0" w:space="0" w:color="auto"/>
              </w:divBdr>
            </w:div>
            <w:div w:id="1331760401">
              <w:marLeft w:val="552"/>
              <w:marRight w:val="0"/>
              <w:marTop w:val="0"/>
              <w:marBottom w:val="0"/>
              <w:divBdr>
                <w:top w:val="none" w:sz="0" w:space="0" w:color="auto"/>
                <w:left w:val="none" w:sz="0" w:space="0" w:color="auto"/>
                <w:bottom w:val="none" w:sz="0" w:space="0" w:color="auto"/>
                <w:right w:val="none" w:sz="0" w:space="0" w:color="auto"/>
              </w:divBdr>
            </w:div>
            <w:div w:id="1309478913">
              <w:marLeft w:val="55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Robson</dc:creator>
  <cp:keywords/>
  <dc:description/>
  <cp:lastModifiedBy>Parents Robson</cp:lastModifiedBy>
  <cp:revision>3</cp:revision>
  <dcterms:created xsi:type="dcterms:W3CDTF">2021-04-30T13:01:00Z</dcterms:created>
  <dcterms:modified xsi:type="dcterms:W3CDTF">2021-04-30T14:05:00Z</dcterms:modified>
</cp:coreProperties>
</file>