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5B3" w:rsidRDefault="005464FC">
      <w:pPr>
        <w:spacing w:after="0" w:line="259" w:lineRule="auto"/>
        <w:ind w:left="245" w:firstLine="0"/>
      </w:pPr>
      <w:proofErr w:type="spellStart"/>
      <w:r>
        <w:rPr>
          <w:rFonts w:ascii="Arial" w:eastAsia="Arial" w:hAnsi="Arial" w:cs="Arial"/>
          <w:b/>
          <w:sz w:val="45"/>
        </w:rPr>
        <w:t>Te</w:t>
      </w:r>
      <w:proofErr w:type="spellEnd"/>
      <w:r>
        <w:rPr>
          <w:rFonts w:ascii="Arial" w:eastAsia="Arial" w:hAnsi="Arial" w:cs="Arial"/>
          <w:b/>
          <w:sz w:val="45"/>
        </w:rPr>
        <w:t xml:space="preserve"> Aroha Dirt Kart Club Engine Rules </w:t>
      </w:r>
    </w:p>
    <w:p w:rsidR="004415B3" w:rsidRDefault="005464FC">
      <w:pPr>
        <w:spacing w:after="195" w:line="259" w:lineRule="auto"/>
        <w:ind w:left="60" w:firstLine="0"/>
        <w:jc w:val="center"/>
      </w:pPr>
      <w:r>
        <w:rPr>
          <w:noProof/>
        </w:rPr>
        <w:drawing>
          <wp:inline distT="0" distB="0" distL="0" distR="0">
            <wp:extent cx="848868" cy="650748"/>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848868" cy="650748"/>
                    </a:xfrm>
                    <a:prstGeom prst="rect">
                      <a:avLst/>
                    </a:prstGeom>
                  </pic:spPr>
                </pic:pic>
              </a:graphicData>
            </a:graphic>
          </wp:inline>
        </w:drawing>
      </w:r>
      <w:r>
        <w:t xml:space="preserve"> </w:t>
      </w:r>
    </w:p>
    <w:p w:rsidR="004415B3" w:rsidRDefault="005464FC">
      <w:pPr>
        <w:spacing w:after="243" w:line="259" w:lineRule="auto"/>
        <w:ind w:left="16" w:firstLine="0"/>
        <w:jc w:val="center"/>
      </w:pPr>
      <w:r>
        <w:rPr>
          <w:rFonts w:ascii="Arial" w:eastAsia="Arial" w:hAnsi="Arial" w:cs="Arial"/>
          <w:sz w:val="26"/>
        </w:rPr>
        <w:t>2015 – 2016 Season</w:t>
      </w:r>
      <w:r>
        <w:rPr>
          <w:rFonts w:ascii="Arial" w:eastAsia="Arial" w:hAnsi="Arial" w:cs="Arial"/>
        </w:rPr>
        <w:t xml:space="preserve"> </w:t>
      </w:r>
    </w:p>
    <w:p w:rsidR="004415B3" w:rsidRDefault="005464FC">
      <w:pPr>
        <w:spacing w:after="201" w:line="259" w:lineRule="auto"/>
        <w:ind w:left="0" w:firstLine="0"/>
      </w:pPr>
      <w:r>
        <w:rPr>
          <w:rFonts w:ascii="Arial" w:eastAsia="Arial" w:hAnsi="Arial" w:cs="Arial"/>
          <w:b/>
          <w:sz w:val="30"/>
        </w:rPr>
        <w:t xml:space="preserve">Yamaha JR (restricted) Engine Rules </w:t>
      </w:r>
    </w:p>
    <w:sdt>
      <w:sdtPr>
        <w:id w:val="-1698611092"/>
        <w:docPartObj>
          <w:docPartGallery w:val="Table of Contents"/>
        </w:docPartObj>
      </w:sdtPr>
      <w:sdtEndPr/>
      <w:sdtContent>
        <w:p w:rsidR="004415B3" w:rsidRDefault="005464FC">
          <w:pPr>
            <w:pStyle w:val="TOC1"/>
            <w:tabs>
              <w:tab w:val="right" w:leader="dot" w:pos="8471"/>
            </w:tabs>
          </w:pPr>
          <w:r>
            <w:fldChar w:fldCharType="begin"/>
          </w:r>
          <w:r>
            <w:instrText xml:space="preserve"> TOC \o "1-2" \h \z \u </w:instrText>
          </w:r>
          <w:r>
            <w:fldChar w:fldCharType="separate"/>
          </w:r>
          <w:hyperlink w:anchor="_Toc3133">
            <w:r>
              <w:t>Cover Note</w:t>
            </w:r>
            <w:r>
              <w:tab/>
            </w:r>
            <w:r>
              <w:fldChar w:fldCharType="begin"/>
            </w:r>
            <w:r>
              <w:instrText>PAGEREF _Toc3133 \h</w:instrText>
            </w:r>
            <w:r>
              <w:fldChar w:fldCharType="separate"/>
            </w:r>
            <w:r>
              <w:t xml:space="preserve">2 </w:t>
            </w:r>
            <w:r>
              <w:fldChar w:fldCharType="end"/>
            </w:r>
          </w:hyperlink>
        </w:p>
        <w:p w:rsidR="004415B3" w:rsidRDefault="005464FC">
          <w:pPr>
            <w:pStyle w:val="TOC1"/>
            <w:tabs>
              <w:tab w:val="right" w:leader="dot" w:pos="8471"/>
            </w:tabs>
          </w:pPr>
          <w:hyperlink w:anchor="_Toc3134">
            <w:r>
              <w:t>Rule Note</w:t>
            </w:r>
            <w:r>
              <w:tab/>
            </w:r>
            <w:r>
              <w:fldChar w:fldCharType="begin"/>
            </w:r>
            <w:r>
              <w:instrText>PAGEREF _Toc3134 \h</w:instrText>
            </w:r>
            <w:r>
              <w:fldChar w:fldCharType="separate"/>
            </w:r>
            <w:r>
              <w:t xml:space="preserve">2 </w:t>
            </w:r>
            <w:r>
              <w:fldChar w:fldCharType="end"/>
            </w:r>
          </w:hyperlink>
        </w:p>
        <w:p w:rsidR="004415B3" w:rsidRDefault="005464FC">
          <w:pPr>
            <w:pStyle w:val="TOC1"/>
            <w:tabs>
              <w:tab w:val="right" w:leader="dot" w:pos="8471"/>
            </w:tabs>
          </w:pPr>
          <w:hyperlink w:anchor="_Toc3135">
            <w:r>
              <w:t>Specifications</w:t>
            </w:r>
            <w:r>
              <w:tab/>
            </w:r>
            <w:r>
              <w:fldChar w:fldCharType="begin"/>
            </w:r>
            <w:r>
              <w:instrText>PAGEREF _Toc3135 \h</w:instrText>
            </w:r>
            <w:r>
              <w:fldChar w:fldCharType="separate"/>
            </w:r>
            <w:r>
              <w:t xml:space="preserve">2 </w:t>
            </w:r>
            <w:r>
              <w:fldChar w:fldCharType="end"/>
            </w:r>
          </w:hyperlink>
        </w:p>
        <w:p w:rsidR="004415B3" w:rsidRDefault="005464FC">
          <w:pPr>
            <w:pStyle w:val="TOC1"/>
            <w:tabs>
              <w:tab w:val="right" w:leader="dot" w:pos="8471"/>
            </w:tabs>
          </w:pPr>
          <w:hyperlink w:anchor="_Toc3136">
            <w:r>
              <w:t>Legal Additions</w:t>
            </w:r>
            <w:r>
              <w:tab/>
            </w:r>
            <w:r>
              <w:fldChar w:fldCharType="begin"/>
            </w:r>
            <w:r>
              <w:instrText>PAGEREF _Toc3136 \h</w:instrText>
            </w:r>
            <w:r>
              <w:fldChar w:fldCharType="separate"/>
            </w:r>
            <w:r>
              <w:t xml:space="preserve">2 </w:t>
            </w:r>
            <w:r>
              <w:fldChar w:fldCharType="end"/>
            </w:r>
          </w:hyperlink>
        </w:p>
        <w:p w:rsidR="004415B3" w:rsidRDefault="005464FC">
          <w:pPr>
            <w:pStyle w:val="TOC1"/>
            <w:tabs>
              <w:tab w:val="right" w:leader="dot" w:pos="8471"/>
            </w:tabs>
          </w:pPr>
          <w:hyperlink w:anchor="_Toc3137">
            <w:r>
              <w:t>KT Ignition</w:t>
            </w:r>
            <w:r>
              <w:tab/>
            </w:r>
            <w:r>
              <w:fldChar w:fldCharType="begin"/>
            </w:r>
            <w:r>
              <w:instrText>PAGEREF _Toc3137 \h</w:instrText>
            </w:r>
            <w:r>
              <w:fldChar w:fldCharType="separate"/>
            </w:r>
            <w:r>
              <w:t xml:space="preserve">2 </w:t>
            </w:r>
            <w:r>
              <w:fldChar w:fldCharType="end"/>
            </w:r>
          </w:hyperlink>
        </w:p>
        <w:p w:rsidR="004415B3" w:rsidRDefault="005464FC">
          <w:pPr>
            <w:pStyle w:val="TOC2"/>
            <w:tabs>
              <w:tab w:val="right" w:leader="dot" w:pos="8471"/>
            </w:tabs>
          </w:pPr>
          <w:hyperlink w:anchor="_Toc3138">
            <w:r>
              <w:t>Alternative ignition</w:t>
            </w:r>
            <w:r>
              <w:tab/>
            </w:r>
            <w:r>
              <w:fldChar w:fldCharType="begin"/>
            </w:r>
            <w:r>
              <w:instrText>PAGEREF _Toc3138 \h</w:instrText>
            </w:r>
            <w:r>
              <w:fldChar w:fldCharType="separate"/>
            </w:r>
            <w:r>
              <w:t xml:space="preserve">2 </w:t>
            </w:r>
            <w:r>
              <w:fldChar w:fldCharType="end"/>
            </w:r>
          </w:hyperlink>
        </w:p>
        <w:p w:rsidR="004415B3" w:rsidRDefault="005464FC">
          <w:pPr>
            <w:pStyle w:val="TOC1"/>
            <w:tabs>
              <w:tab w:val="right" w:leader="dot" w:pos="8471"/>
            </w:tabs>
          </w:pPr>
          <w:hyperlink w:anchor="_Toc3139">
            <w:r>
              <w:t>Crankshaft and Conrod</w:t>
            </w:r>
            <w:r>
              <w:tab/>
            </w:r>
            <w:r>
              <w:fldChar w:fldCharType="begin"/>
            </w:r>
            <w:r>
              <w:instrText>PAGEREF _Toc3139 \h</w:instrText>
            </w:r>
            <w:r>
              <w:fldChar w:fldCharType="separate"/>
            </w:r>
            <w:r>
              <w:t xml:space="preserve">3 </w:t>
            </w:r>
            <w:r>
              <w:fldChar w:fldCharType="end"/>
            </w:r>
          </w:hyperlink>
        </w:p>
        <w:p w:rsidR="004415B3" w:rsidRDefault="005464FC">
          <w:pPr>
            <w:pStyle w:val="TOC1"/>
            <w:tabs>
              <w:tab w:val="right" w:leader="dot" w:pos="8471"/>
            </w:tabs>
          </w:pPr>
          <w:hyperlink w:anchor="_Toc3140">
            <w:r>
              <w:t>Exhaust Muffler</w:t>
            </w:r>
            <w:r>
              <w:tab/>
            </w:r>
            <w:r>
              <w:fldChar w:fldCharType="begin"/>
            </w:r>
            <w:r>
              <w:instrText>PAGEREF _To</w:instrText>
            </w:r>
            <w:r>
              <w:instrText>c3140 \h</w:instrText>
            </w:r>
            <w:r>
              <w:fldChar w:fldCharType="separate"/>
            </w:r>
            <w:r>
              <w:t xml:space="preserve">3 </w:t>
            </w:r>
            <w:r>
              <w:fldChar w:fldCharType="end"/>
            </w:r>
          </w:hyperlink>
        </w:p>
        <w:p w:rsidR="004415B3" w:rsidRDefault="005464FC">
          <w:pPr>
            <w:pStyle w:val="TOC1"/>
            <w:tabs>
              <w:tab w:val="right" w:leader="dot" w:pos="8471"/>
            </w:tabs>
          </w:pPr>
          <w:hyperlink w:anchor="_Toc3141">
            <w:r>
              <w:t>Cylinder</w:t>
            </w:r>
            <w:r>
              <w:tab/>
            </w:r>
            <w:r>
              <w:fldChar w:fldCharType="begin"/>
            </w:r>
            <w:r>
              <w:instrText>PAGEREF _Toc3141 \h</w:instrText>
            </w:r>
            <w:r>
              <w:fldChar w:fldCharType="separate"/>
            </w:r>
            <w:r>
              <w:t xml:space="preserve">3 </w:t>
            </w:r>
            <w:r>
              <w:fldChar w:fldCharType="end"/>
            </w:r>
          </w:hyperlink>
        </w:p>
        <w:p w:rsidR="004415B3" w:rsidRDefault="005464FC">
          <w:pPr>
            <w:pStyle w:val="TOC2"/>
            <w:tabs>
              <w:tab w:val="right" w:leader="dot" w:pos="8471"/>
            </w:tabs>
          </w:pPr>
          <w:hyperlink w:anchor="_Toc3142">
            <w:r>
              <w:t>Cylinder Head</w:t>
            </w:r>
            <w:r>
              <w:tab/>
            </w:r>
            <w:r>
              <w:fldChar w:fldCharType="begin"/>
            </w:r>
            <w:r>
              <w:instrText>PAGEREF _Toc3</w:instrText>
            </w:r>
            <w:r>
              <w:instrText>142 \h</w:instrText>
            </w:r>
            <w:r>
              <w:fldChar w:fldCharType="separate"/>
            </w:r>
            <w:r>
              <w:t xml:space="preserve">3 </w:t>
            </w:r>
            <w:r>
              <w:fldChar w:fldCharType="end"/>
            </w:r>
          </w:hyperlink>
        </w:p>
        <w:p w:rsidR="004415B3" w:rsidRDefault="005464FC">
          <w:pPr>
            <w:pStyle w:val="TOC2"/>
            <w:tabs>
              <w:tab w:val="right" w:leader="dot" w:pos="8471"/>
            </w:tabs>
          </w:pPr>
          <w:hyperlink w:anchor="_Toc3143">
            <w:r>
              <w:t>Head Gasket</w:t>
            </w:r>
            <w:r>
              <w:tab/>
            </w:r>
            <w:r>
              <w:fldChar w:fldCharType="begin"/>
            </w:r>
            <w:r>
              <w:instrText>PAGEREF _Toc3143 \h</w:instrText>
            </w:r>
            <w:r>
              <w:fldChar w:fldCharType="separate"/>
            </w:r>
            <w:r>
              <w:t xml:space="preserve">3 </w:t>
            </w:r>
            <w:r>
              <w:fldChar w:fldCharType="end"/>
            </w:r>
          </w:hyperlink>
        </w:p>
        <w:p w:rsidR="004415B3" w:rsidRDefault="005464FC">
          <w:pPr>
            <w:pStyle w:val="TOC2"/>
            <w:tabs>
              <w:tab w:val="right" w:leader="dot" w:pos="8471"/>
            </w:tabs>
          </w:pPr>
          <w:hyperlink w:anchor="_Toc3144">
            <w:r>
              <w:t>Inlet Tract Length</w:t>
            </w:r>
            <w:r>
              <w:tab/>
            </w:r>
            <w:r>
              <w:fldChar w:fldCharType="begin"/>
            </w:r>
            <w:r>
              <w:instrText>PAGERE</w:instrText>
            </w:r>
            <w:r>
              <w:instrText>F _Toc3144 \h</w:instrText>
            </w:r>
            <w:r>
              <w:fldChar w:fldCharType="separate"/>
            </w:r>
            <w:r>
              <w:t xml:space="preserve">4 </w:t>
            </w:r>
            <w:r>
              <w:fldChar w:fldCharType="end"/>
            </w:r>
          </w:hyperlink>
        </w:p>
        <w:p w:rsidR="004415B3" w:rsidRDefault="005464FC">
          <w:pPr>
            <w:pStyle w:val="TOC2"/>
            <w:tabs>
              <w:tab w:val="right" w:leader="dot" w:pos="8471"/>
            </w:tabs>
          </w:pPr>
          <w:hyperlink w:anchor="_Toc3145">
            <w:r>
              <w:t>Phenolic Spacer:</w:t>
            </w:r>
            <w:r>
              <w:tab/>
            </w:r>
            <w:r>
              <w:fldChar w:fldCharType="begin"/>
            </w:r>
            <w:r>
              <w:instrText>PAGEREF _Toc3145 \h</w:instrText>
            </w:r>
            <w:r>
              <w:fldChar w:fldCharType="separate"/>
            </w:r>
            <w:r>
              <w:t xml:space="preserve">4 </w:t>
            </w:r>
            <w:r>
              <w:fldChar w:fldCharType="end"/>
            </w:r>
          </w:hyperlink>
        </w:p>
        <w:p w:rsidR="004415B3" w:rsidRDefault="005464FC">
          <w:pPr>
            <w:pStyle w:val="TOC1"/>
            <w:tabs>
              <w:tab w:val="right" w:leader="dot" w:pos="8471"/>
            </w:tabs>
          </w:pPr>
          <w:hyperlink w:anchor="_Toc3146">
            <w:r>
              <w:t>Piston</w:t>
            </w:r>
            <w:r>
              <w:tab/>
            </w:r>
            <w:r>
              <w:fldChar w:fldCharType="begin"/>
            </w:r>
            <w:r>
              <w:instrText xml:space="preserve">PAGEREF </w:instrText>
            </w:r>
            <w:r>
              <w:instrText>_Toc3146 \h</w:instrText>
            </w:r>
            <w:r>
              <w:fldChar w:fldCharType="separate"/>
            </w:r>
            <w:r>
              <w:t xml:space="preserve">4 </w:t>
            </w:r>
            <w:r>
              <w:fldChar w:fldCharType="end"/>
            </w:r>
          </w:hyperlink>
        </w:p>
        <w:p w:rsidR="004415B3" w:rsidRDefault="005464FC">
          <w:pPr>
            <w:pStyle w:val="TOC1"/>
            <w:tabs>
              <w:tab w:val="right" w:leader="dot" w:pos="8471"/>
            </w:tabs>
          </w:pPr>
          <w:hyperlink w:anchor="_Toc3147">
            <w:r>
              <w:t>Carburettor:</w:t>
            </w:r>
            <w:r>
              <w:tab/>
            </w:r>
            <w:r>
              <w:fldChar w:fldCharType="begin"/>
            </w:r>
            <w:r>
              <w:instrText>PAGEREF _Toc3147 \h</w:instrText>
            </w:r>
            <w:r>
              <w:fldChar w:fldCharType="separate"/>
            </w:r>
            <w:r>
              <w:t xml:space="preserve">4 </w:t>
            </w:r>
            <w:r>
              <w:fldChar w:fldCharType="end"/>
            </w:r>
          </w:hyperlink>
        </w:p>
        <w:p w:rsidR="004415B3" w:rsidRDefault="005464FC">
          <w:pPr>
            <w:pStyle w:val="TOC1"/>
            <w:tabs>
              <w:tab w:val="right" w:leader="dot" w:pos="8471"/>
            </w:tabs>
          </w:pPr>
          <w:hyperlink w:anchor="_Toc3148">
            <w:r>
              <w:t>Inlet Silencer</w:t>
            </w:r>
            <w:r>
              <w:tab/>
            </w:r>
            <w:r>
              <w:fldChar w:fldCharType="begin"/>
            </w:r>
            <w:r>
              <w:instrText>PAGEREF _Toc3148 \h</w:instrText>
            </w:r>
            <w:r>
              <w:fldChar w:fldCharType="separate"/>
            </w:r>
            <w:r>
              <w:t xml:space="preserve">4 </w:t>
            </w:r>
            <w:r>
              <w:fldChar w:fldCharType="end"/>
            </w:r>
          </w:hyperlink>
        </w:p>
        <w:p w:rsidR="004415B3" w:rsidRDefault="005464FC">
          <w:pPr>
            <w:pStyle w:val="TOC1"/>
            <w:tabs>
              <w:tab w:val="right" w:leader="dot" w:pos="8471"/>
            </w:tabs>
          </w:pPr>
          <w:hyperlink w:anchor="_Toc3149">
            <w:r>
              <w:t>Pressured Fuel Systems</w:t>
            </w:r>
            <w:r>
              <w:tab/>
            </w:r>
            <w:r>
              <w:fldChar w:fldCharType="begin"/>
            </w:r>
            <w:r>
              <w:instrText>PAGEREF _Toc3149 \h</w:instrText>
            </w:r>
            <w:r>
              <w:fldChar w:fldCharType="separate"/>
            </w:r>
            <w:r>
              <w:t xml:space="preserve">4 </w:t>
            </w:r>
            <w:r>
              <w:fldChar w:fldCharType="end"/>
            </w:r>
          </w:hyperlink>
        </w:p>
        <w:p w:rsidR="004415B3" w:rsidRDefault="005464FC">
          <w:r>
            <w:fldChar w:fldCharType="end"/>
          </w:r>
        </w:p>
      </w:sdtContent>
    </w:sdt>
    <w:p w:rsidR="004415B3" w:rsidRDefault="005464FC">
      <w:pPr>
        <w:spacing w:after="204" w:line="259" w:lineRule="auto"/>
        <w:ind w:left="58" w:firstLine="0"/>
        <w:jc w:val="center"/>
      </w:pPr>
      <w:r>
        <w:lastRenderedPageBreak/>
        <w:t xml:space="preserve"> </w:t>
      </w:r>
    </w:p>
    <w:p w:rsidR="004415B3" w:rsidRDefault="005464FC">
      <w:pPr>
        <w:spacing w:after="204" w:line="259" w:lineRule="auto"/>
        <w:ind w:left="58" w:firstLine="0"/>
        <w:jc w:val="center"/>
      </w:pPr>
      <w:r>
        <w:t xml:space="preserve"> </w:t>
      </w:r>
    </w:p>
    <w:p w:rsidR="004415B3" w:rsidRDefault="005464FC">
      <w:pPr>
        <w:spacing w:after="204" w:line="259" w:lineRule="auto"/>
        <w:ind w:left="58" w:firstLine="0"/>
        <w:jc w:val="center"/>
      </w:pPr>
      <w:r>
        <w:t xml:space="preserve"> </w:t>
      </w:r>
    </w:p>
    <w:p w:rsidR="004415B3" w:rsidRDefault="005464FC">
      <w:pPr>
        <w:spacing w:after="0" w:line="259" w:lineRule="auto"/>
        <w:ind w:left="58" w:firstLine="0"/>
        <w:jc w:val="center"/>
      </w:pPr>
      <w:r>
        <w:t xml:space="preserve"> </w:t>
      </w:r>
    </w:p>
    <w:p w:rsidR="004415B3" w:rsidRDefault="005464FC">
      <w:pPr>
        <w:pStyle w:val="Heading1"/>
        <w:ind w:left="-5"/>
      </w:pPr>
      <w:bookmarkStart w:id="0" w:name="_Toc3133"/>
      <w:r>
        <w:t xml:space="preserve">Cover Note </w:t>
      </w:r>
      <w:bookmarkEnd w:id="0"/>
    </w:p>
    <w:p w:rsidR="004415B3" w:rsidRDefault="005464FC">
      <w:pPr>
        <w:spacing w:after="273"/>
        <w:ind w:left="10"/>
      </w:pPr>
      <w:r>
        <w:t xml:space="preserve">These rules are in conjunction with all/any other rules laid down by the TADK Club and must be read/used in conjunction with those rules. </w:t>
      </w:r>
    </w:p>
    <w:p w:rsidR="004415B3" w:rsidRDefault="005464FC">
      <w:pPr>
        <w:pStyle w:val="Heading1"/>
        <w:ind w:left="-5"/>
      </w:pPr>
      <w:bookmarkStart w:id="1" w:name="_Toc3134"/>
      <w:r>
        <w:t xml:space="preserve">Rule Note </w:t>
      </w:r>
      <w:bookmarkEnd w:id="1"/>
    </w:p>
    <w:p w:rsidR="004415B3" w:rsidRDefault="005464FC">
      <w:pPr>
        <w:spacing w:after="273"/>
        <w:ind w:left="10"/>
      </w:pPr>
      <w:r>
        <w:t xml:space="preserve">“Restricted” Yamaha </w:t>
      </w:r>
      <w:r>
        <w:t>engines are the same as a Yamaha engine used in Lights or Heavies with the two notable changes in exhaust and head gasket.  All Junior Restricted engines s must run the restricted approved muffler and 1.422mm minimum head gasket.  Competitors must comply i</w:t>
      </w:r>
      <w:r>
        <w:t xml:space="preserve">mmediately with official request to remove cylinder head for examination at any time during a race meeting. </w:t>
      </w:r>
    </w:p>
    <w:p w:rsidR="004415B3" w:rsidRDefault="005464FC">
      <w:pPr>
        <w:pStyle w:val="Heading1"/>
        <w:ind w:left="-5"/>
      </w:pPr>
      <w:bookmarkStart w:id="2" w:name="_Toc3135"/>
      <w:r>
        <w:t xml:space="preserve"> Specifications </w:t>
      </w:r>
      <w:bookmarkEnd w:id="2"/>
    </w:p>
    <w:p w:rsidR="004415B3" w:rsidRDefault="005464FC">
      <w:pPr>
        <w:ind w:left="10"/>
      </w:pPr>
      <w:r>
        <w:t xml:space="preserve">Single KT 100 Piston Port Engine only as manufactured by Yamaha with standard external appearance (no left hand conversions) from </w:t>
      </w:r>
      <w:r>
        <w:t xml:space="preserve">carburettor inlet to barrel exhaust outlet. Piston port engine must retain piston induction only (no reed or rotary induction allowed).  </w:t>
      </w:r>
    </w:p>
    <w:p w:rsidR="004415B3" w:rsidRDefault="005464FC">
      <w:pPr>
        <w:numPr>
          <w:ilvl w:val="0"/>
          <w:numId w:val="1"/>
        </w:numPr>
        <w:ind w:left="661" w:hanging="338"/>
      </w:pPr>
      <w:r>
        <w:t>The use of thermal barrier coatings on or in the engine/engine components and on or in exhaust components is prohibite</w:t>
      </w:r>
      <w:r>
        <w:t xml:space="preserve">d. </w:t>
      </w:r>
    </w:p>
    <w:p w:rsidR="004415B3" w:rsidRDefault="005464FC">
      <w:pPr>
        <w:numPr>
          <w:ilvl w:val="0"/>
          <w:numId w:val="1"/>
        </w:numPr>
        <w:ind w:left="661" w:hanging="338"/>
      </w:pPr>
      <w:r>
        <w:t xml:space="preserve">The use of anti-friction coatings on or in the engine/engine components is prohibited. </w:t>
      </w:r>
    </w:p>
    <w:p w:rsidR="004415B3" w:rsidRDefault="005464FC">
      <w:pPr>
        <w:numPr>
          <w:ilvl w:val="0"/>
          <w:numId w:val="1"/>
        </w:numPr>
        <w:spacing w:after="277"/>
        <w:ind w:left="661" w:hanging="338"/>
      </w:pPr>
      <w:r>
        <w:t xml:space="preserve">External modifications, which do not in any way affect a performance gain, are legal  </w:t>
      </w:r>
    </w:p>
    <w:p w:rsidR="004415B3" w:rsidRDefault="005464FC">
      <w:pPr>
        <w:pStyle w:val="Heading1"/>
        <w:ind w:left="-5"/>
      </w:pPr>
      <w:bookmarkStart w:id="3" w:name="_Toc3136"/>
      <w:r>
        <w:t xml:space="preserve">Legal Additions </w:t>
      </w:r>
      <w:bookmarkEnd w:id="3"/>
    </w:p>
    <w:p w:rsidR="004415B3" w:rsidRDefault="005464FC">
      <w:pPr>
        <w:ind w:left="10"/>
      </w:pPr>
      <w:r>
        <w:t>Legal additions (non-tech items) shall be limited to the fol</w:t>
      </w:r>
      <w:r>
        <w:t xml:space="preserve">lowing: </w:t>
      </w:r>
    </w:p>
    <w:p w:rsidR="004415B3" w:rsidRDefault="005464FC">
      <w:pPr>
        <w:spacing w:after="274"/>
        <w:ind w:left="10"/>
      </w:pPr>
      <w:r>
        <w:t>Air cleaner, chain guard, motor mount, direct drive gear, extension of carburettor jet needles, carburettor return springs, third bearing and adaptor, temperature gauge and tachometer, fin dampeners, fasteners, gaskets, joiners in spark plug leads</w:t>
      </w:r>
      <w:r>
        <w:t xml:space="preserve">, non-original spark leads, carburettor diaphragm cover breather pipes, air cleaner mount, </w:t>
      </w:r>
      <w:proofErr w:type="spellStart"/>
      <w:r>
        <w:t>non original</w:t>
      </w:r>
      <w:proofErr w:type="spellEnd"/>
      <w:r>
        <w:t xml:space="preserve"> spark plug caps are allowable, exhaust header and muffler. </w:t>
      </w:r>
    </w:p>
    <w:p w:rsidR="004415B3" w:rsidRDefault="005464FC">
      <w:pPr>
        <w:pStyle w:val="Heading1"/>
        <w:ind w:left="-5"/>
      </w:pPr>
      <w:bookmarkStart w:id="4" w:name="_Toc3137"/>
      <w:r>
        <w:t xml:space="preserve">KT Ignition </w:t>
      </w:r>
      <w:bookmarkEnd w:id="4"/>
    </w:p>
    <w:p w:rsidR="004415B3" w:rsidRDefault="005464FC">
      <w:pPr>
        <w:spacing w:after="257"/>
        <w:ind w:left="10"/>
      </w:pPr>
      <w:r>
        <w:t xml:space="preserve">The standard KT 100S (unmodified) ignition to be used. </w:t>
      </w:r>
    </w:p>
    <w:p w:rsidR="004415B3" w:rsidRDefault="005464FC">
      <w:pPr>
        <w:pStyle w:val="Heading2"/>
        <w:ind w:left="-5"/>
      </w:pPr>
      <w:bookmarkStart w:id="5" w:name="_Toc3138"/>
      <w:r>
        <w:t xml:space="preserve">Alternative ignition </w:t>
      </w:r>
      <w:bookmarkEnd w:id="5"/>
    </w:p>
    <w:p w:rsidR="004415B3" w:rsidRDefault="005464FC">
      <w:pPr>
        <w:ind w:left="10"/>
      </w:pPr>
      <w:r>
        <w:t xml:space="preserve">The fitting of the following Modules as an alternative to the standard KT 100S ignition module is permissible: </w:t>
      </w:r>
    </w:p>
    <w:p w:rsidR="004415B3" w:rsidRDefault="005464FC">
      <w:pPr>
        <w:numPr>
          <w:ilvl w:val="0"/>
          <w:numId w:val="2"/>
        </w:numPr>
        <w:ind w:left="661" w:hanging="338"/>
      </w:pPr>
      <w:r>
        <w:lastRenderedPageBreak/>
        <w:t xml:space="preserve">Yamaha, </w:t>
      </w:r>
      <w:proofErr w:type="spellStart"/>
      <w:r>
        <w:t>Victa</w:t>
      </w:r>
      <w:proofErr w:type="spellEnd"/>
      <w:r>
        <w:t xml:space="preserve">, Atom, Delta, Wei/Shieh, Sig, Nova, PRD, and TCI., permitted.  </w:t>
      </w:r>
    </w:p>
    <w:p w:rsidR="004415B3" w:rsidRDefault="005464FC">
      <w:pPr>
        <w:numPr>
          <w:ilvl w:val="0"/>
          <w:numId w:val="2"/>
        </w:numPr>
        <w:ind w:left="661" w:hanging="338"/>
      </w:pPr>
      <w:r>
        <w:t xml:space="preserve">Ignition key is a non-tech item. </w:t>
      </w:r>
    </w:p>
    <w:p w:rsidR="004415B3" w:rsidRDefault="005464FC">
      <w:pPr>
        <w:spacing w:after="204" w:line="259" w:lineRule="auto"/>
        <w:ind w:left="0" w:firstLine="0"/>
      </w:pPr>
      <w:r>
        <w:t xml:space="preserve"> </w:t>
      </w:r>
    </w:p>
    <w:p w:rsidR="004415B3" w:rsidRDefault="005464FC">
      <w:pPr>
        <w:spacing w:after="0" w:line="259" w:lineRule="auto"/>
        <w:ind w:left="0" w:firstLine="0"/>
      </w:pPr>
      <w:r>
        <w:t xml:space="preserve"> </w:t>
      </w:r>
    </w:p>
    <w:p w:rsidR="004415B3" w:rsidRDefault="005464FC">
      <w:pPr>
        <w:pStyle w:val="Heading1"/>
        <w:ind w:left="-5"/>
      </w:pPr>
      <w:bookmarkStart w:id="6" w:name="_Toc3139"/>
      <w:r>
        <w:t xml:space="preserve">Crankshaft and </w:t>
      </w:r>
      <w:proofErr w:type="spellStart"/>
      <w:r>
        <w:t>Conrod</w:t>
      </w:r>
      <w:proofErr w:type="spellEnd"/>
      <w:r>
        <w:t xml:space="preserve"> </w:t>
      </w:r>
      <w:bookmarkEnd w:id="6"/>
    </w:p>
    <w:p w:rsidR="004415B3" w:rsidRDefault="005464FC">
      <w:pPr>
        <w:numPr>
          <w:ilvl w:val="0"/>
          <w:numId w:val="3"/>
        </w:numPr>
        <w:ind w:left="661" w:hanging="338"/>
      </w:pPr>
      <w:r>
        <w:t xml:space="preserve">Crankshaft must be the original KT 100S </w:t>
      </w:r>
      <w:r>
        <w:rPr>
          <w:color w:val="0000FF"/>
        </w:rPr>
        <w:t>manufactured dimensions</w:t>
      </w:r>
      <w:r>
        <w:t xml:space="preserve"> with a maximum stroke of 46.20mm. </w:t>
      </w:r>
    </w:p>
    <w:p w:rsidR="004415B3" w:rsidRDefault="005464FC">
      <w:pPr>
        <w:numPr>
          <w:ilvl w:val="0"/>
          <w:numId w:val="3"/>
        </w:numPr>
        <w:spacing w:after="278" w:line="268" w:lineRule="auto"/>
        <w:ind w:left="661" w:hanging="338"/>
      </w:pPr>
      <w:r>
        <w:rPr>
          <w:color w:val="0000FF"/>
        </w:rPr>
        <w:t xml:space="preserve">The connecting Rod must be original KT100S, KT100J.  </w:t>
      </w:r>
    </w:p>
    <w:p w:rsidR="004415B3" w:rsidRDefault="005464FC">
      <w:pPr>
        <w:pStyle w:val="Heading1"/>
        <w:ind w:left="-5"/>
      </w:pPr>
      <w:bookmarkStart w:id="7" w:name="_Toc3140"/>
      <w:r>
        <w:t xml:space="preserve">Exhaust Muffler </w:t>
      </w:r>
      <w:bookmarkEnd w:id="7"/>
    </w:p>
    <w:p w:rsidR="004415B3" w:rsidRDefault="005464FC">
      <w:pPr>
        <w:ind w:left="10"/>
      </w:pPr>
      <w:r>
        <w:t xml:space="preserve">This item is not restricted to the original Manufacturer but must not have extraneous </w:t>
      </w:r>
      <w:r>
        <w:t xml:space="preserve">attachments, fins or water cooling etc. </w:t>
      </w:r>
    </w:p>
    <w:p w:rsidR="004415B3" w:rsidRDefault="005464FC">
      <w:pPr>
        <w:numPr>
          <w:ilvl w:val="0"/>
          <w:numId w:val="4"/>
        </w:numPr>
        <w:ind w:left="661" w:hanging="338"/>
      </w:pPr>
      <w:r>
        <w:t xml:space="preserve">Modifications to fit exhaust temperature gauge is permissible. </w:t>
      </w:r>
    </w:p>
    <w:p w:rsidR="004415B3" w:rsidRDefault="005464FC">
      <w:pPr>
        <w:numPr>
          <w:ilvl w:val="0"/>
          <w:numId w:val="4"/>
        </w:numPr>
        <w:ind w:left="661" w:hanging="338"/>
      </w:pPr>
      <w:r>
        <w:t xml:space="preserve">Restricted class karts must be fitted with standard box muffler with 3 only 10.5mm diameter outlet holes. </w:t>
      </w:r>
    </w:p>
    <w:p w:rsidR="004415B3" w:rsidRDefault="005464FC">
      <w:pPr>
        <w:numPr>
          <w:ilvl w:val="0"/>
          <w:numId w:val="4"/>
        </w:numPr>
        <w:spacing w:after="192" w:line="268" w:lineRule="auto"/>
        <w:ind w:left="661" w:hanging="338"/>
      </w:pPr>
      <w:r>
        <w:rPr>
          <w:color w:val="0000FF"/>
        </w:rPr>
        <w:t xml:space="preserve">The use of painted or surface applied thermal barrier coatings on or in the engine/engine components and on or in exhaust components is prohibited. </w:t>
      </w:r>
    </w:p>
    <w:p w:rsidR="004415B3" w:rsidRDefault="005464FC">
      <w:pPr>
        <w:spacing w:after="286" w:line="259" w:lineRule="auto"/>
        <w:ind w:left="338" w:firstLine="0"/>
      </w:pPr>
      <w:r>
        <w:t xml:space="preserve"> </w:t>
      </w:r>
    </w:p>
    <w:p w:rsidR="004415B3" w:rsidRDefault="005464FC">
      <w:pPr>
        <w:pStyle w:val="Heading1"/>
        <w:ind w:left="-5"/>
      </w:pPr>
      <w:bookmarkStart w:id="8" w:name="_Toc3141"/>
      <w:r>
        <w:t xml:space="preserve">Cylinder </w:t>
      </w:r>
      <w:bookmarkEnd w:id="8"/>
    </w:p>
    <w:p w:rsidR="004415B3" w:rsidRDefault="005464FC">
      <w:pPr>
        <w:ind w:left="10"/>
      </w:pPr>
      <w:r>
        <w:t>The cylinder must be of original Yamaha KT 100S manufactured materials only unless otherwise sp</w:t>
      </w:r>
      <w:r>
        <w:t xml:space="preserve">ecified.  </w:t>
      </w:r>
    </w:p>
    <w:p w:rsidR="004415B3" w:rsidRDefault="005464FC">
      <w:pPr>
        <w:numPr>
          <w:ilvl w:val="0"/>
          <w:numId w:val="5"/>
        </w:numPr>
        <w:ind w:left="661" w:hanging="338"/>
      </w:pPr>
      <w:r>
        <w:t xml:space="preserve">The cylinder is not to have any additional / removable inserts / passages / tubes or dividers of any type. </w:t>
      </w:r>
    </w:p>
    <w:p w:rsidR="004415B3" w:rsidRDefault="005464FC">
      <w:pPr>
        <w:numPr>
          <w:ilvl w:val="0"/>
          <w:numId w:val="5"/>
        </w:numPr>
        <w:ind w:left="661" w:hanging="338"/>
      </w:pPr>
      <w:r>
        <w:t>Porting is allowable but must be only to the existing ports in their original intended layout. No additional ports or plugging of any por</w:t>
      </w:r>
      <w:r>
        <w:t xml:space="preserve">ts.  </w:t>
      </w:r>
    </w:p>
    <w:p w:rsidR="004415B3" w:rsidRDefault="005464FC">
      <w:pPr>
        <w:numPr>
          <w:ilvl w:val="0"/>
          <w:numId w:val="5"/>
        </w:numPr>
        <w:spacing w:after="254"/>
        <w:ind w:left="661" w:hanging="338"/>
      </w:pPr>
      <w:r>
        <w:t xml:space="preserve">Threaded inserts are permissible to repair existing threads/studs may be replaced with bolts in existing location, or may have thread inserts to repair casting if thread has failed.  Studs must be in original position. </w:t>
      </w:r>
    </w:p>
    <w:p w:rsidR="004415B3" w:rsidRDefault="005464FC">
      <w:pPr>
        <w:pStyle w:val="Heading2"/>
        <w:ind w:left="-5"/>
      </w:pPr>
      <w:bookmarkStart w:id="9" w:name="_Toc3142"/>
      <w:r>
        <w:t xml:space="preserve">Cylinder Head </w:t>
      </w:r>
      <w:bookmarkEnd w:id="9"/>
    </w:p>
    <w:p w:rsidR="004415B3" w:rsidRDefault="005464FC">
      <w:pPr>
        <w:ind w:left="10"/>
      </w:pPr>
      <w:r>
        <w:t>Must be of orig</w:t>
      </w:r>
      <w:r>
        <w:t xml:space="preserve">inal design with no additions (metallic or otherwise). </w:t>
      </w:r>
    </w:p>
    <w:p w:rsidR="004415B3" w:rsidRDefault="005464FC">
      <w:pPr>
        <w:ind w:left="10"/>
      </w:pPr>
      <w:r>
        <w:t xml:space="preserve">Minimum capacity of 11cc with piston at TDC. </w:t>
      </w:r>
    </w:p>
    <w:p w:rsidR="004415B3" w:rsidRDefault="005464FC">
      <w:pPr>
        <w:spacing w:after="257"/>
        <w:ind w:left="10"/>
      </w:pPr>
      <w:r>
        <w:t xml:space="preserve">Hemispherical combustion chamber, concentric with bore/spark plug. </w:t>
      </w:r>
    </w:p>
    <w:p w:rsidR="004415B3" w:rsidRDefault="005464FC">
      <w:pPr>
        <w:pStyle w:val="Heading2"/>
        <w:ind w:left="-5"/>
      </w:pPr>
      <w:bookmarkStart w:id="10" w:name="_Toc3143"/>
      <w:r>
        <w:lastRenderedPageBreak/>
        <w:t xml:space="preserve">Head Gasket </w:t>
      </w:r>
      <w:bookmarkEnd w:id="10"/>
    </w:p>
    <w:p w:rsidR="004415B3" w:rsidRDefault="005464FC">
      <w:pPr>
        <w:numPr>
          <w:ilvl w:val="0"/>
          <w:numId w:val="6"/>
        </w:numPr>
        <w:ind w:left="661" w:hanging="338"/>
      </w:pPr>
      <w:r>
        <w:t xml:space="preserve">Must be of original cross section and material </w:t>
      </w:r>
    </w:p>
    <w:p w:rsidR="004415B3" w:rsidRDefault="0013657E">
      <w:pPr>
        <w:numPr>
          <w:ilvl w:val="0"/>
          <w:numId w:val="6"/>
        </w:numPr>
        <w:ind w:left="661" w:hanging="338"/>
      </w:pPr>
      <w:r>
        <w:t>Minimum thickness of 1.37mm  (0.054</w:t>
      </w:r>
      <w:r w:rsidR="005464FC">
        <w:t xml:space="preserve">” ). </w:t>
      </w:r>
      <w:bookmarkStart w:id="11" w:name="_GoBack"/>
      <w:bookmarkEnd w:id="11"/>
    </w:p>
    <w:p w:rsidR="004415B3" w:rsidRDefault="005464FC">
      <w:pPr>
        <w:pStyle w:val="Heading2"/>
        <w:ind w:left="-5"/>
      </w:pPr>
      <w:bookmarkStart w:id="12" w:name="_Toc3144"/>
      <w:r>
        <w:t xml:space="preserve">Inlet Tract Length </w:t>
      </w:r>
      <w:bookmarkEnd w:id="12"/>
    </w:p>
    <w:p w:rsidR="004415B3" w:rsidRDefault="005464FC">
      <w:pPr>
        <w:spacing w:after="257"/>
        <w:ind w:left="10"/>
      </w:pPr>
      <w:r>
        <w:t xml:space="preserve">Minimum inlet track length shall be 63mm measured from the outer carburettor adaptor face to the piston wall. Phenolic spacer and alloy adaptor must be retained. Gaskets may be added to achieve the minimum dimensions. </w:t>
      </w:r>
    </w:p>
    <w:p w:rsidR="004415B3" w:rsidRDefault="005464FC">
      <w:pPr>
        <w:pStyle w:val="Heading2"/>
        <w:ind w:left="-5"/>
      </w:pPr>
      <w:bookmarkStart w:id="13" w:name="_Toc3145"/>
      <w:r>
        <w:t xml:space="preserve">Phenolic Spacer: </w:t>
      </w:r>
      <w:bookmarkEnd w:id="13"/>
    </w:p>
    <w:p w:rsidR="004415B3" w:rsidRDefault="005464FC">
      <w:pPr>
        <w:spacing w:after="273"/>
        <w:ind w:left="10"/>
      </w:pPr>
      <w:r>
        <w:t xml:space="preserve">To remain as moulded by Yamaha factory and conform to the diagram below. Drilling of the phenolic spacer mounting holes is permitted. Sealing face may be re-faced. </w:t>
      </w:r>
    </w:p>
    <w:p w:rsidR="004415B3" w:rsidRDefault="005464FC">
      <w:pPr>
        <w:pStyle w:val="Heading1"/>
        <w:ind w:left="-5"/>
      </w:pPr>
      <w:bookmarkStart w:id="14" w:name="_Toc3146"/>
      <w:r>
        <w:t xml:space="preserve">Piston </w:t>
      </w:r>
      <w:bookmarkEnd w:id="14"/>
    </w:p>
    <w:p w:rsidR="004415B3" w:rsidRDefault="005464FC">
      <w:pPr>
        <w:ind w:left="10"/>
      </w:pPr>
      <w:r>
        <w:t xml:space="preserve">Pistons approved are Strike, H Piston (this piston has a graphite coating), Yamaha, KSI, KSI Mk11, JDP/Vertex, ARC (forged and cast). </w:t>
      </w:r>
    </w:p>
    <w:p w:rsidR="004415B3" w:rsidRDefault="005464FC">
      <w:pPr>
        <w:ind w:left="10"/>
      </w:pPr>
      <w:r>
        <w:t xml:space="preserve">Maximum piston diameter is 53.00mm. </w:t>
      </w:r>
    </w:p>
    <w:p w:rsidR="004415B3" w:rsidRDefault="005464FC">
      <w:pPr>
        <w:spacing w:after="278" w:line="268" w:lineRule="auto"/>
        <w:ind w:left="10"/>
      </w:pPr>
      <w:r>
        <w:rPr>
          <w:color w:val="0000FF"/>
        </w:rPr>
        <w:t>Piston top and dimensions to conform to OEM shape and dimensions</w:t>
      </w:r>
      <w:r>
        <w:t xml:space="preserve">. </w:t>
      </w:r>
    </w:p>
    <w:p w:rsidR="004415B3" w:rsidRDefault="005464FC">
      <w:pPr>
        <w:pStyle w:val="Heading1"/>
        <w:ind w:left="-5"/>
      </w:pPr>
      <w:bookmarkStart w:id="15" w:name="_Toc3147"/>
      <w:r>
        <w:t xml:space="preserve">Carburettor: </w:t>
      </w:r>
      <w:bookmarkEnd w:id="15"/>
    </w:p>
    <w:p w:rsidR="004415B3" w:rsidRDefault="005464FC">
      <w:pPr>
        <w:numPr>
          <w:ilvl w:val="0"/>
          <w:numId w:val="7"/>
        </w:numPr>
        <w:ind w:left="661" w:hanging="338"/>
      </w:pPr>
      <w:r>
        <w:t>Mus</w:t>
      </w:r>
      <w:r>
        <w:t xml:space="preserve">t be </w:t>
      </w:r>
      <w:r>
        <w:rPr>
          <w:color w:val="0000FF"/>
        </w:rPr>
        <w:t>standard</w:t>
      </w:r>
      <w:r>
        <w:t xml:space="preserve"> </w:t>
      </w:r>
      <w:proofErr w:type="spellStart"/>
      <w:r>
        <w:t>Walbro</w:t>
      </w:r>
      <w:proofErr w:type="spellEnd"/>
      <w:r>
        <w:t xml:space="preserve"> WB Series. </w:t>
      </w:r>
    </w:p>
    <w:p w:rsidR="004415B3" w:rsidRDefault="005464FC">
      <w:pPr>
        <w:numPr>
          <w:ilvl w:val="0"/>
          <w:numId w:val="7"/>
        </w:numPr>
        <w:ind w:left="661" w:hanging="338"/>
      </w:pPr>
      <w:r>
        <w:t xml:space="preserve">No additional holes or machining is permitted </w:t>
      </w:r>
    </w:p>
    <w:p w:rsidR="004415B3" w:rsidRDefault="005464FC">
      <w:pPr>
        <w:numPr>
          <w:ilvl w:val="0"/>
          <w:numId w:val="7"/>
        </w:numPr>
        <w:ind w:left="661" w:hanging="338"/>
      </w:pPr>
      <w:r>
        <w:t xml:space="preserve">Butterfly and shaft must be as manufactured. </w:t>
      </w:r>
    </w:p>
    <w:p w:rsidR="004415B3" w:rsidRDefault="005464FC">
      <w:pPr>
        <w:numPr>
          <w:ilvl w:val="0"/>
          <w:numId w:val="7"/>
        </w:numPr>
        <w:ind w:left="661" w:hanging="338"/>
      </w:pPr>
      <w:r>
        <w:t xml:space="preserve">It is permissible to repair the inlet seat and throttle shaft bore in the </w:t>
      </w:r>
      <w:proofErr w:type="spellStart"/>
      <w:r>
        <w:t>Walbro</w:t>
      </w:r>
      <w:proofErr w:type="spellEnd"/>
      <w:r>
        <w:t xml:space="preserve"> carburettor. </w:t>
      </w:r>
    </w:p>
    <w:p w:rsidR="004415B3" w:rsidRDefault="005464FC">
      <w:pPr>
        <w:numPr>
          <w:ilvl w:val="0"/>
          <w:numId w:val="7"/>
        </w:numPr>
        <w:ind w:left="661" w:hanging="338"/>
      </w:pPr>
      <w:r>
        <w:t>It is permissible to enlarge only e</w:t>
      </w:r>
      <w:r>
        <w:t xml:space="preserve">xisting fuel/air holes, but they may not be deleted or relocated.  </w:t>
      </w:r>
    </w:p>
    <w:p w:rsidR="004415B3" w:rsidRDefault="005464FC">
      <w:pPr>
        <w:numPr>
          <w:ilvl w:val="0"/>
          <w:numId w:val="7"/>
        </w:numPr>
        <w:ind w:left="661" w:hanging="338"/>
      </w:pPr>
      <w:r>
        <w:t xml:space="preserve">All air must pass through the carburettor </w:t>
      </w:r>
      <w:proofErr w:type="spellStart"/>
      <w:r>
        <w:t>venturi</w:t>
      </w:r>
      <w:proofErr w:type="spellEnd"/>
      <w:r>
        <w:t xml:space="preserve">. </w:t>
      </w:r>
    </w:p>
    <w:p w:rsidR="004415B3" w:rsidRDefault="005464FC">
      <w:pPr>
        <w:numPr>
          <w:ilvl w:val="0"/>
          <w:numId w:val="7"/>
        </w:numPr>
        <w:ind w:left="661" w:hanging="338"/>
      </w:pPr>
      <w:r>
        <w:t xml:space="preserve">Measurement Code:  As cast maximum </w:t>
      </w:r>
      <w:proofErr w:type="spellStart"/>
      <w:r>
        <w:t>Venturi</w:t>
      </w:r>
      <w:proofErr w:type="spellEnd"/>
      <w:r>
        <w:t xml:space="preserve"> diameter 24.13mm. </w:t>
      </w:r>
    </w:p>
    <w:p w:rsidR="004415B3" w:rsidRDefault="005464FC">
      <w:pPr>
        <w:numPr>
          <w:ilvl w:val="0"/>
          <w:numId w:val="7"/>
        </w:numPr>
        <w:ind w:left="661" w:hanging="338"/>
      </w:pPr>
      <w:r>
        <w:t>As cast (area will extend from the front of the carburettor to the progres</w:t>
      </w:r>
      <w:r>
        <w:t xml:space="preserve">sion discharge jet which must have all or portion of this jet in the cast area). </w:t>
      </w:r>
    </w:p>
    <w:p w:rsidR="004415B3" w:rsidRDefault="005464FC">
      <w:pPr>
        <w:numPr>
          <w:ilvl w:val="0"/>
          <w:numId w:val="8"/>
        </w:numPr>
        <w:ind w:hanging="314"/>
      </w:pPr>
      <w:r>
        <w:t xml:space="preserve">Maximum downstream diameter 25.7mm. </w:t>
      </w:r>
    </w:p>
    <w:p w:rsidR="004415B3" w:rsidRDefault="005464FC">
      <w:pPr>
        <w:numPr>
          <w:ilvl w:val="0"/>
          <w:numId w:val="8"/>
        </w:numPr>
        <w:ind w:hanging="314"/>
      </w:pPr>
      <w:r>
        <w:t xml:space="preserve">Butterfly shaft must be located at the bore centre. </w:t>
      </w:r>
    </w:p>
    <w:p w:rsidR="004415B3" w:rsidRDefault="005464FC">
      <w:pPr>
        <w:numPr>
          <w:ilvl w:val="0"/>
          <w:numId w:val="8"/>
        </w:numPr>
        <w:spacing w:after="277"/>
        <w:ind w:hanging="314"/>
      </w:pPr>
      <w:r>
        <w:t xml:space="preserve">Minimum carburettor body length of 37.5mm. </w:t>
      </w:r>
    </w:p>
    <w:p w:rsidR="004415B3" w:rsidRDefault="005464FC">
      <w:pPr>
        <w:pStyle w:val="Heading1"/>
        <w:ind w:left="-5"/>
      </w:pPr>
      <w:bookmarkStart w:id="16" w:name="_Toc3148"/>
      <w:r>
        <w:lastRenderedPageBreak/>
        <w:t xml:space="preserve">Inlet Silencer </w:t>
      </w:r>
      <w:bookmarkEnd w:id="16"/>
    </w:p>
    <w:p w:rsidR="004415B3" w:rsidRDefault="005464FC">
      <w:pPr>
        <w:spacing w:after="277"/>
        <w:ind w:left="10"/>
      </w:pPr>
      <w:r>
        <w:t>All Yamaha Restricted en</w:t>
      </w:r>
      <w:r>
        <w:t xml:space="preserve">gines must run an air silencer box attached to the front of the carburettor.  </w:t>
      </w:r>
    </w:p>
    <w:p w:rsidR="004415B3" w:rsidRDefault="005464FC">
      <w:pPr>
        <w:pStyle w:val="Heading1"/>
        <w:ind w:left="-5"/>
      </w:pPr>
      <w:bookmarkStart w:id="17" w:name="_Toc3149"/>
      <w:r>
        <w:t xml:space="preserve">Pressured Fuel Systems </w:t>
      </w:r>
      <w:bookmarkEnd w:id="17"/>
    </w:p>
    <w:p w:rsidR="004415B3" w:rsidRDefault="005464FC">
      <w:pPr>
        <w:numPr>
          <w:ilvl w:val="0"/>
          <w:numId w:val="9"/>
        </w:numPr>
        <w:ind w:left="661" w:hanging="338"/>
      </w:pPr>
      <w:r>
        <w:t xml:space="preserve">Additional fuel pump or pressurised systems are forbidden. </w:t>
      </w:r>
    </w:p>
    <w:p w:rsidR="004415B3" w:rsidRDefault="005464FC">
      <w:pPr>
        <w:numPr>
          <w:ilvl w:val="0"/>
          <w:numId w:val="9"/>
        </w:numPr>
        <w:spacing w:after="0"/>
        <w:ind w:left="661" w:hanging="338"/>
      </w:pPr>
      <w:r>
        <w:t xml:space="preserve">Squeeze type pump between the fuel tank and carburettor is permitted. </w:t>
      </w:r>
    </w:p>
    <w:sectPr w:rsidR="004415B3">
      <w:headerReference w:type="even" r:id="rId8"/>
      <w:headerReference w:type="default" r:id="rId9"/>
      <w:footerReference w:type="even" r:id="rId10"/>
      <w:footerReference w:type="default" r:id="rId11"/>
      <w:headerReference w:type="first" r:id="rId12"/>
      <w:footerReference w:type="first" r:id="rId13"/>
      <w:pgSz w:w="12240" w:h="15840"/>
      <w:pgMar w:top="1394" w:right="1897" w:bottom="1515" w:left="1872" w:header="706" w:footer="9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4FC" w:rsidRDefault="005464FC">
      <w:pPr>
        <w:spacing w:after="0" w:line="240" w:lineRule="auto"/>
      </w:pPr>
      <w:r>
        <w:separator/>
      </w:r>
    </w:p>
  </w:endnote>
  <w:endnote w:type="continuationSeparator" w:id="0">
    <w:p w:rsidR="005464FC" w:rsidRDefault="0054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B3" w:rsidRDefault="005464FC">
    <w:pPr>
      <w:spacing w:after="0" w:line="259" w:lineRule="auto"/>
      <w:ind w:left="0" w:right="-13"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B3" w:rsidRDefault="005464FC">
    <w:pPr>
      <w:spacing w:after="0" w:line="259" w:lineRule="auto"/>
      <w:ind w:left="0" w:right="-13" w:firstLine="0"/>
      <w:jc w:val="right"/>
    </w:pPr>
    <w:r>
      <w:fldChar w:fldCharType="begin"/>
    </w:r>
    <w:r>
      <w:instrText xml:space="preserve"> PAGE   \* MERGEFORMAT </w:instrText>
    </w:r>
    <w:r>
      <w:fldChar w:fldCharType="separate"/>
    </w:r>
    <w:r w:rsidR="0013657E">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B3" w:rsidRDefault="005464FC">
    <w:pPr>
      <w:spacing w:after="0" w:line="259" w:lineRule="auto"/>
      <w:ind w:left="0" w:right="-13"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4FC" w:rsidRDefault="005464FC">
      <w:pPr>
        <w:spacing w:after="0" w:line="240" w:lineRule="auto"/>
      </w:pPr>
      <w:r>
        <w:separator/>
      </w:r>
    </w:p>
  </w:footnote>
  <w:footnote w:type="continuationSeparator" w:id="0">
    <w:p w:rsidR="005464FC" w:rsidRDefault="00546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B3" w:rsidRDefault="005464FC">
    <w:pPr>
      <w:spacing w:after="0" w:line="259" w:lineRule="auto"/>
      <w:ind w:left="0" w:firstLine="0"/>
    </w:pPr>
    <w:r>
      <w:t xml:space="preserve">15/10/2015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B3" w:rsidRDefault="005464FC">
    <w:pPr>
      <w:spacing w:after="0" w:line="259" w:lineRule="auto"/>
      <w:ind w:left="0" w:firstLine="0"/>
    </w:pPr>
    <w:r>
      <w:t xml:space="preserve">15/10/2015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B3" w:rsidRDefault="005464FC">
    <w:pPr>
      <w:spacing w:after="0" w:line="259" w:lineRule="auto"/>
      <w:ind w:left="0" w:firstLine="0"/>
    </w:pPr>
    <w:r>
      <w:t xml:space="preserve">15/10/2015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DEE"/>
    <w:multiLevelType w:val="hybridMultilevel"/>
    <w:tmpl w:val="DCD4464C"/>
    <w:lvl w:ilvl="0" w:tplc="531CB4EA">
      <w:start w:val="1"/>
      <w:numFmt w:val="decimal"/>
      <w:lvlText w:val="%1."/>
      <w:lvlJc w:val="left"/>
      <w:pPr>
        <w:ind w:left="6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C6479EC">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3C6B24E">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4E2780C">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7FE12E6">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590C2AA">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81EA420">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1403630">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CAE3B56">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9D22796"/>
    <w:multiLevelType w:val="hybridMultilevel"/>
    <w:tmpl w:val="D444DA4A"/>
    <w:lvl w:ilvl="0" w:tplc="D9B8EA28">
      <w:start w:val="1"/>
      <w:numFmt w:val="decimal"/>
      <w:lvlText w:val="%1."/>
      <w:lvlJc w:val="left"/>
      <w:pPr>
        <w:ind w:left="6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83454D0">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B04A736">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664B1DA">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E24EC9A">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3C69BAE">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FAE8470">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CACD2EA">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BDE7EBE">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D4C7ED1"/>
    <w:multiLevelType w:val="hybridMultilevel"/>
    <w:tmpl w:val="CB540E70"/>
    <w:lvl w:ilvl="0" w:tplc="3D6EFA48">
      <w:start w:val="3"/>
      <w:numFmt w:val="lowerRoman"/>
      <w:lvlText w:val="(%1)"/>
      <w:lvlJc w:val="left"/>
      <w:pPr>
        <w:ind w:left="3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E44081A">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F60AE1E">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F92D68A">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3024690">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AEADC4E">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9B6D254">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E5071AA">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E22B4D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FD7695"/>
    <w:multiLevelType w:val="hybridMultilevel"/>
    <w:tmpl w:val="28CA130A"/>
    <w:lvl w:ilvl="0" w:tplc="B148A8D8">
      <w:start w:val="1"/>
      <w:numFmt w:val="decimal"/>
      <w:lvlText w:val="%1."/>
      <w:lvlJc w:val="left"/>
      <w:pPr>
        <w:ind w:left="6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10EE66E">
      <w:start w:val="1"/>
      <w:numFmt w:val="lowerLetter"/>
      <w:lvlText w:val="%2"/>
      <w:lvlJc w:val="left"/>
      <w:pPr>
        <w:ind w:left="12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D726644">
      <w:start w:val="1"/>
      <w:numFmt w:val="lowerRoman"/>
      <w:lvlText w:val="%3"/>
      <w:lvlJc w:val="left"/>
      <w:pPr>
        <w:ind w:left="19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C847348">
      <w:start w:val="1"/>
      <w:numFmt w:val="decimal"/>
      <w:lvlText w:val="%4"/>
      <w:lvlJc w:val="left"/>
      <w:pPr>
        <w:ind w:left="26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2884DC6">
      <w:start w:val="1"/>
      <w:numFmt w:val="lowerLetter"/>
      <w:lvlText w:val="%5"/>
      <w:lvlJc w:val="left"/>
      <w:pPr>
        <w:ind w:left="34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37AA5CC">
      <w:start w:val="1"/>
      <w:numFmt w:val="lowerRoman"/>
      <w:lvlText w:val="%6"/>
      <w:lvlJc w:val="left"/>
      <w:pPr>
        <w:ind w:left="41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3FA7902">
      <w:start w:val="1"/>
      <w:numFmt w:val="decimal"/>
      <w:lvlText w:val="%7"/>
      <w:lvlJc w:val="left"/>
      <w:pPr>
        <w:ind w:left="48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026DAD6">
      <w:start w:val="1"/>
      <w:numFmt w:val="lowerLetter"/>
      <w:lvlText w:val="%8"/>
      <w:lvlJc w:val="left"/>
      <w:pPr>
        <w:ind w:left="55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A86CC1E">
      <w:start w:val="1"/>
      <w:numFmt w:val="lowerRoman"/>
      <w:lvlText w:val="%9"/>
      <w:lvlJc w:val="left"/>
      <w:pPr>
        <w:ind w:left="62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86C690E"/>
    <w:multiLevelType w:val="hybridMultilevel"/>
    <w:tmpl w:val="F9E2F28E"/>
    <w:lvl w:ilvl="0" w:tplc="EF74C280">
      <w:start w:val="1"/>
      <w:numFmt w:val="decimal"/>
      <w:lvlText w:val="%1."/>
      <w:lvlJc w:val="left"/>
      <w:pPr>
        <w:ind w:left="6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C402634">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4122240">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7EC379E">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A00C53A">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39C38B4">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1ACDC8A">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92CA472">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5DA4166">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E4E1202"/>
    <w:multiLevelType w:val="hybridMultilevel"/>
    <w:tmpl w:val="2002502A"/>
    <w:lvl w:ilvl="0" w:tplc="E5104BCE">
      <w:start w:val="1"/>
      <w:numFmt w:val="decimal"/>
      <w:lvlText w:val="%1."/>
      <w:lvlJc w:val="left"/>
      <w:pPr>
        <w:ind w:left="6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60AD558">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6FA63F0">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242B1CC">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3CA949A">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D52F4A6">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6A6FD6E">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8802A42">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07295AA">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E595652"/>
    <w:multiLevelType w:val="hybridMultilevel"/>
    <w:tmpl w:val="C33A054A"/>
    <w:lvl w:ilvl="0" w:tplc="58ECBFBE">
      <w:start w:val="1"/>
      <w:numFmt w:val="decimal"/>
      <w:lvlText w:val="%1."/>
      <w:lvlJc w:val="left"/>
      <w:pPr>
        <w:ind w:left="6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E76713E">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63A056A">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B42C8C4">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1046EC8">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E7CD3B8">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776A6B4">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1485AA8">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CDA506E">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D4302C8"/>
    <w:multiLevelType w:val="hybridMultilevel"/>
    <w:tmpl w:val="BD84E038"/>
    <w:lvl w:ilvl="0" w:tplc="88EC700C">
      <w:start w:val="1"/>
      <w:numFmt w:val="decimal"/>
      <w:lvlText w:val="%1."/>
      <w:lvlJc w:val="left"/>
      <w:pPr>
        <w:ind w:left="6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744B262">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7843EDA">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07A03C2">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AEA8730">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616356E">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3C0ABA">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FDC73FE">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0947E12">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5700946"/>
    <w:multiLevelType w:val="hybridMultilevel"/>
    <w:tmpl w:val="E4C85456"/>
    <w:lvl w:ilvl="0" w:tplc="EBF47C32">
      <w:start w:val="1"/>
      <w:numFmt w:val="decimal"/>
      <w:lvlText w:val="%1."/>
      <w:lvlJc w:val="left"/>
      <w:pPr>
        <w:ind w:left="6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634B80C">
      <w:start w:val="1"/>
      <w:numFmt w:val="lowerLetter"/>
      <w:lvlText w:val="%2"/>
      <w:lvlJc w:val="left"/>
      <w:pPr>
        <w:ind w:left="14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ABC07F2">
      <w:start w:val="1"/>
      <w:numFmt w:val="lowerRoman"/>
      <w:lvlText w:val="%3"/>
      <w:lvlJc w:val="left"/>
      <w:pPr>
        <w:ind w:left="21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9EEDCEE">
      <w:start w:val="1"/>
      <w:numFmt w:val="decimal"/>
      <w:lvlText w:val="%4"/>
      <w:lvlJc w:val="left"/>
      <w:pPr>
        <w:ind w:left="28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69EB34C">
      <w:start w:val="1"/>
      <w:numFmt w:val="lowerLetter"/>
      <w:lvlText w:val="%5"/>
      <w:lvlJc w:val="left"/>
      <w:pPr>
        <w:ind w:left="35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23A761A">
      <w:start w:val="1"/>
      <w:numFmt w:val="lowerRoman"/>
      <w:lvlText w:val="%6"/>
      <w:lvlJc w:val="left"/>
      <w:pPr>
        <w:ind w:left="4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FA8EA32">
      <w:start w:val="1"/>
      <w:numFmt w:val="decimal"/>
      <w:lvlText w:val="%7"/>
      <w:lvlJc w:val="left"/>
      <w:pPr>
        <w:ind w:left="5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6F07C08">
      <w:start w:val="1"/>
      <w:numFmt w:val="lowerLetter"/>
      <w:lvlText w:val="%8"/>
      <w:lvlJc w:val="left"/>
      <w:pPr>
        <w:ind w:left="5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E6C85B4">
      <w:start w:val="1"/>
      <w:numFmt w:val="lowerRoman"/>
      <w:lvlText w:val="%9"/>
      <w:lvlJc w:val="left"/>
      <w:pPr>
        <w:ind w:left="6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6"/>
  </w:num>
  <w:num w:numId="5">
    <w:abstractNumId w:val="7"/>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B3"/>
    <w:rsid w:val="0013657E"/>
    <w:rsid w:val="004415B3"/>
    <w:rsid w:val="005464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31D1"/>
  <w15:docId w15:val="{3919E077-1619-4BC4-A089-52BBC966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4" w:line="270" w:lineRule="auto"/>
      <w:ind w:left="219" w:hanging="10"/>
    </w:pPr>
    <w:rPr>
      <w:rFonts w:ascii="Calibri" w:eastAsia="Calibri" w:hAnsi="Calibri" w:cs="Calibri"/>
      <w:color w:val="000000"/>
      <w:sz w:val="21"/>
    </w:rPr>
  </w:style>
  <w:style w:type="paragraph" w:styleId="Heading1">
    <w:name w:val="heading 1"/>
    <w:next w:val="Normal"/>
    <w:link w:val="Heading1Char"/>
    <w:uiPriority w:val="9"/>
    <w:unhideWhenUsed/>
    <w:qFormat/>
    <w:pPr>
      <w:keepNext/>
      <w:keepLines/>
      <w:spacing w:after="32"/>
      <w:ind w:left="10" w:hanging="10"/>
      <w:outlineLvl w:val="0"/>
    </w:pPr>
    <w:rPr>
      <w:rFonts w:ascii="Arial" w:eastAsia="Arial" w:hAnsi="Arial" w:cs="Arial"/>
      <w:b/>
      <w:i/>
      <w:color w:val="000000"/>
      <w:sz w:val="26"/>
    </w:rPr>
  </w:style>
  <w:style w:type="paragraph" w:styleId="Heading2">
    <w:name w:val="heading 2"/>
    <w:next w:val="Normal"/>
    <w:link w:val="Heading2Char"/>
    <w:uiPriority w:val="9"/>
    <w:unhideWhenUsed/>
    <w:qFormat/>
    <w:pPr>
      <w:keepNext/>
      <w:keepLines/>
      <w:spacing w:after="5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i/>
      <w:color w:val="000000"/>
      <w:sz w:val="26"/>
    </w:rPr>
  </w:style>
  <w:style w:type="paragraph" w:styleId="TOC1">
    <w:name w:val="toc 1"/>
    <w:hidden/>
    <w:pPr>
      <w:spacing w:after="256" w:line="270" w:lineRule="auto"/>
      <w:ind w:left="234" w:right="23" w:hanging="10"/>
    </w:pPr>
    <w:rPr>
      <w:rFonts w:ascii="Calibri" w:eastAsia="Calibri" w:hAnsi="Calibri" w:cs="Calibri"/>
      <w:color w:val="000000"/>
      <w:sz w:val="21"/>
    </w:rPr>
  </w:style>
  <w:style w:type="paragraph" w:styleId="TOC2">
    <w:name w:val="toc 2"/>
    <w:hidden/>
    <w:pPr>
      <w:spacing w:after="259" w:line="270" w:lineRule="auto"/>
      <w:ind w:left="363" w:right="23" w:hanging="10"/>
    </w:pPr>
    <w:rPr>
      <w:rFonts w:ascii="Calibri" w:eastAsia="Calibri" w:hAnsi="Calibri" w:cs="Calibr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Junior Restricted Engine Rules.doc</dc:title>
  <dc:subject/>
  <dc:creator>Bruce</dc:creator>
  <cp:keywords/>
  <cp:lastModifiedBy>Remi</cp:lastModifiedBy>
  <cp:revision>2</cp:revision>
  <dcterms:created xsi:type="dcterms:W3CDTF">2021-10-17T20:39:00Z</dcterms:created>
  <dcterms:modified xsi:type="dcterms:W3CDTF">2021-10-17T20:39:00Z</dcterms:modified>
</cp:coreProperties>
</file>