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DF" w:rsidRPr="00AF2ADF" w:rsidRDefault="00AF2ADF" w:rsidP="00545517">
      <w:pPr>
        <w:shd w:val="clear" w:color="auto" w:fill="FFFFFF"/>
        <w:spacing w:before="96" w:after="120" w:line="288" w:lineRule="atLeast"/>
        <w:rPr>
          <w:rFonts w:ascii="Arial" w:eastAsia="Times New Roman" w:hAnsi="Arial" w:cs="Arial"/>
          <w:b/>
          <w:bCs/>
          <w:color w:val="984806" w:themeColor="accent6" w:themeShade="80"/>
          <w:sz w:val="32"/>
          <w:szCs w:val="32"/>
        </w:rPr>
      </w:pPr>
      <w:r w:rsidRPr="00AF2ADF">
        <w:rPr>
          <w:rFonts w:ascii="Arial" w:eastAsia="Times New Roman" w:hAnsi="Arial" w:cs="Arial"/>
          <w:b/>
          <w:bCs/>
          <w:color w:val="984806" w:themeColor="accent6" w:themeShade="80"/>
          <w:sz w:val="32"/>
          <w:szCs w:val="32"/>
        </w:rPr>
        <w:t>Depreciation</w:t>
      </w:r>
      <w:r>
        <w:rPr>
          <w:rFonts w:ascii="Arial" w:eastAsia="Times New Roman" w:hAnsi="Arial" w:cs="Arial"/>
          <w:b/>
          <w:bCs/>
          <w:color w:val="984806" w:themeColor="accent6" w:themeShade="80"/>
          <w:sz w:val="32"/>
          <w:szCs w:val="32"/>
        </w:rPr>
        <w:br/>
      </w:r>
    </w:p>
    <w:p w:rsidR="00545517" w:rsidRPr="00545517" w:rsidRDefault="00545517" w:rsidP="00545517">
      <w:pPr>
        <w:shd w:val="clear" w:color="auto" w:fill="FFFFFF"/>
        <w:spacing w:before="96" w:after="120" w:line="288" w:lineRule="atLeast"/>
        <w:rPr>
          <w:rFonts w:ascii="Arial" w:eastAsia="Times New Roman" w:hAnsi="Arial" w:cs="Arial"/>
          <w:color w:val="000000"/>
          <w:sz w:val="20"/>
          <w:szCs w:val="20"/>
        </w:rPr>
      </w:pPr>
      <w:r w:rsidRPr="00545517">
        <w:rPr>
          <w:rFonts w:ascii="Arial" w:eastAsia="Times New Roman" w:hAnsi="Arial" w:cs="Arial"/>
          <w:b/>
          <w:bCs/>
          <w:color w:val="000000"/>
          <w:sz w:val="20"/>
          <w:szCs w:val="20"/>
        </w:rPr>
        <w:t>Depreciation</w:t>
      </w:r>
      <w:r w:rsidRPr="00545517">
        <w:rPr>
          <w:rFonts w:ascii="Arial" w:eastAsia="Times New Roman" w:hAnsi="Arial" w:cs="Arial"/>
          <w:color w:val="000000"/>
          <w:sz w:val="20"/>
          <w:szCs w:val="20"/>
        </w:rPr>
        <w:t> </w:t>
      </w:r>
      <w:r>
        <w:rPr>
          <w:rFonts w:ascii="Arial" w:eastAsia="Times New Roman" w:hAnsi="Arial" w:cs="Arial"/>
          <w:color w:val="000000"/>
          <w:sz w:val="20"/>
          <w:szCs w:val="20"/>
        </w:rPr>
        <w:t>is</w:t>
      </w:r>
      <w:r w:rsidRPr="00545517">
        <w:rPr>
          <w:rFonts w:ascii="Arial" w:eastAsia="Times New Roman" w:hAnsi="Arial" w:cs="Arial"/>
          <w:color w:val="000000"/>
          <w:sz w:val="20"/>
          <w:szCs w:val="20"/>
        </w:rPr>
        <w:t xml:space="preserve"> the decrease in value of</w:t>
      </w:r>
      <w:r>
        <w:rPr>
          <w:rFonts w:ascii="Arial" w:eastAsia="Times New Roman" w:hAnsi="Arial" w:cs="Arial"/>
          <w:sz w:val="20"/>
          <w:szCs w:val="20"/>
        </w:rPr>
        <w:t xml:space="preserve"> assets.  </w:t>
      </w:r>
      <w:r w:rsidRPr="00545517">
        <w:rPr>
          <w:rFonts w:ascii="Arial" w:eastAsia="Times New Roman" w:hAnsi="Arial" w:cs="Arial"/>
          <w:sz w:val="20"/>
          <w:szCs w:val="20"/>
        </w:rPr>
        <w:t>Generally the cost is allocated, as depreciation expense. Such expense </w:t>
      </w:r>
      <w:r w:rsidRPr="00545517">
        <w:rPr>
          <w:rFonts w:ascii="Arial" w:eastAsia="Times New Roman" w:hAnsi="Arial" w:cs="Arial"/>
          <w:color w:val="000000"/>
          <w:sz w:val="20"/>
          <w:szCs w:val="20"/>
        </w:rPr>
        <w:t xml:space="preserve">is recognized by businesses for financial reporting and tax purposes. Methods of computing depreciation may vary by asset for the same business. Methods and lives may be specified in accounting and/or tax rules in a country. Several standard methods of computing depreciation expense may be used, including </w:t>
      </w:r>
      <w:r>
        <w:rPr>
          <w:rFonts w:ascii="Arial" w:eastAsia="Times New Roman" w:hAnsi="Arial" w:cs="Arial"/>
          <w:color w:val="000000"/>
          <w:sz w:val="20"/>
          <w:szCs w:val="20"/>
        </w:rPr>
        <w:t>straight line</w:t>
      </w:r>
      <w:r w:rsidRPr="00545517">
        <w:rPr>
          <w:rFonts w:ascii="Arial" w:eastAsia="Times New Roman" w:hAnsi="Arial" w:cs="Arial"/>
          <w:color w:val="000000"/>
          <w:sz w:val="20"/>
          <w:szCs w:val="20"/>
        </w:rPr>
        <w:t xml:space="preserve"> and declining balance methods. </w:t>
      </w:r>
    </w:p>
    <w:p w:rsidR="00545517" w:rsidRDefault="00545517" w:rsidP="00673EA3">
      <w:pPr>
        <w:pBdr>
          <w:bottom w:val="single" w:sz="6" w:space="8" w:color="FFC200"/>
        </w:pBdr>
        <w:spacing w:after="150" w:line="384" w:lineRule="atLeast"/>
        <w:outlineLvl w:val="2"/>
        <w:rPr>
          <w:rFonts w:ascii="Segoe UI" w:eastAsia="Times New Roman" w:hAnsi="Segoe UI" w:cs="Segoe UI"/>
          <w:color w:val="454545"/>
          <w:sz w:val="30"/>
          <w:szCs w:val="30"/>
        </w:rPr>
      </w:pPr>
    </w:p>
    <w:p w:rsidR="00545517" w:rsidRPr="00545517" w:rsidRDefault="00545517" w:rsidP="00545517">
      <w:pPr>
        <w:shd w:val="clear" w:color="auto" w:fill="FFFFFF"/>
        <w:spacing w:before="96" w:after="120" w:line="288" w:lineRule="atLeast"/>
        <w:rPr>
          <w:rFonts w:ascii="Arial" w:eastAsia="Times New Roman" w:hAnsi="Arial" w:cs="Arial"/>
          <w:color w:val="000000"/>
          <w:sz w:val="20"/>
          <w:szCs w:val="20"/>
        </w:rPr>
      </w:pPr>
      <w:r w:rsidRPr="00545517">
        <w:rPr>
          <w:rFonts w:ascii="Arial" w:eastAsia="Times New Roman" w:hAnsi="Arial" w:cs="Arial"/>
          <w:color w:val="000000"/>
          <w:sz w:val="20"/>
          <w:szCs w:val="20"/>
        </w:rPr>
        <w:t>In determining the profits (net income) from an activity, the receipts from the activity must be reduced by appropriate costs. The cost of an asset so allocated is the difference between the amount paid for the asset and the amount expected to be received upon its disposition. The asset is referred to as a depreciable asset. Depreciation is a method of allocation, not valuation.</w:t>
      </w:r>
    </w:p>
    <w:p w:rsidR="00545517" w:rsidRPr="00545517" w:rsidRDefault="00545517" w:rsidP="00545517">
      <w:pPr>
        <w:shd w:val="clear" w:color="auto" w:fill="FFFFFF"/>
        <w:spacing w:before="96" w:after="120" w:line="288" w:lineRule="atLeast"/>
        <w:rPr>
          <w:rFonts w:ascii="Arial" w:eastAsia="Times New Roman" w:hAnsi="Arial" w:cs="Arial"/>
          <w:color w:val="000000"/>
          <w:sz w:val="20"/>
          <w:szCs w:val="20"/>
        </w:rPr>
      </w:pPr>
      <w:r w:rsidRPr="00545517">
        <w:rPr>
          <w:rFonts w:ascii="Arial" w:eastAsia="Times New Roman" w:hAnsi="Arial" w:cs="Arial"/>
          <w:color w:val="000000"/>
          <w:sz w:val="20"/>
          <w:szCs w:val="20"/>
        </w:rPr>
        <w:t>Any business or income producing activity using tangible assets may incur costs related to those assets. Where the assets produce benefit in future periods, the costs must be deferred rather than treated as a current expense. The business then records depreciation expense as an allocation of such costs for financial reporting. Generally this involves four criteria:</w:t>
      </w:r>
    </w:p>
    <w:p w:rsidR="00545517" w:rsidRPr="00545517" w:rsidRDefault="00545517" w:rsidP="00545517">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545517">
        <w:rPr>
          <w:rFonts w:ascii="Arial" w:eastAsia="Times New Roman" w:hAnsi="Arial" w:cs="Arial"/>
          <w:color w:val="000000"/>
          <w:sz w:val="20"/>
          <w:szCs w:val="20"/>
        </w:rPr>
        <w:t>cost of the asset,</w:t>
      </w:r>
    </w:p>
    <w:p w:rsidR="00545517" w:rsidRPr="00545517" w:rsidRDefault="00545517" w:rsidP="00545517">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545517">
        <w:rPr>
          <w:rFonts w:ascii="Arial" w:eastAsia="Times New Roman" w:hAnsi="Arial" w:cs="Arial"/>
          <w:color w:val="000000"/>
          <w:sz w:val="20"/>
          <w:szCs w:val="20"/>
        </w:rPr>
        <w:t>expected </w:t>
      </w:r>
      <w:r w:rsidRPr="00545517">
        <w:rPr>
          <w:rFonts w:ascii="Arial" w:eastAsia="Times New Roman" w:hAnsi="Arial" w:cs="Arial"/>
          <w:sz w:val="20"/>
          <w:szCs w:val="20"/>
        </w:rPr>
        <w:t>salvage value</w:t>
      </w:r>
      <w:r w:rsidRPr="00545517">
        <w:rPr>
          <w:rFonts w:ascii="Arial" w:eastAsia="Times New Roman" w:hAnsi="Arial" w:cs="Arial"/>
          <w:color w:val="000000"/>
          <w:sz w:val="20"/>
          <w:szCs w:val="20"/>
        </w:rPr>
        <w:t>, also known as residual value of the asset,</w:t>
      </w:r>
    </w:p>
    <w:p w:rsidR="00545517" w:rsidRPr="00545517" w:rsidRDefault="00545517" w:rsidP="00545517">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r w:rsidRPr="00545517">
        <w:rPr>
          <w:rFonts w:ascii="Arial" w:eastAsia="Times New Roman" w:hAnsi="Arial" w:cs="Arial"/>
          <w:color w:val="000000"/>
          <w:sz w:val="20"/>
          <w:szCs w:val="20"/>
        </w:rPr>
        <w:t>estimated useful life of the asset, and</w:t>
      </w:r>
    </w:p>
    <w:p w:rsidR="00545517" w:rsidRPr="00545517" w:rsidRDefault="00545517" w:rsidP="00545517">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rPr>
      </w:pPr>
      <w:proofErr w:type="gramStart"/>
      <w:r w:rsidRPr="00545517">
        <w:rPr>
          <w:rFonts w:ascii="Arial" w:eastAsia="Times New Roman" w:hAnsi="Arial" w:cs="Arial"/>
          <w:color w:val="000000"/>
          <w:sz w:val="20"/>
          <w:szCs w:val="20"/>
        </w:rPr>
        <w:t>a</w:t>
      </w:r>
      <w:proofErr w:type="gramEnd"/>
      <w:r w:rsidRPr="00545517">
        <w:rPr>
          <w:rFonts w:ascii="Arial" w:eastAsia="Times New Roman" w:hAnsi="Arial" w:cs="Arial"/>
          <w:color w:val="000000"/>
          <w:sz w:val="20"/>
          <w:szCs w:val="20"/>
        </w:rPr>
        <w:t xml:space="preserve"> method of apportioning the cost over such life.</w:t>
      </w:r>
    </w:p>
    <w:p w:rsidR="00545517" w:rsidRDefault="00545517" w:rsidP="00673EA3">
      <w:pPr>
        <w:pBdr>
          <w:bottom w:val="single" w:sz="6" w:space="8" w:color="FFC200"/>
        </w:pBdr>
        <w:spacing w:after="150" w:line="384" w:lineRule="atLeast"/>
        <w:outlineLvl w:val="2"/>
        <w:rPr>
          <w:rFonts w:ascii="Segoe UI" w:eastAsia="Times New Roman" w:hAnsi="Segoe UI" w:cs="Segoe UI"/>
          <w:color w:val="454545"/>
          <w:sz w:val="30"/>
          <w:szCs w:val="30"/>
        </w:rPr>
      </w:pPr>
    </w:p>
    <w:p w:rsidR="00A220F6" w:rsidRPr="00A220F6" w:rsidRDefault="00A220F6" w:rsidP="00A220F6">
      <w:pPr>
        <w:shd w:val="clear" w:color="auto" w:fill="FFFFFF"/>
        <w:spacing w:after="72" w:line="288" w:lineRule="atLeast"/>
        <w:outlineLvl w:val="2"/>
        <w:rPr>
          <w:rFonts w:ascii="Arial" w:eastAsia="Times New Roman" w:hAnsi="Arial" w:cs="Arial"/>
          <w:b/>
          <w:bCs/>
          <w:color w:val="000000"/>
          <w:sz w:val="26"/>
          <w:szCs w:val="26"/>
        </w:rPr>
      </w:pPr>
      <w:r w:rsidRPr="00A220F6">
        <w:rPr>
          <w:rFonts w:ascii="Arial" w:eastAsia="Times New Roman" w:hAnsi="Arial" w:cs="Arial"/>
          <w:b/>
          <w:bCs/>
          <w:color w:val="000000"/>
          <w:sz w:val="26"/>
          <w:szCs w:val="26"/>
        </w:rPr>
        <w:t>Accumulated depreciation</w:t>
      </w:r>
    </w:p>
    <w:p w:rsidR="00A220F6" w:rsidRDefault="00A220F6" w:rsidP="00A220F6">
      <w:pPr>
        <w:shd w:val="clear" w:color="auto" w:fill="FFFFFF"/>
        <w:spacing w:before="96" w:after="120" w:line="288" w:lineRule="atLeast"/>
        <w:rPr>
          <w:rFonts w:ascii="Arial" w:eastAsia="Times New Roman" w:hAnsi="Arial" w:cs="Arial"/>
          <w:color w:val="000000"/>
          <w:sz w:val="20"/>
          <w:szCs w:val="20"/>
        </w:rPr>
      </w:pPr>
      <w:r w:rsidRPr="00A220F6">
        <w:rPr>
          <w:rFonts w:ascii="Arial" w:eastAsia="Times New Roman" w:hAnsi="Arial" w:cs="Arial"/>
          <w:color w:val="000000"/>
          <w:sz w:val="20"/>
          <w:szCs w:val="20"/>
        </w:rPr>
        <w:t xml:space="preserve">While depreciation expense is recorded on the income statement of a business, its impact is generally recorded in a separate account and disclosed on the balance sheet as accumulated depreciation, under fixed assets. </w:t>
      </w:r>
    </w:p>
    <w:p w:rsidR="00A220F6" w:rsidRDefault="00A220F6" w:rsidP="00A220F6">
      <w:pPr>
        <w:shd w:val="clear" w:color="auto" w:fill="FFFFFF"/>
        <w:spacing w:before="96" w:after="120" w:line="288" w:lineRule="atLeast"/>
        <w:rPr>
          <w:rFonts w:ascii="Arial" w:eastAsia="Times New Roman" w:hAnsi="Arial" w:cs="Arial"/>
          <w:color w:val="000000"/>
          <w:sz w:val="20"/>
          <w:szCs w:val="20"/>
        </w:rPr>
      </w:pPr>
      <w:r w:rsidRPr="00A220F6">
        <w:rPr>
          <w:rFonts w:ascii="Arial" w:eastAsia="Times New Roman" w:hAnsi="Arial" w:cs="Arial"/>
          <w:color w:val="000000"/>
          <w:sz w:val="20"/>
          <w:szCs w:val="20"/>
        </w:rPr>
        <w:t xml:space="preserve">The values of the fixed assets stated on the balance sheet will decline, even if the business has not invested in or disposed of any assets. The amounts will roughly approximate fair value. Otherwise, depreciation expense is charged against accumulated depreciation. Showing accumulated depreciation separately on the balance sheet has the effect of preserving the historical cost of assets on the balance sheet. </w:t>
      </w:r>
    </w:p>
    <w:p w:rsidR="00A220F6" w:rsidRDefault="00A220F6" w:rsidP="00A220F6">
      <w:pPr>
        <w:pStyle w:val="Heading2"/>
        <w:pBdr>
          <w:bottom w:val="single" w:sz="6" w:space="2" w:color="AAAAAA"/>
        </w:pBdr>
        <w:shd w:val="clear" w:color="auto" w:fill="FFFFFF"/>
        <w:spacing w:before="0" w:after="144" w:line="288" w:lineRule="atLeast"/>
        <w:rPr>
          <w:rStyle w:val="mw-headline"/>
          <w:rFonts w:ascii="Arial" w:hAnsi="Arial" w:cs="Arial"/>
          <w:b w:val="0"/>
          <w:bCs w:val="0"/>
          <w:color w:val="000000"/>
          <w:sz w:val="29"/>
          <w:szCs w:val="29"/>
        </w:rPr>
      </w:pPr>
    </w:p>
    <w:p w:rsidR="00A220F6" w:rsidRDefault="00A220F6" w:rsidP="00A220F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Methods of depreciation</w:t>
      </w:r>
    </w:p>
    <w:p w:rsidR="00A220F6" w:rsidRDefault="00A220F6" w:rsidP="00A220F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There are several methods for calculating depreciation, generally based on either the passage of time or the level of activity (or use) of the asset.</w:t>
      </w:r>
    </w:p>
    <w:p w:rsidR="00A220F6" w:rsidRDefault="00A220F6" w:rsidP="00A220F6">
      <w:pPr>
        <w:pStyle w:val="NormalWeb"/>
        <w:shd w:val="clear" w:color="auto" w:fill="FFFFFF"/>
        <w:spacing w:before="96" w:beforeAutospacing="0" w:after="120" w:afterAutospacing="0" w:line="288" w:lineRule="atLeast"/>
        <w:rPr>
          <w:rFonts w:ascii="Arial" w:hAnsi="Arial" w:cs="Arial"/>
          <w:color w:val="000000"/>
          <w:sz w:val="20"/>
          <w:szCs w:val="20"/>
        </w:rPr>
      </w:pPr>
    </w:p>
    <w:p w:rsidR="00A220F6" w:rsidRDefault="00A220F6" w:rsidP="00A220F6">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lastRenderedPageBreak/>
        <w:t>Straight-line depreciation</w:t>
      </w:r>
    </w:p>
    <w:p w:rsidR="00A220F6" w:rsidRDefault="00A220F6" w:rsidP="00A220F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Straight-line depreciation is the simplest and most-often-used technique, in which the company estimates the salvage value of the asset at the end of the period during which it will be used to generate revenues (useful life) and will expense a portion of</w:t>
      </w:r>
      <w:r>
        <w:rPr>
          <w:rStyle w:val="apple-converted-space"/>
          <w:rFonts w:ascii="Arial" w:hAnsi="Arial" w:cs="Arial"/>
          <w:color w:val="000000"/>
          <w:sz w:val="20"/>
          <w:szCs w:val="20"/>
        </w:rPr>
        <w:t> </w:t>
      </w:r>
      <w:r w:rsidRPr="00A220F6">
        <w:rPr>
          <w:rFonts w:ascii="Arial" w:hAnsi="Arial" w:cs="Arial"/>
          <w:bCs/>
          <w:color w:val="000000"/>
          <w:sz w:val="20"/>
          <w:szCs w:val="20"/>
        </w:rPr>
        <w:t>original cost</w:t>
      </w:r>
      <w:r>
        <w:rPr>
          <w:rStyle w:val="apple-converted-space"/>
          <w:rFonts w:ascii="Arial" w:hAnsi="Arial" w:cs="Arial"/>
          <w:color w:val="000000"/>
          <w:sz w:val="20"/>
          <w:szCs w:val="20"/>
        </w:rPr>
        <w:t> </w:t>
      </w:r>
      <w:r>
        <w:rPr>
          <w:rFonts w:ascii="Arial" w:hAnsi="Arial" w:cs="Arial"/>
          <w:color w:val="000000"/>
          <w:sz w:val="20"/>
          <w:szCs w:val="20"/>
        </w:rPr>
        <w:t>in equal increments over that period. The salvage value is an estimate of the value of the asset at the time it will be sold or disposed of; it may be zero. Salvage value is also known as scrap value or</w:t>
      </w:r>
      <w:r>
        <w:rPr>
          <w:rStyle w:val="apple-converted-space"/>
          <w:rFonts w:ascii="Arial" w:hAnsi="Arial" w:cs="Arial"/>
          <w:color w:val="000000"/>
          <w:sz w:val="20"/>
          <w:szCs w:val="20"/>
        </w:rPr>
        <w:t> </w:t>
      </w:r>
      <w:r w:rsidRPr="00A220F6">
        <w:rPr>
          <w:rFonts w:ascii="Arial" w:hAnsi="Arial" w:cs="Arial"/>
          <w:color w:val="000000"/>
          <w:sz w:val="20"/>
          <w:szCs w:val="20"/>
        </w:rPr>
        <w:t>residual value</w:t>
      </w:r>
      <w:r>
        <w:rPr>
          <w:rFonts w:ascii="Arial" w:hAnsi="Arial" w:cs="Arial"/>
          <w:color w:val="000000"/>
          <w:sz w:val="20"/>
          <w:szCs w:val="20"/>
        </w:rPr>
        <w:t>.</w:t>
      </w:r>
    </w:p>
    <w:p w:rsidR="00A220F6" w:rsidRDefault="00A220F6" w:rsidP="00A220F6">
      <w:pPr>
        <w:pStyle w:val="NormalWeb"/>
        <w:shd w:val="clear" w:color="auto" w:fill="FFFFFF"/>
        <w:spacing w:before="96" w:beforeAutospacing="0" w:after="120" w:afterAutospacing="0" w:line="288" w:lineRule="atLeast"/>
        <w:rPr>
          <w:rFonts w:ascii="Arial" w:hAnsi="Arial" w:cs="Arial"/>
          <w:b/>
          <w:bCs/>
          <w:color w:val="000000"/>
          <w:sz w:val="20"/>
          <w:szCs w:val="20"/>
        </w:rPr>
      </w:pPr>
    </w:p>
    <w:p w:rsidR="00A220F6" w:rsidRDefault="00A220F6" w:rsidP="00A220F6">
      <w:pPr>
        <w:pStyle w:val="NormalWeb"/>
        <w:shd w:val="clear" w:color="auto" w:fill="FFFFFF"/>
        <w:spacing w:before="96" w:beforeAutospacing="0" w:after="120" w:afterAutospacing="0" w:line="288" w:lineRule="atLeast"/>
        <w:rPr>
          <w:rFonts w:ascii="Arial" w:hAnsi="Arial" w:cs="Arial"/>
          <w:b/>
          <w:bCs/>
          <w:color w:val="000000"/>
          <w:sz w:val="20"/>
          <w:szCs w:val="20"/>
        </w:rPr>
      </w:pPr>
      <w:r>
        <w:rPr>
          <w:rFonts w:ascii="Arial" w:hAnsi="Arial" w:cs="Arial"/>
          <w:b/>
          <w:bCs/>
          <w:color w:val="000000"/>
          <w:sz w:val="20"/>
          <w:szCs w:val="20"/>
        </w:rPr>
        <w:t>Straight-line method:</w:t>
      </w:r>
    </w:p>
    <w:p w:rsidR="00A220F6" w:rsidRDefault="00A220F6" w:rsidP="00A220F6">
      <w:pPr>
        <w:pStyle w:val="NormalWeb"/>
        <w:shd w:val="clear" w:color="auto" w:fill="FFFFFF"/>
        <w:spacing w:before="96" w:beforeAutospacing="0" w:after="120" w:afterAutospacing="0" w:line="288" w:lineRule="atLeast"/>
        <w:rPr>
          <w:rFonts w:ascii="Arial" w:hAnsi="Arial" w:cs="Arial"/>
          <w:color w:val="000000"/>
          <w:sz w:val="20"/>
          <w:szCs w:val="20"/>
        </w:rPr>
      </w:pPr>
    </w:p>
    <w:p w:rsidR="00A220F6" w:rsidRDefault="00A220F6" w:rsidP="00A220F6">
      <w:pPr>
        <w:shd w:val="clear" w:color="auto" w:fill="FFFFFF"/>
        <w:spacing w:after="24" w:line="360" w:lineRule="atLeast"/>
        <w:ind w:left="720"/>
        <w:jc w:val="center"/>
        <w:rPr>
          <w:rFonts w:ascii="Arial" w:hAnsi="Arial" w:cs="Arial"/>
          <w:color w:val="000000"/>
          <w:sz w:val="20"/>
          <w:szCs w:val="20"/>
        </w:rPr>
      </w:pPr>
      <w:r>
        <w:rPr>
          <w:rFonts w:ascii="Arial" w:hAnsi="Arial" w:cs="Arial"/>
          <w:noProof/>
          <w:color w:val="000000"/>
          <w:sz w:val="20"/>
          <w:szCs w:val="20"/>
        </w:rPr>
        <w:drawing>
          <wp:inline distT="0" distB="0" distL="0" distR="0">
            <wp:extent cx="5732780" cy="445135"/>
            <wp:effectExtent l="0" t="0" r="1270" b="0"/>
            <wp:docPr id="2" name="Picture 2" descr="\mbox{Annual Depreciation Expense} = {\mbox{Cost of Fixed Asset} - \mbox{Residual Value} \over \mbox{Useful Life of Asse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ox{Annual Depreciation Expense} = {\mbox{Cost of Fixed Asset} - \mbox{Residual Value} \over \mbox{Useful Life of Asset} (year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445135"/>
                    </a:xfrm>
                    <a:prstGeom prst="rect">
                      <a:avLst/>
                    </a:prstGeom>
                    <a:noFill/>
                    <a:ln>
                      <a:noFill/>
                    </a:ln>
                  </pic:spPr>
                </pic:pic>
              </a:graphicData>
            </a:graphic>
          </wp:inline>
        </w:drawing>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color w:val="000000"/>
          <w:sz w:val="20"/>
          <w:szCs w:val="20"/>
        </w:rPr>
        <w:t>For example, a vehicle that depreciates over 5 years, is purchased at a cost of</w:t>
      </w:r>
      <w:r>
        <w:rPr>
          <w:rStyle w:val="apple-converted-space"/>
          <w:rFonts w:ascii="Arial" w:hAnsi="Arial" w:cs="Arial"/>
          <w:color w:val="000000"/>
          <w:sz w:val="20"/>
          <w:szCs w:val="20"/>
        </w:rPr>
        <w:t> </w:t>
      </w:r>
      <w:r>
        <w:rPr>
          <w:rFonts w:ascii="Arial" w:hAnsi="Arial" w:cs="Arial"/>
          <w:b/>
          <w:bCs/>
          <w:color w:val="000000"/>
          <w:sz w:val="20"/>
          <w:szCs w:val="20"/>
        </w:rPr>
        <w:t>US$17,000</w:t>
      </w:r>
      <w:r>
        <w:rPr>
          <w:rFonts w:ascii="Arial" w:hAnsi="Arial" w:cs="Arial"/>
          <w:color w:val="000000"/>
          <w:sz w:val="20"/>
          <w:szCs w:val="20"/>
        </w:rPr>
        <w:t>, and will have a salvage value of</w:t>
      </w:r>
      <w:r>
        <w:rPr>
          <w:rStyle w:val="apple-converted-space"/>
          <w:rFonts w:ascii="Arial" w:hAnsi="Arial" w:cs="Arial"/>
          <w:color w:val="000000"/>
          <w:sz w:val="20"/>
          <w:szCs w:val="20"/>
        </w:rPr>
        <w:t> </w:t>
      </w:r>
      <w:r>
        <w:rPr>
          <w:rFonts w:ascii="Arial" w:hAnsi="Arial" w:cs="Arial"/>
          <w:b/>
          <w:bCs/>
          <w:color w:val="000000"/>
          <w:sz w:val="20"/>
          <w:szCs w:val="20"/>
        </w:rPr>
        <w:t>US$2000</w:t>
      </w:r>
      <w:r>
        <w:rPr>
          <w:rFonts w:ascii="Arial" w:hAnsi="Arial" w:cs="Arial"/>
          <w:color w:val="000000"/>
          <w:sz w:val="20"/>
          <w:szCs w:val="20"/>
        </w:rPr>
        <w:t>, will depreciate at</w:t>
      </w:r>
      <w:r>
        <w:rPr>
          <w:rStyle w:val="apple-converted-space"/>
          <w:rFonts w:ascii="Arial" w:hAnsi="Arial" w:cs="Arial"/>
          <w:color w:val="000000"/>
          <w:sz w:val="20"/>
          <w:szCs w:val="20"/>
        </w:rPr>
        <w:t> </w:t>
      </w:r>
      <w:r>
        <w:rPr>
          <w:rFonts w:ascii="Arial" w:hAnsi="Arial" w:cs="Arial"/>
          <w:b/>
          <w:bCs/>
          <w:color w:val="000000"/>
          <w:sz w:val="20"/>
          <w:szCs w:val="20"/>
        </w:rPr>
        <w:t>US$3,000</w:t>
      </w:r>
      <w:r>
        <w:rPr>
          <w:rStyle w:val="apple-converted-space"/>
          <w:rFonts w:ascii="Arial" w:hAnsi="Arial" w:cs="Arial"/>
          <w:color w:val="000000"/>
          <w:sz w:val="20"/>
          <w:szCs w:val="20"/>
        </w:rPr>
        <w:t> </w:t>
      </w:r>
      <w:r>
        <w:rPr>
          <w:rFonts w:ascii="Arial" w:hAnsi="Arial" w:cs="Arial"/>
          <w:color w:val="000000"/>
          <w:sz w:val="20"/>
          <w:szCs w:val="20"/>
        </w:rPr>
        <w:t>per year:</w:t>
      </w:r>
      <w:r>
        <w:rPr>
          <w:rStyle w:val="apple-converted-space"/>
          <w:rFonts w:ascii="Arial" w:hAnsi="Arial" w:cs="Arial"/>
          <w:color w:val="000000"/>
          <w:sz w:val="20"/>
          <w:szCs w:val="20"/>
        </w:rPr>
        <w:t> </w:t>
      </w:r>
      <w:r>
        <w:rPr>
          <w:rFonts w:ascii="Arial" w:hAnsi="Arial" w:cs="Arial"/>
          <w:b/>
          <w:bCs/>
          <w:color w:val="000000"/>
          <w:sz w:val="20"/>
          <w:szCs w:val="20"/>
        </w:rPr>
        <w:t>($17,000 − $2,000)/ 5 years = $3,000</w:t>
      </w:r>
      <w:r>
        <w:rPr>
          <w:rStyle w:val="apple-converted-space"/>
          <w:rFonts w:ascii="Arial" w:hAnsi="Arial" w:cs="Arial"/>
          <w:color w:val="000000"/>
          <w:sz w:val="20"/>
          <w:szCs w:val="20"/>
        </w:rPr>
        <w:t> </w:t>
      </w:r>
      <w:r>
        <w:rPr>
          <w:rFonts w:ascii="Arial" w:hAnsi="Arial" w:cs="Arial"/>
          <w:color w:val="000000"/>
          <w:sz w:val="20"/>
          <w:szCs w:val="20"/>
        </w:rPr>
        <w:t>annual straight-line</w:t>
      </w:r>
      <w:r>
        <w:rPr>
          <w:rFonts w:ascii="Arial" w:hAnsi="Arial" w:cs="Arial"/>
          <w:b/>
          <w:bCs/>
          <w:color w:val="000000"/>
          <w:sz w:val="20"/>
          <w:szCs w:val="20"/>
        </w:rPr>
        <w:t>depreciation expense</w:t>
      </w:r>
      <w:r>
        <w:rPr>
          <w:rFonts w:ascii="Arial" w:hAnsi="Arial" w:cs="Arial"/>
          <w:color w:val="000000"/>
          <w:sz w:val="20"/>
          <w:szCs w:val="20"/>
        </w:rPr>
        <w:t>. In other words, it is the</w:t>
      </w:r>
      <w:r>
        <w:rPr>
          <w:rStyle w:val="apple-converted-space"/>
          <w:rFonts w:ascii="Arial" w:hAnsi="Arial" w:cs="Arial"/>
          <w:color w:val="000000"/>
          <w:sz w:val="20"/>
          <w:szCs w:val="20"/>
        </w:rPr>
        <w:t> </w:t>
      </w:r>
      <w:r>
        <w:rPr>
          <w:rFonts w:ascii="Arial" w:hAnsi="Arial" w:cs="Arial"/>
          <w:b/>
          <w:bCs/>
          <w:color w:val="000000"/>
          <w:sz w:val="20"/>
          <w:szCs w:val="20"/>
        </w:rPr>
        <w:t>depreciable cost</w:t>
      </w:r>
      <w:r>
        <w:rPr>
          <w:rStyle w:val="apple-converted-space"/>
          <w:rFonts w:ascii="Arial" w:hAnsi="Arial" w:cs="Arial"/>
          <w:color w:val="000000"/>
          <w:sz w:val="20"/>
          <w:szCs w:val="20"/>
        </w:rPr>
        <w:t> </w:t>
      </w:r>
      <w:r>
        <w:rPr>
          <w:rFonts w:ascii="Arial" w:hAnsi="Arial" w:cs="Arial"/>
          <w:color w:val="000000"/>
          <w:sz w:val="20"/>
          <w:szCs w:val="20"/>
        </w:rPr>
        <w:t>of the asset divided by the number of years of its useful life.</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color w:val="000000"/>
          <w:sz w:val="20"/>
          <w:szCs w:val="20"/>
        </w:rPr>
        <w:t>This table illustrates the straight-line method of depreciation. Book value at the beginning of the first year of depreciation is the original cost of the asset. At any time book value equals original cost minus accumulated depreciation.</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proofErr w:type="gramStart"/>
      <w:r>
        <w:rPr>
          <w:rFonts w:ascii="Arial" w:hAnsi="Arial" w:cs="Arial"/>
          <w:b/>
          <w:bCs/>
          <w:color w:val="000000"/>
          <w:sz w:val="20"/>
          <w:szCs w:val="20"/>
        </w:rPr>
        <w:t>book</w:t>
      </w:r>
      <w:proofErr w:type="gramEnd"/>
      <w:r>
        <w:rPr>
          <w:rFonts w:ascii="Arial" w:hAnsi="Arial" w:cs="Arial"/>
          <w:b/>
          <w:bCs/>
          <w:color w:val="000000"/>
          <w:sz w:val="20"/>
          <w:szCs w:val="20"/>
        </w:rPr>
        <w:t xml:space="preserve"> value = original cost − accumulated depreciation</w:t>
      </w:r>
      <w:r>
        <w:rPr>
          <w:rStyle w:val="apple-converted-space"/>
          <w:rFonts w:ascii="Arial" w:hAnsi="Arial" w:cs="Arial"/>
          <w:color w:val="000000"/>
          <w:sz w:val="20"/>
          <w:szCs w:val="20"/>
        </w:rPr>
        <w:t> </w:t>
      </w:r>
      <w:r>
        <w:rPr>
          <w:rFonts w:ascii="Arial" w:hAnsi="Arial" w:cs="Arial"/>
          <w:color w:val="000000"/>
          <w:sz w:val="20"/>
          <w:szCs w:val="20"/>
        </w:rPr>
        <w:t>Book value at the end of year becomes book value at the beginning of next year. The asset is depreciated until the book value equals scrap value.</w:t>
      </w:r>
    </w:p>
    <w:tbl>
      <w:tblPr>
        <w:tblW w:w="0" w:type="auto"/>
        <w:tblInd w:w="38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197"/>
        <w:gridCol w:w="1308"/>
        <w:gridCol w:w="1352"/>
        <w:gridCol w:w="1998"/>
      </w:tblGrid>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Book value at</w:t>
            </w:r>
            <w:r>
              <w:rPr>
                <w:rFonts w:ascii="Arial" w:hAnsi="Arial" w:cs="Arial"/>
                <w:b/>
                <w:bCs/>
                <w:color w:val="000000"/>
                <w:sz w:val="20"/>
                <w:szCs w:val="20"/>
              </w:rPr>
              <w:br/>
              <w:t>beginning of 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Depreciation</w:t>
            </w:r>
            <w:r>
              <w:rPr>
                <w:rFonts w:ascii="Arial" w:hAnsi="Arial" w:cs="Arial"/>
                <w:b/>
                <w:bCs/>
                <w:color w:val="000000"/>
                <w:sz w:val="20"/>
                <w:szCs w:val="20"/>
              </w:rPr>
              <w:br/>
              <w:t>expense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Accumulated</w:t>
            </w:r>
            <w:r>
              <w:rPr>
                <w:rFonts w:ascii="Arial" w:hAnsi="Arial" w:cs="Arial"/>
                <w:b/>
                <w:bCs/>
                <w:color w:val="000000"/>
                <w:sz w:val="20"/>
                <w:szCs w:val="20"/>
              </w:rPr>
              <w:br/>
              <w:t>depreciation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Book value at</w:t>
            </w:r>
            <w:r>
              <w:rPr>
                <w:rFonts w:ascii="Arial" w:hAnsi="Arial" w:cs="Arial"/>
                <w:b/>
                <w:bCs/>
                <w:color w:val="000000"/>
                <w:sz w:val="20"/>
                <w:szCs w:val="20"/>
              </w:rPr>
              <w:br/>
              <w:t>end of year</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$17,000 (original cost)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$14,000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$14,000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$6,000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$11,000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$11,000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$9,000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$8,000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$8,000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$12,000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$5,000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lastRenderedPageBreak/>
              <w:t>$5,000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$15,000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$2,000 (scrap value)</w:t>
            </w:r>
          </w:p>
        </w:tc>
      </w:tr>
    </w:tbl>
    <w:p w:rsidR="00A220F6" w:rsidRPr="00673EA3" w:rsidRDefault="00A220F6" w:rsidP="00A220F6">
      <w:pPr>
        <w:pBdr>
          <w:bottom w:val="single" w:sz="6" w:space="8" w:color="FFC200"/>
        </w:pBdr>
        <w:spacing w:after="150" w:line="384" w:lineRule="atLeast"/>
        <w:outlineLvl w:val="2"/>
        <w:rPr>
          <w:rFonts w:ascii="Segoe UI" w:eastAsia="Times New Roman" w:hAnsi="Segoe UI" w:cs="Segoe UI"/>
          <w:color w:val="454545"/>
          <w:sz w:val="30"/>
          <w:szCs w:val="30"/>
        </w:rPr>
      </w:pPr>
      <w:r w:rsidRPr="00673EA3">
        <w:rPr>
          <w:rFonts w:ascii="Segoe UI" w:eastAsia="Times New Roman" w:hAnsi="Segoe UI" w:cs="Segoe UI"/>
          <w:color w:val="454545"/>
          <w:sz w:val="30"/>
          <w:szCs w:val="30"/>
        </w:rPr>
        <w:t>Syntax</w:t>
      </w:r>
    </w:p>
    <w:p w:rsidR="00A220F6" w:rsidRPr="00673EA3" w:rsidRDefault="00A220F6" w:rsidP="00A220F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rPr>
          <w:rFonts w:ascii="Courier New" w:eastAsia="Times New Roman" w:hAnsi="Courier New" w:cs="Courier New"/>
          <w:color w:val="555555"/>
          <w:sz w:val="20"/>
          <w:szCs w:val="20"/>
        </w:rPr>
      </w:pPr>
      <w:proofErr w:type="gramStart"/>
      <w:r w:rsidRPr="00673EA3">
        <w:rPr>
          <w:rFonts w:ascii="Courier New" w:eastAsia="Times New Roman" w:hAnsi="Courier New" w:cs="Courier New"/>
          <w:color w:val="555555"/>
          <w:sz w:val="20"/>
          <w:szCs w:val="20"/>
        </w:rPr>
        <w:t>SLN(</w:t>
      </w:r>
      <w:proofErr w:type="gramEnd"/>
      <w:r w:rsidRPr="00673EA3">
        <w:rPr>
          <w:rFonts w:ascii="Courier New" w:eastAsia="Times New Roman" w:hAnsi="Courier New" w:cs="Courier New"/>
          <w:color w:val="555555"/>
          <w:sz w:val="20"/>
          <w:szCs w:val="20"/>
        </w:rPr>
        <w:t>cost, salvage, life)</w:t>
      </w:r>
    </w:p>
    <w:p w:rsidR="00A220F6" w:rsidRPr="00673EA3" w:rsidRDefault="00A220F6" w:rsidP="00A220F6">
      <w:pPr>
        <w:spacing w:before="270" w:after="270" w:line="384" w:lineRule="atLeast"/>
        <w:rPr>
          <w:rFonts w:ascii="Arial" w:eastAsia="Times New Roman" w:hAnsi="Arial" w:cs="Arial"/>
          <w:color w:val="555555"/>
          <w:sz w:val="19"/>
          <w:szCs w:val="19"/>
        </w:rPr>
      </w:pPr>
      <w:r w:rsidRPr="00673EA3">
        <w:rPr>
          <w:rFonts w:ascii="Arial" w:eastAsia="Times New Roman" w:hAnsi="Arial" w:cs="Arial"/>
          <w:color w:val="555555"/>
          <w:sz w:val="19"/>
          <w:szCs w:val="19"/>
        </w:rPr>
        <w:t xml:space="preserve">The SLN function syntax has the following </w:t>
      </w:r>
      <w:hyperlink r:id="rId6" w:history="1">
        <w:r w:rsidRPr="00673EA3">
          <w:rPr>
            <w:rFonts w:ascii="Arial" w:eastAsia="Times New Roman" w:hAnsi="Arial" w:cs="Arial"/>
            <w:color w:val="660000"/>
            <w:sz w:val="19"/>
            <w:szCs w:val="19"/>
          </w:rPr>
          <w:t>arguments</w:t>
        </w:r>
        <w:r w:rsidRPr="00673EA3">
          <w:rPr>
            <w:rFonts w:ascii="Arial" w:eastAsia="Times New Roman" w:hAnsi="Arial" w:cs="Arial"/>
            <w:vanish/>
            <w:color w:val="660000"/>
            <w:sz w:val="19"/>
            <w:szCs w:val="19"/>
          </w:rPr>
          <w:t xml:space="preserve"> (argument: A value that provides information to an action, an event, a method, a property, a function, or a procedure.)</w:t>
        </w:r>
      </w:hyperlink>
      <w:r w:rsidRPr="00673EA3">
        <w:rPr>
          <w:rFonts w:ascii="Arial" w:eastAsia="Times New Roman" w:hAnsi="Arial" w:cs="Arial"/>
          <w:color w:val="555555"/>
          <w:sz w:val="19"/>
          <w:szCs w:val="19"/>
        </w:rPr>
        <w:t>:</w:t>
      </w:r>
    </w:p>
    <w:p w:rsidR="00A220F6" w:rsidRPr="00673EA3" w:rsidRDefault="00A220F6" w:rsidP="00A220F6">
      <w:pPr>
        <w:numPr>
          <w:ilvl w:val="0"/>
          <w:numId w:val="1"/>
        </w:numPr>
        <w:spacing w:before="120" w:after="120" w:line="384" w:lineRule="atLeast"/>
        <w:ind w:left="390" w:right="390"/>
        <w:rPr>
          <w:rFonts w:ascii="Arial" w:eastAsia="Times New Roman" w:hAnsi="Arial" w:cs="Arial"/>
          <w:color w:val="555555"/>
          <w:sz w:val="19"/>
          <w:szCs w:val="19"/>
        </w:rPr>
      </w:pPr>
      <w:r w:rsidRPr="00673EA3">
        <w:rPr>
          <w:rFonts w:ascii="Arial" w:eastAsia="Times New Roman" w:hAnsi="Arial" w:cs="Arial"/>
          <w:b/>
          <w:bCs/>
          <w:color w:val="555555"/>
          <w:sz w:val="19"/>
          <w:szCs w:val="19"/>
        </w:rPr>
        <w:t>Cost</w:t>
      </w:r>
      <w:r w:rsidRPr="00673EA3">
        <w:rPr>
          <w:rFonts w:ascii="Arial" w:eastAsia="Times New Roman" w:hAnsi="Arial" w:cs="Arial"/>
          <w:color w:val="555555"/>
          <w:sz w:val="19"/>
          <w:szCs w:val="19"/>
        </w:rPr>
        <w:t xml:space="preserve"> Required. The initial cost of the asset. </w:t>
      </w:r>
    </w:p>
    <w:p w:rsidR="00A220F6" w:rsidRPr="00673EA3" w:rsidRDefault="00A220F6" w:rsidP="00A220F6">
      <w:pPr>
        <w:numPr>
          <w:ilvl w:val="0"/>
          <w:numId w:val="1"/>
        </w:numPr>
        <w:spacing w:before="120" w:after="120" w:line="384" w:lineRule="atLeast"/>
        <w:ind w:left="390" w:right="390"/>
        <w:rPr>
          <w:rFonts w:ascii="Arial" w:eastAsia="Times New Roman" w:hAnsi="Arial" w:cs="Arial"/>
          <w:color w:val="555555"/>
          <w:sz w:val="19"/>
          <w:szCs w:val="19"/>
        </w:rPr>
      </w:pPr>
      <w:r w:rsidRPr="00673EA3">
        <w:rPr>
          <w:rFonts w:ascii="Arial" w:eastAsia="Times New Roman" w:hAnsi="Arial" w:cs="Arial"/>
          <w:b/>
          <w:bCs/>
          <w:color w:val="555555"/>
          <w:sz w:val="19"/>
          <w:szCs w:val="19"/>
        </w:rPr>
        <w:t>Salvage</w:t>
      </w:r>
      <w:r w:rsidRPr="00673EA3">
        <w:rPr>
          <w:rFonts w:ascii="Arial" w:eastAsia="Times New Roman" w:hAnsi="Arial" w:cs="Arial"/>
          <w:color w:val="555555"/>
          <w:sz w:val="19"/>
          <w:szCs w:val="19"/>
        </w:rPr>
        <w:t xml:space="preserve"> Required. The value at the end of the depreciation (sometimes called the salvage value of the asset). </w:t>
      </w:r>
    </w:p>
    <w:p w:rsidR="00A220F6" w:rsidRPr="00673EA3" w:rsidRDefault="00A220F6" w:rsidP="00A220F6">
      <w:pPr>
        <w:numPr>
          <w:ilvl w:val="0"/>
          <w:numId w:val="1"/>
        </w:numPr>
        <w:spacing w:before="120" w:after="120" w:line="384" w:lineRule="atLeast"/>
        <w:ind w:left="390" w:right="390"/>
        <w:rPr>
          <w:rFonts w:ascii="Arial" w:eastAsia="Times New Roman" w:hAnsi="Arial" w:cs="Arial"/>
          <w:color w:val="555555"/>
          <w:sz w:val="19"/>
          <w:szCs w:val="19"/>
        </w:rPr>
      </w:pPr>
      <w:r w:rsidRPr="00673EA3">
        <w:rPr>
          <w:rFonts w:ascii="Arial" w:eastAsia="Times New Roman" w:hAnsi="Arial" w:cs="Arial"/>
          <w:b/>
          <w:bCs/>
          <w:color w:val="555555"/>
          <w:sz w:val="19"/>
          <w:szCs w:val="19"/>
        </w:rPr>
        <w:t>Life</w:t>
      </w:r>
      <w:r w:rsidRPr="00673EA3">
        <w:rPr>
          <w:rFonts w:ascii="Arial" w:eastAsia="Times New Roman" w:hAnsi="Arial" w:cs="Arial"/>
          <w:color w:val="555555"/>
          <w:sz w:val="19"/>
          <w:szCs w:val="19"/>
        </w:rPr>
        <w:t xml:space="preserve"> Required. The number of periods over which the asset is depreciated (sometimes called the useful life of the asset).</w:t>
      </w:r>
    </w:p>
    <w:p w:rsidR="00A220F6" w:rsidRPr="00673EA3" w:rsidRDefault="00A220F6" w:rsidP="00A220F6">
      <w:pPr>
        <w:pBdr>
          <w:bottom w:val="single" w:sz="6" w:space="8" w:color="FFC200"/>
        </w:pBdr>
        <w:spacing w:after="150" w:line="384" w:lineRule="atLeast"/>
        <w:outlineLvl w:val="2"/>
        <w:rPr>
          <w:rFonts w:ascii="Segoe UI" w:eastAsia="Times New Roman" w:hAnsi="Segoe UI" w:cs="Segoe UI"/>
          <w:color w:val="454545"/>
          <w:sz w:val="30"/>
          <w:szCs w:val="30"/>
        </w:rPr>
      </w:pPr>
      <w:r w:rsidRPr="00673EA3">
        <w:rPr>
          <w:rFonts w:ascii="Segoe UI" w:eastAsia="Times New Roman" w:hAnsi="Segoe UI" w:cs="Segoe UI"/>
          <w:color w:val="454545"/>
          <w:sz w:val="30"/>
          <w:szCs w:val="30"/>
        </w:rPr>
        <w:t>Example</w:t>
      </w:r>
    </w:p>
    <w:p w:rsidR="00A220F6" w:rsidRPr="00673EA3" w:rsidRDefault="00A220F6" w:rsidP="00A220F6">
      <w:pPr>
        <w:spacing w:before="270" w:after="270" w:line="384" w:lineRule="atLeast"/>
        <w:rPr>
          <w:rFonts w:ascii="Arial" w:eastAsia="Times New Roman" w:hAnsi="Arial" w:cs="Arial"/>
          <w:vanish/>
          <w:color w:val="555555"/>
          <w:sz w:val="19"/>
          <w:szCs w:val="19"/>
        </w:rPr>
      </w:pPr>
      <w:r w:rsidRPr="00673EA3">
        <w:rPr>
          <w:rFonts w:ascii="Arial" w:eastAsia="Times New Roman" w:hAnsi="Arial" w:cs="Arial"/>
          <w:vanish/>
          <w:color w:val="555555"/>
          <w:sz w:val="19"/>
          <w:szCs w:val="19"/>
        </w:rPr>
        <w:t>After you copy the example to a blank worksheet, you can adapt it to suit your needs.</w:t>
      </w:r>
    </w:p>
    <w:tbl>
      <w:tblPr>
        <w:tblW w:w="0" w:type="auto"/>
        <w:tblInd w:w="24" w:type="dxa"/>
        <w:tblCellMar>
          <w:left w:w="0" w:type="dxa"/>
          <w:right w:w="0" w:type="dxa"/>
        </w:tblCellMar>
        <w:tblLook w:val="04A0"/>
      </w:tblPr>
      <w:tblGrid>
        <w:gridCol w:w="777"/>
        <w:gridCol w:w="5661"/>
      </w:tblGrid>
      <w:tr w:rsidR="00A220F6" w:rsidRPr="00673EA3" w:rsidTr="004F17CB">
        <w:tc>
          <w:tcPr>
            <w:tcW w:w="0" w:type="auto"/>
            <w:tcBorders>
              <w:top w:val="nil"/>
              <w:left w:val="nil"/>
              <w:bottom w:val="nil"/>
              <w:right w:val="nil"/>
            </w:tcBorders>
            <w:shd w:val="clear" w:color="auto" w:fill="F2F2F2"/>
            <w:tcMar>
              <w:top w:w="60" w:type="dxa"/>
              <w:left w:w="120" w:type="dxa"/>
              <w:bottom w:w="60" w:type="dxa"/>
              <w:right w:w="120" w:type="dxa"/>
            </w:tcMar>
            <w:hideMark/>
          </w:tcPr>
          <w:tbl>
            <w:tblPr>
              <w:tblW w:w="0" w:type="auto"/>
              <w:tblInd w:w="84" w:type="dxa"/>
              <w:tblCellMar>
                <w:top w:w="15" w:type="dxa"/>
                <w:left w:w="15" w:type="dxa"/>
                <w:bottom w:w="15" w:type="dxa"/>
                <w:right w:w="15" w:type="dxa"/>
              </w:tblCellMar>
              <w:tblLook w:val="04A0"/>
            </w:tblPr>
            <w:tblGrid>
              <w:gridCol w:w="453"/>
            </w:tblGrid>
            <w:tr w:rsidR="00A220F6" w:rsidRPr="00673EA3" w:rsidTr="004F17CB">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1</w:t>
                  </w: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2</w:t>
                  </w: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3</w:t>
                  </w: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4</w:t>
                  </w: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5</w:t>
                  </w:r>
                </w:p>
              </w:tc>
            </w:tr>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6</w:t>
                  </w:r>
                </w:p>
              </w:tc>
            </w:tr>
          </w:tbl>
          <w:p w:rsidR="00A220F6" w:rsidRPr="00673EA3" w:rsidRDefault="00A220F6" w:rsidP="004F17CB">
            <w:pPr>
              <w:spacing w:before="60" w:after="60" w:line="240" w:lineRule="auto"/>
              <w:ind w:left="60" w:right="60"/>
              <w:rPr>
                <w:rFonts w:ascii="Segoe UI" w:eastAsia="Times New Roman" w:hAnsi="Segoe UI" w:cs="Segoe UI"/>
                <w:sz w:val="16"/>
                <w:szCs w:val="16"/>
              </w:rPr>
            </w:pPr>
          </w:p>
        </w:tc>
        <w:tc>
          <w:tcPr>
            <w:tcW w:w="0" w:type="auto"/>
            <w:tcBorders>
              <w:top w:val="nil"/>
              <w:left w:val="nil"/>
              <w:bottom w:val="nil"/>
              <w:right w:val="nil"/>
            </w:tcBorders>
            <w:shd w:val="clear" w:color="auto" w:fill="F2F2F2"/>
            <w:tcMar>
              <w:top w:w="60" w:type="dxa"/>
              <w:left w:w="120" w:type="dxa"/>
              <w:bottom w:w="60" w:type="dxa"/>
              <w:right w:w="120" w:type="dxa"/>
            </w:tcMar>
            <w:hideMark/>
          </w:tcPr>
          <w:tbl>
            <w:tblPr>
              <w:tblW w:w="0" w:type="auto"/>
              <w:tblInd w:w="84" w:type="dxa"/>
              <w:tblCellMar>
                <w:top w:w="15" w:type="dxa"/>
                <w:left w:w="15" w:type="dxa"/>
                <w:bottom w:w="15" w:type="dxa"/>
                <w:right w:w="15" w:type="dxa"/>
              </w:tblCellMar>
              <w:tblLook w:val="04A0"/>
            </w:tblPr>
            <w:tblGrid>
              <w:gridCol w:w="1572"/>
              <w:gridCol w:w="3765"/>
            </w:tblGrid>
            <w:tr w:rsidR="00A220F6" w:rsidRPr="00673EA3" w:rsidTr="004F17CB">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A</w:t>
                  </w:r>
                </w:p>
              </w:tc>
              <w:tc>
                <w:tcPr>
                  <w:tcW w:w="0" w:type="auto"/>
                  <w:shd w:val="clear" w:color="auto" w:fill="6B82B2"/>
                  <w:tcMar>
                    <w:top w:w="60" w:type="dxa"/>
                    <w:left w:w="120" w:type="dxa"/>
                    <w:bottom w:w="60" w:type="dxa"/>
                    <w:right w:w="120" w:type="dxa"/>
                  </w:tcMar>
                  <w:vAlign w:val="bottom"/>
                  <w:hideMark/>
                </w:tcPr>
                <w:p w:rsidR="00A220F6" w:rsidRPr="00673EA3" w:rsidRDefault="00A220F6" w:rsidP="004F17CB">
                  <w:pPr>
                    <w:spacing w:before="60" w:after="60" w:line="240" w:lineRule="auto"/>
                    <w:ind w:left="60" w:right="60"/>
                    <w:rPr>
                      <w:rFonts w:ascii="Segoe UI" w:eastAsia="Times New Roman" w:hAnsi="Segoe UI" w:cs="Segoe UI"/>
                      <w:b/>
                      <w:bCs/>
                      <w:color w:val="FFFFFF"/>
                      <w:sz w:val="16"/>
                      <w:szCs w:val="16"/>
                    </w:rPr>
                  </w:pPr>
                  <w:r w:rsidRPr="00673EA3">
                    <w:rPr>
                      <w:rFonts w:ascii="Segoe UI" w:eastAsia="Times New Roman" w:hAnsi="Segoe UI" w:cs="Segoe UI"/>
                      <w:b/>
                      <w:bCs/>
                      <w:color w:val="FFFFFF"/>
                      <w:sz w:val="16"/>
                      <w:szCs w:val="16"/>
                    </w:rPr>
                    <w:t>B</w:t>
                  </w:r>
                </w:p>
              </w:tc>
            </w:tr>
            <w:tr w:rsidR="00A220F6" w:rsidRPr="00673EA3" w:rsidTr="004F17CB">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b/>
                      <w:bCs/>
                      <w:sz w:val="16"/>
                      <w:szCs w:val="16"/>
                    </w:rPr>
                    <w:t>Data</w:t>
                  </w:r>
                </w:p>
              </w:tc>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b/>
                      <w:bCs/>
                      <w:sz w:val="16"/>
                      <w:szCs w:val="16"/>
                    </w:rPr>
                    <w:t>Description</w:t>
                  </w:r>
                </w:p>
              </w:tc>
            </w:tr>
            <w:tr w:rsidR="00A220F6" w:rsidRPr="00673EA3" w:rsidTr="004F17CB">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30,000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Cost</w:t>
                  </w:r>
                </w:p>
              </w:tc>
            </w:tr>
            <w:tr w:rsidR="00A220F6" w:rsidRPr="00673EA3" w:rsidTr="004F17CB">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7,500</w:t>
                  </w:r>
                </w:p>
              </w:tc>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Salvage value</w:t>
                  </w:r>
                </w:p>
              </w:tc>
            </w:tr>
            <w:tr w:rsidR="00A220F6" w:rsidRPr="00673EA3" w:rsidTr="004F17CB">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10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Years of useful life</w:t>
                  </w:r>
                </w:p>
              </w:tc>
            </w:tr>
            <w:tr w:rsidR="00A220F6" w:rsidRPr="00673EA3" w:rsidTr="004F17CB">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b/>
                      <w:bCs/>
                      <w:sz w:val="16"/>
                      <w:szCs w:val="16"/>
                    </w:rPr>
                    <w:t>Formula</w:t>
                  </w:r>
                </w:p>
              </w:tc>
              <w:tc>
                <w:tcPr>
                  <w:tcW w:w="0" w:type="auto"/>
                  <w:tcBorders>
                    <w:top w:val="nil"/>
                    <w:left w:val="nil"/>
                    <w:bottom w:val="nil"/>
                    <w:right w:val="nil"/>
                  </w:tcBorders>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b/>
                      <w:bCs/>
                      <w:sz w:val="16"/>
                      <w:szCs w:val="16"/>
                    </w:rPr>
                    <w:t>Description (Result)</w:t>
                  </w:r>
                </w:p>
              </w:tc>
            </w:tr>
            <w:tr w:rsidR="00A220F6" w:rsidRPr="00673EA3" w:rsidTr="004F17CB">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=SLN(A2, A3, A4)</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A220F6" w:rsidRPr="00673EA3" w:rsidRDefault="00A220F6" w:rsidP="004F17CB">
                  <w:pPr>
                    <w:spacing w:before="60" w:after="60" w:line="240" w:lineRule="auto"/>
                    <w:ind w:left="60" w:right="60"/>
                    <w:rPr>
                      <w:rFonts w:ascii="Segoe UI" w:eastAsia="Times New Roman" w:hAnsi="Segoe UI" w:cs="Segoe UI"/>
                      <w:sz w:val="16"/>
                      <w:szCs w:val="16"/>
                    </w:rPr>
                  </w:pPr>
                  <w:r w:rsidRPr="00673EA3">
                    <w:rPr>
                      <w:rFonts w:ascii="Segoe UI" w:eastAsia="Times New Roman" w:hAnsi="Segoe UI" w:cs="Segoe UI"/>
                      <w:sz w:val="16"/>
                      <w:szCs w:val="16"/>
                    </w:rPr>
                    <w:t>The depreciation allowance for each year (2,250)</w:t>
                  </w:r>
                </w:p>
              </w:tc>
            </w:tr>
          </w:tbl>
          <w:p w:rsidR="00A220F6" w:rsidRPr="00673EA3" w:rsidRDefault="00A220F6" w:rsidP="004F17CB">
            <w:pPr>
              <w:spacing w:before="60" w:after="60" w:line="240" w:lineRule="auto"/>
              <w:ind w:left="60" w:right="60"/>
              <w:rPr>
                <w:rFonts w:ascii="Segoe UI" w:eastAsia="Times New Roman" w:hAnsi="Segoe UI" w:cs="Segoe UI"/>
                <w:sz w:val="16"/>
                <w:szCs w:val="16"/>
              </w:rPr>
            </w:pPr>
          </w:p>
        </w:tc>
      </w:tr>
    </w:tbl>
    <w:p w:rsidR="00A220F6" w:rsidRDefault="00A220F6" w:rsidP="00A220F6">
      <w:pPr>
        <w:pStyle w:val="Heading3"/>
        <w:shd w:val="clear" w:color="auto" w:fill="FFFFFF"/>
        <w:spacing w:before="0" w:beforeAutospacing="0" w:after="72" w:afterAutospacing="0" w:line="288" w:lineRule="atLeast"/>
        <w:ind w:left="384"/>
        <w:rPr>
          <w:rStyle w:val="mw-headline"/>
          <w:rFonts w:ascii="Arial" w:hAnsi="Arial" w:cs="Arial"/>
          <w:color w:val="000000"/>
          <w:sz w:val="26"/>
          <w:szCs w:val="26"/>
        </w:rPr>
      </w:pPr>
    </w:p>
    <w:p w:rsidR="00A220F6" w:rsidRDefault="00A220F6" w:rsidP="00A220F6">
      <w:pPr>
        <w:pStyle w:val="Heading3"/>
        <w:shd w:val="clear" w:color="auto" w:fill="FFFFFF"/>
        <w:spacing w:before="0" w:beforeAutospacing="0" w:after="72" w:afterAutospacing="0" w:line="288" w:lineRule="atLeast"/>
        <w:ind w:left="384"/>
        <w:rPr>
          <w:rStyle w:val="mw-headline"/>
          <w:rFonts w:ascii="Arial" w:hAnsi="Arial" w:cs="Arial"/>
          <w:color w:val="000000"/>
          <w:sz w:val="26"/>
          <w:szCs w:val="26"/>
        </w:rPr>
      </w:pPr>
    </w:p>
    <w:p w:rsidR="00A220F6" w:rsidRDefault="00A220F6" w:rsidP="00A220F6">
      <w:pPr>
        <w:pStyle w:val="Heading3"/>
        <w:shd w:val="clear" w:color="auto" w:fill="FFFFFF"/>
        <w:spacing w:before="0" w:beforeAutospacing="0" w:after="72" w:afterAutospacing="0" w:line="288" w:lineRule="atLeast"/>
        <w:ind w:left="384"/>
        <w:rPr>
          <w:rFonts w:ascii="Arial" w:hAnsi="Arial" w:cs="Arial"/>
          <w:color w:val="000000"/>
          <w:sz w:val="26"/>
          <w:szCs w:val="26"/>
        </w:rPr>
      </w:pPr>
      <w:r>
        <w:rPr>
          <w:rStyle w:val="mw-headline"/>
          <w:rFonts w:ascii="Arial" w:hAnsi="Arial" w:cs="Arial"/>
          <w:color w:val="000000"/>
          <w:sz w:val="26"/>
          <w:szCs w:val="26"/>
        </w:rPr>
        <w:t>Declining-balance method (or Reducing balance method)</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color w:val="000000"/>
          <w:sz w:val="20"/>
          <w:szCs w:val="20"/>
        </w:rPr>
        <w:t>Depreciation methods that provide for a higher depreciation charge in the first year of an asset's life and gradually decreasing charges in subsequent years are called</w:t>
      </w:r>
      <w:r>
        <w:rPr>
          <w:rStyle w:val="apple-converted-space"/>
          <w:rFonts w:ascii="Arial" w:hAnsi="Arial" w:cs="Arial"/>
          <w:color w:val="000000"/>
          <w:sz w:val="20"/>
          <w:szCs w:val="20"/>
        </w:rPr>
        <w:t> </w:t>
      </w:r>
      <w:r>
        <w:rPr>
          <w:rFonts w:ascii="Arial" w:hAnsi="Arial" w:cs="Arial"/>
          <w:b/>
          <w:bCs/>
          <w:color w:val="000000"/>
          <w:sz w:val="20"/>
          <w:szCs w:val="20"/>
        </w:rPr>
        <w:t>accelerated depreciation methods</w:t>
      </w:r>
      <w:r>
        <w:rPr>
          <w:rFonts w:ascii="Arial" w:hAnsi="Arial" w:cs="Arial"/>
          <w:color w:val="000000"/>
          <w:sz w:val="20"/>
          <w:szCs w:val="20"/>
        </w:rPr>
        <w:t>. This may be a more realistic reflection of an asset's actual expected benefit from the use of the asset: many assets are most useful when they are new. One popular accelerated method is the</w:t>
      </w:r>
      <w:r>
        <w:rPr>
          <w:rStyle w:val="apple-converted-space"/>
          <w:rFonts w:ascii="Arial" w:hAnsi="Arial" w:cs="Arial"/>
          <w:color w:val="000000"/>
          <w:sz w:val="20"/>
          <w:szCs w:val="20"/>
        </w:rPr>
        <w:t> </w:t>
      </w:r>
      <w:r>
        <w:rPr>
          <w:rFonts w:ascii="Arial" w:hAnsi="Arial" w:cs="Arial"/>
          <w:b/>
          <w:bCs/>
          <w:color w:val="000000"/>
          <w:sz w:val="20"/>
          <w:szCs w:val="20"/>
        </w:rPr>
        <w:t>declining-balance method</w:t>
      </w:r>
      <w:r>
        <w:rPr>
          <w:rFonts w:ascii="Arial" w:hAnsi="Arial" w:cs="Arial"/>
          <w:color w:val="000000"/>
          <w:sz w:val="20"/>
          <w:szCs w:val="20"/>
        </w:rPr>
        <w:t>. Under this method the book value is multiplied by a fixed rate.</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b/>
          <w:bCs/>
          <w:color w:val="000000"/>
          <w:sz w:val="20"/>
          <w:szCs w:val="20"/>
        </w:rPr>
        <w:t>Annual Depreciation = Depreciation Rate</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b/>
          <w:bCs/>
          <w:color w:val="000000"/>
          <w:sz w:val="20"/>
          <w:szCs w:val="20"/>
        </w:rPr>
        <w:t>Book Value at Beginning of Year</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color w:val="000000"/>
          <w:sz w:val="20"/>
          <w:szCs w:val="20"/>
        </w:rPr>
        <w:lastRenderedPageBreak/>
        <w:t>The most common rate used is double the straight-line rate. For this reason, this technique is referred to as the</w:t>
      </w:r>
      <w:r>
        <w:rPr>
          <w:rStyle w:val="apple-converted-space"/>
          <w:rFonts w:ascii="Arial" w:hAnsi="Arial" w:cs="Arial"/>
          <w:color w:val="000000"/>
          <w:sz w:val="20"/>
          <w:szCs w:val="20"/>
        </w:rPr>
        <w:t> </w:t>
      </w:r>
      <w:r>
        <w:rPr>
          <w:rFonts w:ascii="Arial" w:hAnsi="Arial" w:cs="Arial"/>
          <w:b/>
          <w:bCs/>
          <w:color w:val="000000"/>
          <w:sz w:val="20"/>
          <w:szCs w:val="20"/>
        </w:rPr>
        <w:t>double-declining-balance method</w:t>
      </w:r>
      <w:r>
        <w:rPr>
          <w:rFonts w:ascii="Arial" w:hAnsi="Arial" w:cs="Arial"/>
          <w:color w:val="000000"/>
          <w:sz w:val="20"/>
          <w:szCs w:val="20"/>
        </w:rPr>
        <w:t>. To illustrate, suppose a business has an asset with</w:t>
      </w:r>
      <w:r>
        <w:rPr>
          <w:rStyle w:val="apple-converted-space"/>
          <w:rFonts w:ascii="Arial" w:hAnsi="Arial" w:cs="Arial"/>
          <w:color w:val="000000"/>
          <w:sz w:val="20"/>
          <w:szCs w:val="20"/>
        </w:rPr>
        <w:t> </w:t>
      </w:r>
      <w:r>
        <w:rPr>
          <w:rFonts w:ascii="Arial" w:hAnsi="Arial" w:cs="Arial"/>
          <w:b/>
          <w:bCs/>
          <w:color w:val="000000"/>
          <w:sz w:val="20"/>
          <w:szCs w:val="20"/>
        </w:rPr>
        <w:t>$1,000</w:t>
      </w:r>
      <w:r>
        <w:rPr>
          <w:rStyle w:val="apple-converted-space"/>
          <w:rFonts w:ascii="Arial" w:hAnsi="Arial" w:cs="Arial"/>
          <w:color w:val="000000"/>
          <w:sz w:val="20"/>
          <w:szCs w:val="20"/>
        </w:rPr>
        <w:t> </w:t>
      </w:r>
      <w:r>
        <w:rPr>
          <w:rFonts w:ascii="Arial" w:hAnsi="Arial" w:cs="Arial"/>
          <w:color w:val="000000"/>
          <w:sz w:val="20"/>
          <w:szCs w:val="20"/>
        </w:rPr>
        <w:t>original cost,</w:t>
      </w:r>
      <w:r>
        <w:rPr>
          <w:rStyle w:val="apple-converted-space"/>
          <w:rFonts w:ascii="Arial" w:hAnsi="Arial" w:cs="Arial"/>
          <w:color w:val="000000"/>
          <w:sz w:val="20"/>
          <w:szCs w:val="20"/>
        </w:rPr>
        <w:t> </w:t>
      </w:r>
      <w:r>
        <w:rPr>
          <w:rFonts w:ascii="Arial" w:hAnsi="Arial" w:cs="Arial"/>
          <w:b/>
          <w:bCs/>
          <w:color w:val="000000"/>
          <w:sz w:val="20"/>
          <w:szCs w:val="20"/>
        </w:rPr>
        <w:t>$100</w:t>
      </w:r>
      <w:r>
        <w:rPr>
          <w:rFonts w:ascii="Arial" w:hAnsi="Arial" w:cs="Arial"/>
          <w:color w:val="000000"/>
          <w:sz w:val="20"/>
          <w:szCs w:val="20"/>
        </w:rPr>
        <w:t>salvage value, and</w:t>
      </w:r>
      <w:r>
        <w:rPr>
          <w:rStyle w:val="apple-converted-space"/>
          <w:rFonts w:ascii="Arial" w:hAnsi="Arial" w:cs="Arial"/>
          <w:color w:val="000000"/>
          <w:sz w:val="20"/>
          <w:szCs w:val="20"/>
        </w:rPr>
        <w:t> </w:t>
      </w:r>
      <w:r>
        <w:rPr>
          <w:rFonts w:ascii="Arial" w:hAnsi="Arial" w:cs="Arial"/>
          <w:b/>
          <w:bCs/>
          <w:color w:val="000000"/>
          <w:sz w:val="20"/>
          <w:szCs w:val="20"/>
        </w:rPr>
        <w:t>5 years</w:t>
      </w:r>
      <w:r>
        <w:rPr>
          <w:rStyle w:val="apple-converted-space"/>
          <w:rFonts w:ascii="Arial" w:hAnsi="Arial" w:cs="Arial"/>
          <w:color w:val="000000"/>
          <w:sz w:val="20"/>
          <w:szCs w:val="20"/>
        </w:rPr>
        <w:t> </w:t>
      </w:r>
      <w:r>
        <w:rPr>
          <w:rFonts w:ascii="Arial" w:hAnsi="Arial" w:cs="Arial"/>
          <w:color w:val="000000"/>
          <w:sz w:val="20"/>
          <w:szCs w:val="20"/>
        </w:rPr>
        <w:t>useful life. First, calculate straight-line depreciation rate. Since the asset has 5 years useful life, the straight-line depreciation rate equals</w:t>
      </w:r>
      <w:r>
        <w:rPr>
          <w:rStyle w:val="apple-converted-space"/>
          <w:rFonts w:ascii="Arial" w:hAnsi="Arial" w:cs="Arial"/>
          <w:color w:val="000000"/>
          <w:sz w:val="20"/>
          <w:szCs w:val="20"/>
        </w:rPr>
        <w:t> </w:t>
      </w:r>
      <w:r>
        <w:rPr>
          <w:rFonts w:ascii="Arial" w:hAnsi="Arial" w:cs="Arial"/>
          <w:b/>
          <w:bCs/>
          <w:color w:val="000000"/>
          <w:sz w:val="20"/>
          <w:szCs w:val="20"/>
        </w:rPr>
        <w:t>(100% / 5) = 20%</w:t>
      </w:r>
      <w:r>
        <w:rPr>
          <w:rStyle w:val="apple-converted-space"/>
          <w:rFonts w:ascii="Arial" w:hAnsi="Arial" w:cs="Arial"/>
          <w:color w:val="000000"/>
          <w:sz w:val="20"/>
          <w:szCs w:val="20"/>
        </w:rPr>
        <w:t> </w:t>
      </w:r>
      <w:r>
        <w:rPr>
          <w:rFonts w:ascii="Arial" w:hAnsi="Arial" w:cs="Arial"/>
          <w:color w:val="000000"/>
          <w:sz w:val="20"/>
          <w:szCs w:val="20"/>
        </w:rPr>
        <w:t>per year. With double-declining-balance method, as the name suggests, double that rate, or</w:t>
      </w:r>
      <w:r>
        <w:rPr>
          <w:rStyle w:val="apple-converted-space"/>
          <w:rFonts w:ascii="Arial" w:hAnsi="Arial" w:cs="Arial"/>
          <w:color w:val="000000"/>
          <w:sz w:val="20"/>
          <w:szCs w:val="20"/>
        </w:rPr>
        <w:t> </w:t>
      </w:r>
      <w:r>
        <w:rPr>
          <w:rFonts w:ascii="Arial" w:hAnsi="Arial" w:cs="Arial"/>
          <w:b/>
          <w:bCs/>
          <w:color w:val="000000"/>
          <w:sz w:val="20"/>
          <w:szCs w:val="20"/>
        </w:rPr>
        <w:t>40%</w:t>
      </w:r>
      <w:r>
        <w:rPr>
          <w:rStyle w:val="apple-converted-space"/>
          <w:rFonts w:ascii="Arial" w:hAnsi="Arial" w:cs="Arial"/>
          <w:color w:val="000000"/>
          <w:sz w:val="20"/>
          <w:szCs w:val="20"/>
        </w:rPr>
        <w:t> </w:t>
      </w:r>
      <w:r>
        <w:rPr>
          <w:rFonts w:ascii="Arial" w:hAnsi="Arial" w:cs="Arial"/>
          <w:color w:val="000000"/>
          <w:sz w:val="20"/>
          <w:szCs w:val="20"/>
        </w:rPr>
        <w:t>depreciation rate is used. The table below illustrates the double-declining-balance method of depreciation.</w:t>
      </w: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p>
    <w:tbl>
      <w:tblPr>
        <w:tblW w:w="0" w:type="auto"/>
        <w:tblInd w:w="38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086"/>
        <w:gridCol w:w="1442"/>
        <w:gridCol w:w="1308"/>
        <w:gridCol w:w="1352"/>
        <w:gridCol w:w="1831"/>
      </w:tblGrid>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Book value at</w:t>
            </w:r>
            <w:r>
              <w:rPr>
                <w:rFonts w:ascii="Arial" w:hAnsi="Arial" w:cs="Arial"/>
                <w:b/>
                <w:bCs/>
                <w:color w:val="000000"/>
                <w:sz w:val="20"/>
                <w:szCs w:val="20"/>
              </w:rPr>
              <w:br/>
              <w:t>beginning of year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Depreciation</w:t>
            </w:r>
            <w:r>
              <w:rPr>
                <w:rFonts w:ascii="Arial" w:hAnsi="Arial" w:cs="Arial"/>
                <w:b/>
                <w:bCs/>
                <w:color w:val="000000"/>
                <w:sz w:val="20"/>
                <w:szCs w:val="20"/>
              </w:rPr>
              <w:br/>
              <w:t>rate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Depreciation</w:t>
            </w:r>
            <w:r>
              <w:rPr>
                <w:rFonts w:ascii="Arial" w:hAnsi="Arial" w:cs="Arial"/>
                <w:b/>
                <w:bCs/>
                <w:color w:val="000000"/>
                <w:sz w:val="20"/>
                <w:szCs w:val="20"/>
              </w:rPr>
              <w:br/>
              <w:t>expense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Accumulated</w:t>
            </w:r>
            <w:r>
              <w:rPr>
                <w:rFonts w:ascii="Arial" w:hAnsi="Arial" w:cs="Arial"/>
                <w:b/>
                <w:bCs/>
                <w:color w:val="000000"/>
                <w:sz w:val="20"/>
                <w:szCs w:val="20"/>
              </w:rPr>
              <w:br/>
              <w:t>depreciation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220F6" w:rsidRDefault="00A220F6">
            <w:pPr>
              <w:spacing w:before="240" w:after="240" w:line="288" w:lineRule="atLeast"/>
              <w:jc w:val="center"/>
              <w:rPr>
                <w:rFonts w:ascii="Arial" w:hAnsi="Arial" w:cs="Arial"/>
                <w:b/>
                <w:bCs/>
                <w:color w:val="000000"/>
                <w:sz w:val="20"/>
                <w:szCs w:val="20"/>
              </w:rPr>
            </w:pPr>
            <w:r>
              <w:rPr>
                <w:rFonts w:ascii="Arial" w:hAnsi="Arial" w:cs="Arial"/>
                <w:b/>
                <w:bCs/>
                <w:color w:val="000000"/>
                <w:sz w:val="20"/>
                <w:szCs w:val="20"/>
              </w:rPr>
              <w:t>Book value at</w:t>
            </w:r>
            <w:r>
              <w:rPr>
                <w:rFonts w:ascii="Arial" w:hAnsi="Arial" w:cs="Arial"/>
                <w:b/>
                <w:bCs/>
                <w:color w:val="000000"/>
                <w:sz w:val="20"/>
                <w:szCs w:val="20"/>
              </w:rPr>
              <w:br/>
              <w:t>end of year</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$1,000 (original cost)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$600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$600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$640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$360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$360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$144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$784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$216</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$216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$86.40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$870.40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$129.60</w:t>
            </w:r>
          </w:p>
        </w:tc>
      </w:tr>
      <w:tr w:rsidR="00A220F6" w:rsidTr="00A220F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$129.60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$129.60 - $100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color w:val="000000"/>
                <w:sz w:val="20"/>
                <w:szCs w:val="20"/>
              </w:rPr>
              <w:t>$29.60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$900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220F6" w:rsidRDefault="00A220F6">
            <w:pPr>
              <w:spacing w:before="240" w:after="240" w:line="288" w:lineRule="atLeast"/>
              <w:rPr>
                <w:rFonts w:ascii="Arial" w:hAnsi="Arial" w:cs="Arial"/>
                <w:color w:val="000000"/>
                <w:sz w:val="20"/>
                <w:szCs w:val="20"/>
              </w:rPr>
            </w:pPr>
            <w:r>
              <w:rPr>
                <w:rFonts w:ascii="Arial" w:hAnsi="Arial" w:cs="Arial"/>
                <w:b/>
                <w:bCs/>
                <w:color w:val="000000"/>
                <w:sz w:val="20"/>
                <w:szCs w:val="20"/>
              </w:rPr>
              <w:t>$100 (scrap value)</w:t>
            </w:r>
          </w:p>
        </w:tc>
      </w:tr>
    </w:tbl>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p>
    <w:p w:rsidR="00A220F6" w:rsidRDefault="00A220F6" w:rsidP="00A220F6">
      <w:pPr>
        <w:pStyle w:val="NormalWeb"/>
        <w:shd w:val="clear" w:color="auto" w:fill="FFFFFF"/>
        <w:spacing w:before="96" w:beforeAutospacing="0" w:after="120" w:afterAutospacing="0" w:line="288" w:lineRule="atLeast"/>
        <w:ind w:left="384"/>
        <w:rPr>
          <w:rFonts w:ascii="Arial" w:hAnsi="Arial" w:cs="Arial"/>
          <w:color w:val="000000"/>
          <w:sz w:val="20"/>
          <w:szCs w:val="20"/>
        </w:rPr>
      </w:pPr>
      <w:r>
        <w:rPr>
          <w:rFonts w:ascii="Arial" w:hAnsi="Arial" w:cs="Arial"/>
          <w:color w:val="000000"/>
          <w:sz w:val="20"/>
          <w:szCs w:val="20"/>
        </w:rPr>
        <w:t xml:space="preserve">When using the double-declining-balance method, the </w:t>
      </w:r>
      <w:r w:rsidRPr="00AF2ADF">
        <w:rPr>
          <w:rFonts w:ascii="Arial" w:hAnsi="Arial" w:cs="Arial"/>
          <w:color w:val="000000"/>
          <w:sz w:val="20"/>
          <w:szCs w:val="20"/>
        </w:rPr>
        <w:t>salvage value is not considered</w:t>
      </w:r>
      <w:r>
        <w:rPr>
          <w:rFonts w:ascii="Arial" w:hAnsi="Arial" w:cs="Arial"/>
          <w:color w:val="000000"/>
          <w:sz w:val="20"/>
          <w:szCs w:val="20"/>
        </w:rPr>
        <w:t xml:space="preserve"> in determining the annual depreciation, but the book value of the asset being depreciated is never brought below its salvage value, regardless of the method used. The process continues until the salvage value or the end of the asset's useful life, is reached. In the last year of depreciation a subtraction might be needed in order to prevent book value from falling below estimated Scrap Value.</w:t>
      </w:r>
    </w:p>
    <w:p w:rsidR="00A220F6" w:rsidRPr="00A220F6" w:rsidRDefault="00A220F6" w:rsidP="00A220F6">
      <w:pPr>
        <w:shd w:val="clear" w:color="auto" w:fill="FFFFFF"/>
        <w:spacing w:before="96" w:after="120" w:line="288" w:lineRule="atLeast"/>
        <w:rPr>
          <w:rFonts w:ascii="Arial" w:eastAsia="Times New Roman" w:hAnsi="Arial" w:cs="Arial"/>
          <w:color w:val="000000"/>
          <w:sz w:val="20"/>
          <w:szCs w:val="20"/>
        </w:rPr>
      </w:pPr>
    </w:p>
    <w:p w:rsidR="00A220F6" w:rsidRDefault="00A220F6" w:rsidP="00673EA3">
      <w:pPr>
        <w:pBdr>
          <w:bottom w:val="single" w:sz="6" w:space="8" w:color="FFC200"/>
        </w:pBdr>
        <w:spacing w:after="150" w:line="384" w:lineRule="atLeast"/>
        <w:outlineLvl w:val="2"/>
        <w:rPr>
          <w:rFonts w:ascii="Segoe UI" w:eastAsia="Times New Roman" w:hAnsi="Segoe UI" w:cs="Segoe UI"/>
          <w:color w:val="454545"/>
          <w:sz w:val="30"/>
          <w:szCs w:val="30"/>
        </w:rPr>
      </w:pPr>
    </w:p>
    <w:p w:rsidR="00F571B8" w:rsidRPr="00F571B8" w:rsidRDefault="00F571B8" w:rsidP="00F571B8">
      <w:pPr>
        <w:pBdr>
          <w:bottom w:val="single" w:sz="6" w:space="8" w:color="FFC200"/>
        </w:pBdr>
        <w:spacing w:after="150" w:line="384" w:lineRule="atLeast"/>
        <w:outlineLvl w:val="2"/>
        <w:rPr>
          <w:rFonts w:ascii="Segoe UI" w:eastAsia="Times New Roman" w:hAnsi="Segoe UI" w:cs="Segoe UI"/>
          <w:color w:val="454545"/>
          <w:sz w:val="30"/>
          <w:szCs w:val="30"/>
        </w:rPr>
      </w:pPr>
      <w:r w:rsidRPr="00F571B8">
        <w:rPr>
          <w:rFonts w:ascii="Segoe UI" w:eastAsia="Times New Roman" w:hAnsi="Segoe UI" w:cs="Segoe UI"/>
          <w:color w:val="454545"/>
          <w:sz w:val="30"/>
          <w:szCs w:val="30"/>
        </w:rPr>
        <w:t>Description</w:t>
      </w:r>
    </w:p>
    <w:p w:rsidR="00F571B8" w:rsidRPr="00F571B8" w:rsidRDefault="00F571B8" w:rsidP="00F571B8">
      <w:pPr>
        <w:spacing w:before="270" w:after="270" w:line="384" w:lineRule="atLeast"/>
        <w:rPr>
          <w:rFonts w:ascii="Arial" w:eastAsia="Times New Roman" w:hAnsi="Arial" w:cs="Arial"/>
          <w:color w:val="555555"/>
          <w:sz w:val="19"/>
          <w:szCs w:val="19"/>
        </w:rPr>
      </w:pPr>
      <w:r w:rsidRPr="00F571B8">
        <w:rPr>
          <w:rFonts w:ascii="Arial" w:eastAsia="Times New Roman" w:hAnsi="Arial" w:cs="Arial"/>
          <w:color w:val="555555"/>
          <w:sz w:val="19"/>
          <w:szCs w:val="19"/>
        </w:rPr>
        <w:t>Returns the depreciation of an asset for a specified period using the double-declining balance method or some other method you specify.</w:t>
      </w:r>
    </w:p>
    <w:p w:rsidR="00F571B8" w:rsidRPr="00F571B8" w:rsidRDefault="00F571B8" w:rsidP="00F571B8">
      <w:pPr>
        <w:pBdr>
          <w:bottom w:val="single" w:sz="6" w:space="8" w:color="FFC200"/>
        </w:pBdr>
        <w:spacing w:after="150" w:line="384" w:lineRule="atLeast"/>
        <w:outlineLvl w:val="2"/>
        <w:rPr>
          <w:rFonts w:ascii="Segoe UI" w:eastAsia="Times New Roman" w:hAnsi="Segoe UI" w:cs="Segoe UI"/>
          <w:color w:val="454545"/>
          <w:sz w:val="30"/>
          <w:szCs w:val="30"/>
        </w:rPr>
      </w:pPr>
      <w:r w:rsidRPr="00F571B8">
        <w:rPr>
          <w:rFonts w:ascii="Segoe UI" w:eastAsia="Times New Roman" w:hAnsi="Segoe UI" w:cs="Segoe UI"/>
          <w:color w:val="454545"/>
          <w:sz w:val="30"/>
          <w:szCs w:val="30"/>
        </w:rPr>
        <w:lastRenderedPageBreak/>
        <w:t>Syntax</w:t>
      </w:r>
    </w:p>
    <w:p w:rsidR="00F571B8" w:rsidRPr="00F571B8" w:rsidRDefault="00F571B8" w:rsidP="00F571B8">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4" w:lineRule="atLeast"/>
        <w:rPr>
          <w:rFonts w:ascii="Courier New" w:eastAsia="Times New Roman" w:hAnsi="Courier New" w:cs="Courier New"/>
          <w:color w:val="555555"/>
          <w:sz w:val="20"/>
          <w:szCs w:val="20"/>
        </w:rPr>
      </w:pPr>
      <w:proofErr w:type="gramStart"/>
      <w:r w:rsidRPr="00F571B8">
        <w:rPr>
          <w:rFonts w:ascii="Courier New" w:eastAsia="Times New Roman" w:hAnsi="Courier New" w:cs="Courier New"/>
          <w:color w:val="555555"/>
          <w:sz w:val="20"/>
          <w:szCs w:val="20"/>
        </w:rPr>
        <w:t>DDB(</w:t>
      </w:r>
      <w:proofErr w:type="gramEnd"/>
      <w:r w:rsidRPr="00F571B8">
        <w:rPr>
          <w:rFonts w:ascii="Courier New" w:eastAsia="Times New Roman" w:hAnsi="Courier New" w:cs="Courier New"/>
          <w:color w:val="555555"/>
          <w:sz w:val="20"/>
          <w:szCs w:val="20"/>
        </w:rPr>
        <w:t>cost, salvage, life, period, [factor])</w:t>
      </w:r>
    </w:p>
    <w:p w:rsidR="00F571B8" w:rsidRPr="00F571B8" w:rsidRDefault="00F571B8" w:rsidP="00F571B8">
      <w:pPr>
        <w:spacing w:before="270" w:after="270" w:line="384" w:lineRule="atLeast"/>
        <w:rPr>
          <w:rFonts w:ascii="Arial" w:eastAsia="Times New Roman" w:hAnsi="Arial" w:cs="Arial"/>
          <w:color w:val="555555"/>
          <w:sz w:val="19"/>
          <w:szCs w:val="19"/>
        </w:rPr>
      </w:pPr>
      <w:r w:rsidRPr="00F571B8">
        <w:rPr>
          <w:rFonts w:ascii="Arial" w:eastAsia="Times New Roman" w:hAnsi="Arial" w:cs="Arial"/>
          <w:color w:val="555555"/>
          <w:sz w:val="19"/>
          <w:szCs w:val="19"/>
        </w:rPr>
        <w:t xml:space="preserve">The DDB function syntax has the following </w:t>
      </w:r>
      <w:hyperlink r:id="rId7" w:history="1">
        <w:r w:rsidRPr="00F571B8">
          <w:rPr>
            <w:rFonts w:ascii="Arial" w:eastAsia="Times New Roman" w:hAnsi="Arial" w:cs="Arial"/>
            <w:color w:val="660000"/>
            <w:sz w:val="19"/>
            <w:szCs w:val="19"/>
          </w:rPr>
          <w:t>arguments</w:t>
        </w:r>
        <w:r w:rsidRPr="00F571B8">
          <w:rPr>
            <w:rFonts w:ascii="Arial" w:eastAsia="Times New Roman" w:hAnsi="Arial" w:cs="Arial"/>
            <w:vanish/>
            <w:color w:val="660000"/>
            <w:sz w:val="19"/>
            <w:szCs w:val="19"/>
          </w:rPr>
          <w:t xml:space="preserve"> (argument: A value that provides information to an action, an event, a method, a property, a function, or a procedure.)</w:t>
        </w:r>
      </w:hyperlink>
      <w:r w:rsidRPr="00F571B8">
        <w:rPr>
          <w:rFonts w:ascii="Arial" w:eastAsia="Times New Roman" w:hAnsi="Arial" w:cs="Arial"/>
          <w:color w:val="555555"/>
          <w:sz w:val="19"/>
          <w:szCs w:val="19"/>
        </w:rPr>
        <w:t>:</w:t>
      </w:r>
    </w:p>
    <w:p w:rsidR="00F571B8" w:rsidRPr="00F571B8" w:rsidRDefault="00F571B8" w:rsidP="00F571B8">
      <w:pPr>
        <w:numPr>
          <w:ilvl w:val="0"/>
          <w:numId w:val="6"/>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b/>
          <w:bCs/>
          <w:color w:val="555555"/>
          <w:sz w:val="19"/>
          <w:szCs w:val="19"/>
        </w:rPr>
        <w:t>Cost</w:t>
      </w:r>
      <w:r w:rsidRPr="00F571B8">
        <w:rPr>
          <w:rFonts w:ascii="Arial" w:eastAsia="Times New Roman" w:hAnsi="Arial" w:cs="Arial"/>
          <w:color w:val="555555"/>
          <w:sz w:val="19"/>
          <w:szCs w:val="19"/>
        </w:rPr>
        <w:t xml:space="preserve"> Required. The initial cost of the asset. </w:t>
      </w:r>
    </w:p>
    <w:p w:rsidR="00F571B8" w:rsidRPr="00F571B8" w:rsidRDefault="00F571B8" w:rsidP="00F571B8">
      <w:pPr>
        <w:numPr>
          <w:ilvl w:val="0"/>
          <w:numId w:val="6"/>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b/>
          <w:bCs/>
          <w:color w:val="555555"/>
          <w:sz w:val="19"/>
          <w:szCs w:val="19"/>
        </w:rPr>
        <w:t>Salvage</w:t>
      </w:r>
      <w:r w:rsidRPr="00F571B8">
        <w:rPr>
          <w:rFonts w:ascii="Arial" w:eastAsia="Times New Roman" w:hAnsi="Arial" w:cs="Arial"/>
          <w:color w:val="555555"/>
          <w:sz w:val="19"/>
          <w:szCs w:val="19"/>
        </w:rPr>
        <w:t xml:space="preserve"> Required. The value at the end of the depreciation (sometimes called the salvage value of the asset). This value can be 0. </w:t>
      </w:r>
    </w:p>
    <w:p w:rsidR="00F571B8" w:rsidRPr="00F571B8" w:rsidRDefault="00F571B8" w:rsidP="00F571B8">
      <w:pPr>
        <w:numPr>
          <w:ilvl w:val="0"/>
          <w:numId w:val="6"/>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b/>
          <w:bCs/>
          <w:color w:val="555555"/>
          <w:sz w:val="19"/>
          <w:szCs w:val="19"/>
        </w:rPr>
        <w:t>Life</w:t>
      </w:r>
      <w:r w:rsidRPr="00F571B8">
        <w:rPr>
          <w:rFonts w:ascii="Arial" w:eastAsia="Times New Roman" w:hAnsi="Arial" w:cs="Arial"/>
          <w:color w:val="555555"/>
          <w:sz w:val="19"/>
          <w:szCs w:val="19"/>
        </w:rPr>
        <w:t xml:space="preserve"> Required. The number of periods over which the asset is being depreciated (sometimes called the useful life of the asset). </w:t>
      </w:r>
    </w:p>
    <w:p w:rsidR="00F571B8" w:rsidRPr="00F571B8" w:rsidRDefault="00F571B8" w:rsidP="00F571B8">
      <w:pPr>
        <w:numPr>
          <w:ilvl w:val="0"/>
          <w:numId w:val="6"/>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b/>
          <w:bCs/>
          <w:color w:val="555555"/>
          <w:sz w:val="19"/>
          <w:szCs w:val="19"/>
        </w:rPr>
        <w:t>Period</w:t>
      </w:r>
      <w:r w:rsidRPr="00F571B8">
        <w:rPr>
          <w:rFonts w:ascii="Arial" w:eastAsia="Times New Roman" w:hAnsi="Arial" w:cs="Arial"/>
          <w:color w:val="555555"/>
          <w:sz w:val="19"/>
          <w:szCs w:val="19"/>
        </w:rPr>
        <w:t xml:space="preserve"> Required. The period for which you want to calculate the depreciation. Period must use the same units as life. </w:t>
      </w:r>
    </w:p>
    <w:p w:rsidR="00F571B8" w:rsidRPr="00F571B8" w:rsidRDefault="00F571B8" w:rsidP="00F571B8">
      <w:pPr>
        <w:numPr>
          <w:ilvl w:val="0"/>
          <w:numId w:val="6"/>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b/>
          <w:bCs/>
          <w:color w:val="555555"/>
          <w:sz w:val="19"/>
          <w:szCs w:val="19"/>
        </w:rPr>
        <w:t>Factor</w:t>
      </w:r>
      <w:r w:rsidRPr="00F571B8">
        <w:rPr>
          <w:rFonts w:ascii="Arial" w:eastAsia="Times New Roman" w:hAnsi="Arial" w:cs="Arial"/>
          <w:color w:val="555555"/>
          <w:sz w:val="19"/>
          <w:szCs w:val="19"/>
        </w:rPr>
        <w:t xml:space="preserve"> Optional. The rate at which the balance declines. If factor is omitted, it is assumed to be 2 (the double-declining balance method).</w:t>
      </w:r>
    </w:p>
    <w:p w:rsidR="00F571B8" w:rsidRPr="00F571B8" w:rsidRDefault="00F571B8" w:rsidP="00F571B8">
      <w:pPr>
        <w:pBdr>
          <w:bottom w:val="single" w:sz="6" w:space="8" w:color="FFC200"/>
        </w:pBdr>
        <w:spacing w:after="150" w:line="384" w:lineRule="atLeast"/>
        <w:outlineLvl w:val="2"/>
        <w:rPr>
          <w:rFonts w:ascii="Segoe UI" w:eastAsia="Times New Roman" w:hAnsi="Segoe UI" w:cs="Segoe UI"/>
          <w:color w:val="454545"/>
          <w:sz w:val="30"/>
          <w:szCs w:val="30"/>
        </w:rPr>
      </w:pPr>
      <w:r w:rsidRPr="00F571B8">
        <w:rPr>
          <w:rFonts w:ascii="Segoe UI" w:eastAsia="Times New Roman" w:hAnsi="Segoe UI" w:cs="Segoe UI"/>
          <w:color w:val="454545"/>
          <w:sz w:val="30"/>
          <w:szCs w:val="30"/>
        </w:rPr>
        <w:t>Remarks</w:t>
      </w:r>
    </w:p>
    <w:p w:rsidR="00F571B8" w:rsidRPr="00F571B8" w:rsidRDefault="00F571B8" w:rsidP="00F571B8">
      <w:pPr>
        <w:numPr>
          <w:ilvl w:val="0"/>
          <w:numId w:val="7"/>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color w:val="555555"/>
          <w:sz w:val="19"/>
          <w:szCs w:val="19"/>
        </w:rPr>
        <w:t xml:space="preserve">The double-declining balance method computes depreciation at an accelerated rate. Depreciation is highest in the first period and decreases in successive periods. DDB uses the following formula to calculate depreciation for a period: </w:t>
      </w:r>
    </w:p>
    <w:p w:rsidR="00F571B8" w:rsidRPr="00F571B8" w:rsidRDefault="00F571B8" w:rsidP="00F571B8">
      <w:pPr>
        <w:numPr>
          <w:ilvl w:val="0"/>
          <w:numId w:val="7"/>
        </w:numPr>
        <w:shd w:val="clear" w:color="auto" w:fill="EEEEEE"/>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390" w:right="390"/>
        <w:rPr>
          <w:rFonts w:ascii="Courier New" w:eastAsia="Times New Roman" w:hAnsi="Courier New" w:cs="Courier New"/>
          <w:color w:val="555555"/>
          <w:sz w:val="18"/>
          <w:szCs w:val="18"/>
        </w:rPr>
      </w:pPr>
      <w:r w:rsidRPr="00F571B8">
        <w:rPr>
          <w:rFonts w:ascii="Courier New" w:eastAsia="Times New Roman" w:hAnsi="Courier New" w:cs="Courier New"/>
          <w:color w:val="555555"/>
          <w:sz w:val="18"/>
          <w:szCs w:val="18"/>
        </w:rPr>
        <w:t>Min( (cost - total depreciation from prior periods) * (factor/life), (cost - salvage -  total depreciation from prior periods) )</w:t>
      </w:r>
    </w:p>
    <w:p w:rsidR="00F571B8" w:rsidRPr="00F571B8" w:rsidRDefault="00F571B8" w:rsidP="00F571B8">
      <w:pPr>
        <w:numPr>
          <w:ilvl w:val="0"/>
          <w:numId w:val="7"/>
        </w:numPr>
        <w:spacing w:before="120" w:after="120" w:line="384" w:lineRule="atLeast"/>
        <w:ind w:left="390" w:right="390"/>
        <w:rPr>
          <w:rFonts w:ascii="Arial" w:eastAsia="Times New Roman" w:hAnsi="Arial" w:cs="Arial"/>
          <w:color w:val="555555"/>
          <w:sz w:val="19"/>
          <w:szCs w:val="19"/>
        </w:rPr>
      </w:pPr>
      <w:r w:rsidRPr="00F571B8">
        <w:rPr>
          <w:rFonts w:ascii="Arial" w:eastAsia="Times New Roman" w:hAnsi="Arial" w:cs="Arial"/>
          <w:color w:val="555555"/>
          <w:sz w:val="19"/>
          <w:szCs w:val="19"/>
        </w:rPr>
        <w:t xml:space="preserve">Change factor if you do not want to use the double-declining balance method. </w:t>
      </w:r>
    </w:p>
    <w:p w:rsidR="00AF2ADF" w:rsidRDefault="00AF2ADF">
      <w:pPr>
        <w:rPr>
          <w:rFonts w:ascii="Arial" w:eastAsia="Times New Roman" w:hAnsi="Arial" w:cs="Arial"/>
          <w:color w:val="555555"/>
          <w:sz w:val="19"/>
          <w:szCs w:val="19"/>
        </w:rPr>
      </w:pPr>
      <w:r>
        <w:rPr>
          <w:rFonts w:ascii="Arial" w:eastAsia="Times New Roman" w:hAnsi="Arial" w:cs="Arial"/>
          <w:color w:val="555555"/>
          <w:sz w:val="19"/>
          <w:szCs w:val="19"/>
        </w:rPr>
        <w:br w:type="page"/>
      </w:r>
    </w:p>
    <w:p w:rsidR="00F571B8" w:rsidRPr="00F571B8" w:rsidRDefault="00F571B8" w:rsidP="00F571B8">
      <w:pPr>
        <w:pBdr>
          <w:bottom w:val="single" w:sz="6" w:space="8" w:color="FFC200"/>
        </w:pBdr>
        <w:spacing w:after="150" w:line="384" w:lineRule="atLeast"/>
        <w:outlineLvl w:val="2"/>
        <w:rPr>
          <w:rFonts w:ascii="Segoe UI" w:eastAsia="Times New Roman" w:hAnsi="Segoe UI" w:cs="Segoe UI"/>
          <w:color w:val="454545"/>
          <w:sz w:val="30"/>
          <w:szCs w:val="30"/>
        </w:rPr>
      </w:pPr>
      <w:bookmarkStart w:id="0" w:name="_GoBack"/>
      <w:bookmarkEnd w:id="0"/>
      <w:r w:rsidRPr="00F571B8">
        <w:rPr>
          <w:rFonts w:ascii="Segoe UI" w:eastAsia="Times New Roman" w:hAnsi="Segoe UI" w:cs="Segoe UI"/>
          <w:color w:val="454545"/>
          <w:sz w:val="30"/>
          <w:szCs w:val="30"/>
        </w:rPr>
        <w:lastRenderedPageBreak/>
        <w:t>Example</w:t>
      </w:r>
    </w:p>
    <w:p w:rsidR="00F571B8" w:rsidRPr="00F571B8" w:rsidRDefault="00F571B8" w:rsidP="00F571B8">
      <w:pPr>
        <w:spacing w:before="270" w:after="270" w:line="384" w:lineRule="atLeast"/>
        <w:rPr>
          <w:rFonts w:ascii="Arial" w:eastAsia="Times New Roman" w:hAnsi="Arial" w:cs="Arial"/>
          <w:vanish/>
          <w:color w:val="555555"/>
          <w:sz w:val="19"/>
          <w:szCs w:val="19"/>
        </w:rPr>
      </w:pPr>
      <w:r w:rsidRPr="00F571B8">
        <w:rPr>
          <w:rFonts w:ascii="Arial" w:eastAsia="Times New Roman" w:hAnsi="Arial" w:cs="Arial"/>
          <w:vanish/>
          <w:color w:val="555555"/>
          <w:sz w:val="19"/>
          <w:szCs w:val="19"/>
        </w:rPr>
        <w:t>After you copy the example to a blank worksheet, you can adapt it to suit your needs.</w:t>
      </w:r>
    </w:p>
    <w:tbl>
      <w:tblPr>
        <w:tblW w:w="0" w:type="auto"/>
        <w:tblInd w:w="24" w:type="dxa"/>
        <w:tblCellMar>
          <w:left w:w="0" w:type="dxa"/>
          <w:right w:w="0" w:type="dxa"/>
        </w:tblCellMar>
        <w:tblLook w:val="04A0"/>
      </w:tblPr>
      <w:tblGrid>
        <w:gridCol w:w="777"/>
        <w:gridCol w:w="8799"/>
      </w:tblGrid>
      <w:tr w:rsidR="00F571B8" w:rsidRPr="00F571B8" w:rsidTr="00F571B8">
        <w:tc>
          <w:tcPr>
            <w:tcW w:w="0" w:type="auto"/>
            <w:tcBorders>
              <w:top w:val="nil"/>
              <w:left w:val="nil"/>
              <w:bottom w:val="nil"/>
              <w:right w:val="nil"/>
            </w:tcBorders>
            <w:shd w:val="clear" w:color="auto" w:fill="F2F2F2"/>
            <w:tcMar>
              <w:top w:w="60" w:type="dxa"/>
              <w:left w:w="120" w:type="dxa"/>
              <w:bottom w:w="60" w:type="dxa"/>
              <w:right w:w="120" w:type="dxa"/>
            </w:tcMar>
            <w:hideMark/>
          </w:tcPr>
          <w:tbl>
            <w:tblPr>
              <w:tblW w:w="0" w:type="auto"/>
              <w:tblInd w:w="84" w:type="dxa"/>
              <w:tblCellMar>
                <w:top w:w="15" w:type="dxa"/>
                <w:left w:w="15" w:type="dxa"/>
                <w:bottom w:w="15" w:type="dxa"/>
                <w:right w:w="15" w:type="dxa"/>
              </w:tblCellMar>
              <w:tblLook w:val="04A0"/>
            </w:tblPr>
            <w:tblGrid>
              <w:gridCol w:w="453"/>
            </w:tblGrid>
            <w:tr w:rsidR="00F571B8" w:rsidRPr="00F571B8">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1</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2</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3</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4</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5</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br/>
                    <w:t>6</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br/>
                    <w:t>7</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8</w:t>
                  </w:r>
                </w:p>
              </w:tc>
            </w:tr>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br/>
                  </w:r>
                  <w:r w:rsidRPr="00F571B8">
                    <w:rPr>
                      <w:rFonts w:ascii="Segoe UI" w:eastAsia="Times New Roman" w:hAnsi="Segoe UI" w:cs="Segoe UI"/>
                      <w:b/>
                      <w:bCs/>
                      <w:color w:val="FFFFFF"/>
                      <w:sz w:val="16"/>
                      <w:szCs w:val="16"/>
                    </w:rPr>
                    <w:br/>
                    <w:t>9</w:t>
                  </w:r>
                </w:p>
              </w:tc>
            </w:tr>
          </w:tbl>
          <w:p w:rsidR="00F571B8" w:rsidRPr="00F571B8" w:rsidRDefault="00F571B8" w:rsidP="00F571B8">
            <w:pPr>
              <w:spacing w:before="60" w:after="60" w:line="240" w:lineRule="auto"/>
              <w:ind w:left="60" w:right="60"/>
              <w:rPr>
                <w:rFonts w:ascii="Segoe UI" w:eastAsia="Times New Roman" w:hAnsi="Segoe UI" w:cs="Segoe UI"/>
                <w:sz w:val="16"/>
                <w:szCs w:val="16"/>
              </w:rPr>
            </w:pPr>
          </w:p>
        </w:tc>
        <w:tc>
          <w:tcPr>
            <w:tcW w:w="0" w:type="auto"/>
            <w:tcBorders>
              <w:top w:val="nil"/>
              <w:left w:val="nil"/>
              <w:bottom w:val="nil"/>
              <w:right w:val="nil"/>
            </w:tcBorders>
            <w:shd w:val="clear" w:color="auto" w:fill="F2F2F2"/>
            <w:tcMar>
              <w:top w:w="60" w:type="dxa"/>
              <w:left w:w="120" w:type="dxa"/>
              <w:bottom w:w="60" w:type="dxa"/>
              <w:right w:w="120" w:type="dxa"/>
            </w:tcMar>
            <w:hideMark/>
          </w:tcPr>
          <w:tbl>
            <w:tblPr>
              <w:tblW w:w="0" w:type="auto"/>
              <w:tblInd w:w="84" w:type="dxa"/>
              <w:tblCellMar>
                <w:top w:w="15" w:type="dxa"/>
                <w:left w:w="15" w:type="dxa"/>
                <w:bottom w:w="15" w:type="dxa"/>
                <w:right w:w="15" w:type="dxa"/>
              </w:tblCellMar>
              <w:tblLook w:val="04A0"/>
            </w:tblPr>
            <w:tblGrid>
              <w:gridCol w:w="2001"/>
              <w:gridCol w:w="6474"/>
            </w:tblGrid>
            <w:tr w:rsidR="00F571B8" w:rsidRPr="00F571B8">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A</w:t>
                  </w:r>
                </w:p>
              </w:tc>
              <w:tc>
                <w:tcPr>
                  <w:tcW w:w="0" w:type="auto"/>
                  <w:shd w:val="clear" w:color="auto" w:fill="6B82B2"/>
                  <w:tcMar>
                    <w:top w:w="60" w:type="dxa"/>
                    <w:left w:w="120" w:type="dxa"/>
                    <w:bottom w:w="60" w:type="dxa"/>
                    <w:right w:w="120" w:type="dxa"/>
                  </w:tcMar>
                  <w:vAlign w:val="bottom"/>
                  <w:hideMark/>
                </w:tcPr>
                <w:p w:rsidR="00F571B8" w:rsidRPr="00F571B8" w:rsidRDefault="00F571B8" w:rsidP="00F571B8">
                  <w:pPr>
                    <w:spacing w:before="60" w:after="60" w:line="240" w:lineRule="auto"/>
                    <w:ind w:left="60" w:right="60"/>
                    <w:rPr>
                      <w:rFonts w:ascii="Segoe UI" w:eastAsia="Times New Roman" w:hAnsi="Segoe UI" w:cs="Segoe UI"/>
                      <w:b/>
                      <w:bCs/>
                      <w:color w:val="FFFFFF"/>
                      <w:sz w:val="16"/>
                      <w:szCs w:val="16"/>
                    </w:rPr>
                  </w:pPr>
                  <w:r w:rsidRPr="00F571B8">
                    <w:rPr>
                      <w:rFonts w:ascii="Segoe UI" w:eastAsia="Times New Roman" w:hAnsi="Segoe UI" w:cs="Segoe UI"/>
                      <w:b/>
                      <w:bCs/>
                      <w:color w:val="FFFFFF"/>
                      <w:sz w:val="16"/>
                      <w:szCs w:val="16"/>
                    </w:rPr>
                    <w:t>B</w:t>
                  </w:r>
                </w:p>
              </w:tc>
            </w:tr>
            <w:tr w:rsidR="00F571B8" w:rsidRPr="00F571B8">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b/>
                      <w:bCs/>
                      <w:sz w:val="16"/>
                      <w:szCs w:val="16"/>
                    </w:rPr>
                    <w:t>Data</w:t>
                  </w:r>
                </w:p>
              </w:tc>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b/>
                      <w:bCs/>
                      <w:sz w:val="16"/>
                      <w:szCs w:val="16"/>
                    </w:rPr>
                    <w:t>Description</w:t>
                  </w:r>
                </w:p>
              </w:tc>
            </w:tr>
            <w:tr w:rsidR="00F571B8" w:rsidRPr="00F571B8">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2400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Initial cost</w:t>
                  </w:r>
                </w:p>
              </w:tc>
            </w:tr>
            <w:tr w:rsidR="00F571B8" w:rsidRPr="00F571B8">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300</w:t>
                  </w:r>
                </w:p>
              </w:tc>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Salvage value</w:t>
                  </w:r>
                </w:p>
              </w:tc>
            </w:tr>
            <w:tr w:rsidR="00F571B8" w:rsidRPr="00F571B8">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10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Lifetime in years</w:t>
                  </w:r>
                </w:p>
              </w:tc>
            </w:tr>
            <w:tr w:rsidR="00F571B8" w:rsidRPr="00F571B8">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b/>
                      <w:bCs/>
                      <w:sz w:val="16"/>
                      <w:szCs w:val="16"/>
                    </w:rPr>
                    <w:t>Formula</w:t>
                  </w:r>
                </w:p>
              </w:tc>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b/>
                      <w:bCs/>
                      <w:sz w:val="16"/>
                      <w:szCs w:val="16"/>
                    </w:rPr>
                    <w:t>Description (Result)</w:t>
                  </w:r>
                </w:p>
              </w:tc>
            </w:tr>
            <w:tr w:rsidR="00F571B8" w:rsidRPr="00F571B8" w:rsidTr="00EA497C">
              <w:tc>
                <w:tcPr>
                  <w:tcW w:w="0" w:type="auto"/>
                  <w:tcBorders>
                    <w:top w:val="nil"/>
                    <w:left w:val="nil"/>
                    <w:bottom w:val="nil"/>
                    <w:right w:val="nil"/>
                  </w:tcBorders>
                  <w:shd w:val="clear" w:color="auto" w:fill="F2F2F2"/>
                  <w:tcMar>
                    <w:top w:w="60" w:type="dxa"/>
                    <w:left w:w="120" w:type="dxa"/>
                    <w:bottom w:w="60" w:type="dxa"/>
                    <w:right w:w="120" w:type="dxa"/>
                  </w:tcMar>
                </w:tcPr>
                <w:p w:rsidR="00F571B8" w:rsidRPr="00F571B8" w:rsidRDefault="00F571B8" w:rsidP="00F571B8">
                  <w:pPr>
                    <w:spacing w:before="60" w:after="60" w:line="240" w:lineRule="auto"/>
                    <w:ind w:left="60" w:right="60"/>
                    <w:rPr>
                      <w:rFonts w:ascii="Segoe UI" w:eastAsia="Times New Roman" w:hAnsi="Segoe UI" w:cs="Segoe UI"/>
                      <w:sz w:val="16"/>
                      <w:szCs w:val="16"/>
                    </w:rPr>
                  </w:pPr>
                </w:p>
              </w:tc>
              <w:tc>
                <w:tcPr>
                  <w:tcW w:w="0" w:type="auto"/>
                  <w:tcBorders>
                    <w:top w:val="nil"/>
                    <w:left w:val="nil"/>
                    <w:bottom w:val="nil"/>
                    <w:right w:val="nil"/>
                  </w:tcBorders>
                  <w:shd w:val="clear" w:color="auto" w:fill="F2F2F2"/>
                  <w:tcMar>
                    <w:top w:w="60" w:type="dxa"/>
                    <w:left w:w="120" w:type="dxa"/>
                    <w:bottom w:w="60" w:type="dxa"/>
                    <w:right w:w="120" w:type="dxa"/>
                  </w:tcMar>
                </w:tcPr>
                <w:p w:rsidR="00F571B8" w:rsidRPr="00F571B8" w:rsidRDefault="00F571B8" w:rsidP="00F571B8">
                  <w:pPr>
                    <w:spacing w:before="60" w:after="60" w:line="240" w:lineRule="auto"/>
                    <w:ind w:left="60" w:right="60"/>
                    <w:rPr>
                      <w:rFonts w:ascii="Segoe UI" w:eastAsia="Times New Roman" w:hAnsi="Segoe UI" w:cs="Segoe UI"/>
                      <w:sz w:val="16"/>
                      <w:szCs w:val="16"/>
                    </w:rPr>
                  </w:pPr>
                </w:p>
              </w:tc>
            </w:tr>
            <w:tr w:rsidR="00F571B8" w:rsidRPr="00F571B8">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=DDB(A2,A3,A4*12,1,2)</w:t>
                  </w:r>
                </w:p>
              </w:tc>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First month's depreciation (40.00)</w:t>
                  </w:r>
                </w:p>
              </w:tc>
            </w:tr>
            <w:tr w:rsidR="00F571B8" w:rsidRPr="00F571B8">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=DDB(A2,A3,A4,1,2)</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First year's depreciation (480.00)</w:t>
                  </w:r>
                </w:p>
              </w:tc>
            </w:tr>
            <w:tr w:rsidR="00F571B8" w:rsidRPr="00F571B8">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=DDB(A2,A3,A4,2,1.5)</w:t>
                  </w:r>
                </w:p>
              </w:tc>
              <w:tc>
                <w:tcPr>
                  <w:tcW w:w="0" w:type="auto"/>
                  <w:tcBorders>
                    <w:top w:val="nil"/>
                    <w:left w:val="nil"/>
                    <w:bottom w:val="nil"/>
                    <w:right w:val="nil"/>
                  </w:tcBorders>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Second year's depreciation using a factor of 1.5 instead of the double-declining balance method (306.00)</w:t>
                  </w:r>
                </w:p>
              </w:tc>
            </w:tr>
            <w:tr w:rsidR="00F571B8" w:rsidRPr="00F571B8">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=DDB(A2,A3,A4,10)</w:t>
                  </w:r>
                </w:p>
              </w:tc>
              <w:tc>
                <w:tcPr>
                  <w:tcW w:w="0" w:type="auto"/>
                  <w:tcBorders>
                    <w:top w:val="nil"/>
                    <w:left w:val="nil"/>
                    <w:bottom w:val="nil"/>
                    <w:right w:val="nil"/>
                  </w:tcBorders>
                  <w:shd w:val="clear" w:color="auto" w:fill="F2F2F2"/>
                  <w:tcMar>
                    <w:top w:w="60" w:type="dxa"/>
                    <w:left w:w="120" w:type="dxa"/>
                    <w:bottom w:w="60" w:type="dxa"/>
                    <w:right w:w="120" w:type="dxa"/>
                  </w:tcMar>
                  <w:hideMark/>
                </w:tcPr>
                <w:p w:rsidR="00F571B8" w:rsidRPr="00F571B8" w:rsidRDefault="00F571B8" w:rsidP="00F571B8">
                  <w:pPr>
                    <w:spacing w:before="60" w:after="60" w:line="240" w:lineRule="auto"/>
                    <w:ind w:left="60" w:right="60"/>
                    <w:rPr>
                      <w:rFonts w:ascii="Segoe UI" w:eastAsia="Times New Roman" w:hAnsi="Segoe UI" w:cs="Segoe UI"/>
                      <w:sz w:val="16"/>
                      <w:szCs w:val="16"/>
                    </w:rPr>
                  </w:pPr>
                  <w:r w:rsidRPr="00F571B8">
                    <w:rPr>
                      <w:rFonts w:ascii="Segoe UI" w:eastAsia="Times New Roman" w:hAnsi="Segoe UI" w:cs="Segoe UI"/>
                      <w:sz w:val="16"/>
                      <w:szCs w:val="16"/>
                    </w:rPr>
                    <w:t>Tenth year's depreciation. Microsoft Excel automatically assumes that factor is 2 (22.12)</w:t>
                  </w:r>
                </w:p>
              </w:tc>
            </w:tr>
          </w:tbl>
          <w:p w:rsidR="00F571B8" w:rsidRPr="00F571B8" w:rsidRDefault="00F571B8" w:rsidP="00F571B8">
            <w:pPr>
              <w:spacing w:before="60" w:after="60" w:line="240" w:lineRule="auto"/>
              <w:ind w:left="60" w:right="60"/>
              <w:rPr>
                <w:rFonts w:ascii="Segoe UI" w:eastAsia="Times New Roman" w:hAnsi="Segoe UI" w:cs="Segoe UI"/>
                <w:sz w:val="16"/>
                <w:szCs w:val="16"/>
              </w:rPr>
            </w:pPr>
          </w:p>
        </w:tc>
      </w:tr>
    </w:tbl>
    <w:p w:rsidR="00F571B8" w:rsidRDefault="00F571B8"/>
    <w:sectPr w:rsidR="00F571B8" w:rsidSect="00D32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pt;height:8.1pt" o:bullet="t">
        <v:imagedata r:id="rId1" o:title="hrefIcon"/>
      </v:shape>
    </w:pict>
  </w:numPicBullet>
  <w:numPicBullet w:numPicBulletId="1">
    <w:pict>
      <v:shape id="_x0000_i1030" type="#_x0000_t75" style="width:3.85pt;height:11.15pt" o:bullet="t">
        <v:imagedata r:id="rId2" o:title="bullet"/>
      </v:shape>
    </w:pict>
  </w:numPicBullet>
  <w:numPicBullet w:numPicBulletId="2">
    <w:pict>
      <v:shape id="_x0000_i1031" type="#_x0000_t75" style="width:6.95pt;height:7.3pt" o:bullet="t">
        <v:imagedata r:id="rId3" o:title="grey_bullet"/>
      </v:shape>
    </w:pict>
  </w:numPicBullet>
  <w:abstractNum w:abstractNumId="0">
    <w:nsid w:val="0C8E4DC3"/>
    <w:multiLevelType w:val="multilevel"/>
    <w:tmpl w:val="D4B4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B5C54"/>
    <w:multiLevelType w:val="multilevel"/>
    <w:tmpl w:val="8F4497B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44A7B"/>
    <w:multiLevelType w:val="multilevel"/>
    <w:tmpl w:val="08C00BB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93B64"/>
    <w:multiLevelType w:val="multilevel"/>
    <w:tmpl w:val="5B1EEA9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30635"/>
    <w:multiLevelType w:val="multilevel"/>
    <w:tmpl w:val="AF0611E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32376"/>
    <w:multiLevelType w:val="multilevel"/>
    <w:tmpl w:val="3E9C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5185C"/>
    <w:multiLevelType w:val="multilevel"/>
    <w:tmpl w:val="5E8EC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D4383"/>
    <w:multiLevelType w:val="multilevel"/>
    <w:tmpl w:val="897254F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90953"/>
    <w:multiLevelType w:val="multilevel"/>
    <w:tmpl w:val="AE6E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09266C"/>
    <w:multiLevelType w:val="multilevel"/>
    <w:tmpl w:val="821C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
  </w:num>
  <w:num w:numId="5">
    <w:abstractNumId w:val="8"/>
  </w:num>
  <w:num w:numId="6">
    <w:abstractNumId w:val="4"/>
  </w:num>
  <w:num w:numId="7">
    <w:abstractNumId w:val="3"/>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3EA3"/>
    <w:rsid w:val="00251E48"/>
    <w:rsid w:val="00283C58"/>
    <w:rsid w:val="003129B9"/>
    <w:rsid w:val="005042A1"/>
    <w:rsid w:val="00545517"/>
    <w:rsid w:val="00586639"/>
    <w:rsid w:val="00602BC3"/>
    <w:rsid w:val="00673EA3"/>
    <w:rsid w:val="00A220F6"/>
    <w:rsid w:val="00AF2ADF"/>
    <w:rsid w:val="00B35332"/>
    <w:rsid w:val="00CA0CD5"/>
    <w:rsid w:val="00D327EB"/>
    <w:rsid w:val="00D81F13"/>
    <w:rsid w:val="00EA497C"/>
    <w:rsid w:val="00ED64AA"/>
    <w:rsid w:val="00F57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EB"/>
  </w:style>
  <w:style w:type="paragraph" w:styleId="Heading2">
    <w:name w:val="heading 2"/>
    <w:basedOn w:val="Normal"/>
    <w:next w:val="Normal"/>
    <w:link w:val="Heading2Char"/>
    <w:uiPriority w:val="9"/>
    <w:semiHidden/>
    <w:unhideWhenUsed/>
    <w:qFormat/>
    <w:rsid w:val="00A22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1">
    <w:name w:val="acicollapsed1"/>
    <w:basedOn w:val="DefaultParagraphFont"/>
    <w:rsid w:val="00673EA3"/>
    <w:rPr>
      <w:vanish/>
      <w:webHidden w:val="0"/>
      <w:specVanish w:val="0"/>
    </w:rPr>
  </w:style>
  <w:style w:type="paragraph" w:styleId="BalloonText">
    <w:name w:val="Balloon Text"/>
    <w:basedOn w:val="Normal"/>
    <w:link w:val="BalloonTextChar"/>
    <w:uiPriority w:val="99"/>
    <w:semiHidden/>
    <w:unhideWhenUsed/>
    <w:rsid w:val="0067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A3"/>
    <w:rPr>
      <w:rFonts w:ascii="Tahoma" w:hAnsi="Tahoma" w:cs="Tahoma"/>
      <w:sz w:val="16"/>
      <w:szCs w:val="16"/>
    </w:rPr>
  </w:style>
  <w:style w:type="paragraph" w:styleId="NormalWeb">
    <w:name w:val="Normal (Web)"/>
    <w:basedOn w:val="Normal"/>
    <w:uiPriority w:val="99"/>
    <w:semiHidden/>
    <w:unhideWhenUsed/>
    <w:rsid w:val="00545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517"/>
  </w:style>
  <w:style w:type="character" w:styleId="Hyperlink">
    <w:name w:val="Hyperlink"/>
    <w:basedOn w:val="DefaultParagraphFont"/>
    <w:uiPriority w:val="99"/>
    <w:semiHidden/>
    <w:unhideWhenUsed/>
    <w:rsid w:val="00545517"/>
    <w:rPr>
      <w:color w:val="0000FF"/>
      <w:u w:val="single"/>
    </w:rPr>
  </w:style>
  <w:style w:type="character" w:customStyle="1" w:styleId="Heading3Char">
    <w:name w:val="Heading 3 Char"/>
    <w:basedOn w:val="DefaultParagraphFont"/>
    <w:link w:val="Heading3"/>
    <w:uiPriority w:val="9"/>
    <w:rsid w:val="00A220F6"/>
    <w:rPr>
      <w:rFonts w:ascii="Times New Roman" w:eastAsia="Times New Roman" w:hAnsi="Times New Roman" w:cs="Times New Roman"/>
      <w:b/>
      <w:bCs/>
      <w:sz w:val="27"/>
      <w:szCs w:val="27"/>
    </w:rPr>
  </w:style>
  <w:style w:type="character" w:customStyle="1" w:styleId="mw-headline">
    <w:name w:val="mw-headline"/>
    <w:basedOn w:val="DefaultParagraphFont"/>
    <w:rsid w:val="00A220F6"/>
  </w:style>
  <w:style w:type="character" w:customStyle="1" w:styleId="Heading2Char">
    <w:name w:val="Heading 2 Char"/>
    <w:basedOn w:val="DefaultParagraphFont"/>
    <w:link w:val="Heading2"/>
    <w:uiPriority w:val="9"/>
    <w:semiHidden/>
    <w:rsid w:val="00A220F6"/>
    <w:rPr>
      <w:rFonts w:asciiTheme="majorHAnsi" w:eastAsiaTheme="majorEastAsia" w:hAnsiTheme="majorHAnsi" w:cstheme="majorBidi"/>
      <w:b/>
      <w:bCs/>
      <w:color w:val="4F81BD" w:themeColor="accent1"/>
      <w:sz w:val="26"/>
      <w:szCs w:val="26"/>
    </w:rPr>
  </w:style>
  <w:style w:type="character" w:customStyle="1" w:styleId="editsection">
    <w:name w:val="editsection"/>
    <w:basedOn w:val="DefaultParagraphFont"/>
    <w:rsid w:val="00A22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2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220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icollapsed1">
    <w:name w:val="acicollapsed1"/>
    <w:basedOn w:val="DefaultParagraphFont"/>
    <w:rsid w:val="00673EA3"/>
    <w:rPr>
      <w:vanish/>
      <w:webHidden w:val="0"/>
      <w:specVanish w:val="0"/>
    </w:rPr>
  </w:style>
  <w:style w:type="paragraph" w:styleId="BalloonText">
    <w:name w:val="Balloon Text"/>
    <w:basedOn w:val="Normal"/>
    <w:link w:val="BalloonTextChar"/>
    <w:uiPriority w:val="99"/>
    <w:semiHidden/>
    <w:unhideWhenUsed/>
    <w:rsid w:val="0067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A3"/>
    <w:rPr>
      <w:rFonts w:ascii="Tahoma" w:hAnsi="Tahoma" w:cs="Tahoma"/>
      <w:sz w:val="16"/>
      <w:szCs w:val="16"/>
    </w:rPr>
  </w:style>
  <w:style w:type="paragraph" w:styleId="NormalWeb">
    <w:name w:val="Normal (Web)"/>
    <w:basedOn w:val="Normal"/>
    <w:uiPriority w:val="99"/>
    <w:semiHidden/>
    <w:unhideWhenUsed/>
    <w:rsid w:val="00545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517"/>
  </w:style>
  <w:style w:type="character" w:styleId="Hyperlink">
    <w:name w:val="Hyperlink"/>
    <w:basedOn w:val="DefaultParagraphFont"/>
    <w:uiPriority w:val="99"/>
    <w:semiHidden/>
    <w:unhideWhenUsed/>
    <w:rsid w:val="00545517"/>
    <w:rPr>
      <w:color w:val="0000FF"/>
      <w:u w:val="single"/>
    </w:rPr>
  </w:style>
  <w:style w:type="character" w:customStyle="1" w:styleId="Heading3Char">
    <w:name w:val="Heading 3 Char"/>
    <w:basedOn w:val="DefaultParagraphFont"/>
    <w:link w:val="Heading3"/>
    <w:uiPriority w:val="9"/>
    <w:rsid w:val="00A220F6"/>
    <w:rPr>
      <w:rFonts w:ascii="Times New Roman" w:eastAsia="Times New Roman" w:hAnsi="Times New Roman" w:cs="Times New Roman"/>
      <w:b/>
      <w:bCs/>
      <w:sz w:val="27"/>
      <w:szCs w:val="27"/>
    </w:rPr>
  </w:style>
  <w:style w:type="character" w:customStyle="1" w:styleId="mw-headline">
    <w:name w:val="mw-headline"/>
    <w:basedOn w:val="DefaultParagraphFont"/>
    <w:rsid w:val="00A220F6"/>
  </w:style>
  <w:style w:type="character" w:customStyle="1" w:styleId="Heading2Char">
    <w:name w:val="Heading 2 Char"/>
    <w:basedOn w:val="DefaultParagraphFont"/>
    <w:link w:val="Heading2"/>
    <w:uiPriority w:val="9"/>
    <w:semiHidden/>
    <w:rsid w:val="00A220F6"/>
    <w:rPr>
      <w:rFonts w:asciiTheme="majorHAnsi" w:eastAsiaTheme="majorEastAsia" w:hAnsiTheme="majorHAnsi" w:cstheme="majorBidi"/>
      <w:b/>
      <w:bCs/>
      <w:color w:val="4F81BD" w:themeColor="accent1"/>
      <w:sz w:val="26"/>
      <w:szCs w:val="26"/>
    </w:rPr>
  </w:style>
  <w:style w:type="character" w:customStyle="1" w:styleId="editsection">
    <w:name w:val="editsection"/>
    <w:basedOn w:val="DefaultParagraphFont"/>
    <w:rsid w:val="00A220F6"/>
  </w:style>
</w:styles>
</file>

<file path=word/webSettings.xml><?xml version="1.0" encoding="utf-8"?>
<w:webSettings xmlns:r="http://schemas.openxmlformats.org/officeDocument/2006/relationships" xmlns:w="http://schemas.openxmlformats.org/wordprocessingml/2006/main">
  <w:divs>
    <w:div w:id="97415592">
      <w:bodyDiv w:val="1"/>
      <w:marLeft w:val="0"/>
      <w:marRight w:val="0"/>
      <w:marTop w:val="0"/>
      <w:marBottom w:val="0"/>
      <w:divBdr>
        <w:top w:val="none" w:sz="0" w:space="0" w:color="auto"/>
        <w:left w:val="none" w:sz="0" w:space="0" w:color="auto"/>
        <w:bottom w:val="none" w:sz="0" w:space="0" w:color="auto"/>
        <w:right w:val="none" w:sz="0" w:space="0" w:color="auto"/>
      </w:divBdr>
    </w:div>
    <w:div w:id="279069046">
      <w:bodyDiv w:val="1"/>
      <w:marLeft w:val="0"/>
      <w:marRight w:val="0"/>
      <w:marTop w:val="0"/>
      <w:marBottom w:val="0"/>
      <w:divBdr>
        <w:top w:val="none" w:sz="0" w:space="0" w:color="auto"/>
        <w:left w:val="none" w:sz="0" w:space="0" w:color="auto"/>
        <w:bottom w:val="none" w:sz="0" w:space="0" w:color="auto"/>
        <w:right w:val="none" w:sz="0" w:space="0" w:color="auto"/>
      </w:divBdr>
      <w:divsChild>
        <w:div w:id="499929111">
          <w:marLeft w:val="150"/>
          <w:marRight w:val="150"/>
          <w:marTop w:val="225"/>
          <w:marBottom w:val="0"/>
          <w:divBdr>
            <w:top w:val="none" w:sz="0" w:space="0" w:color="auto"/>
            <w:left w:val="none" w:sz="0" w:space="0" w:color="auto"/>
            <w:bottom w:val="none" w:sz="0" w:space="0" w:color="auto"/>
            <w:right w:val="none" w:sz="0" w:space="0" w:color="auto"/>
          </w:divBdr>
          <w:divsChild>
            <w:div w:id="1748376292">
              <w:marLeft w:val="0"/>
              <w:marRight w:val="0"/>
              <w:marTop w:val="0"/>
              <w:marBottom w:val="0"/>
              <w:divBdr>
                <w:top w:val="none" w:sz="0" w:space="0" w:color="auto"/>
                <w:left w:val="none" w:sz="0" w:space="0" w:color="auto"/>
                <w:bottom w:val="none" w:sz="0" w:space="0" w:color="auto"/>
                <w:right w:val="none" w:sz="0" w:space="0" w:color="auto"/>
              </w:divBdr>
              <w:divsChild>
                <w:div w:id="2118059894">
                  <w:marLeft w:val="0"/>
                  <w:marRight w:val="0"/>
                  <w:marTop w:val="0"/>
                  <w:marBottom w:val="0"/>
                  <w:divBdr>
                    <w:top w:val="none" w:sz="0" w:space="0" w:color="auto"/>
                    <w:left w:val="none" w:sz="0" w:space="0" w:color="auto"/>
                    <w:bottom w:val="none" w:sz="0" w:space="0" w:color="auto"/>
                    <w:right w:val="none" w:sz="0" w:space="0" w:color="auto"/>
                  </w:divBdr>
                </w:div>
                <w:div w:id="1822845021">
                  <w:marLeft w:val="0"/>
                  <w:marRight w:val="0"/>
                  <w:marTop w:val="0"/>
                  <w:marBottom w:val="0"/>
                  <w:divBdr>
                    <w:top w:val="none" w:sz="0" w:space="0" w:color="auto"/>
                    <w:left w:val="none" w:sz="0" w:space="0" w:color="auto"/>
                    <w:bottom w:val="none" w:sz="0" w:space="0" w:color="auto"/>
                    <w:right w:val="none" w:sz="0" w:space="0" w:color="auto"/>
                  </w:divBdr>
                  <w:divsChild>
                    <w:div w:id="1126509630">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sChild>
    </w:div>
    <w:div w:id="1247811729">
      <w:bodyDiv w:val="1"/>
      <w:marLeft w:val="0"/>
      <w:marRight w:val="0"/>
      <w:marTop w:val="0"/>
      <w:marBottom w:val="0"/>
      <w:divBdr>
        <w:top w:val="none" w:sz="0" w:space="0" w:color="auto"/>
        <w:left w:val="none" w:sz="0" w:space="0" w:color="auto"/>
        <w:bottom w:val="none" w:sz="0" w:space="0" w:color="auto"/>
        <w:right w:val="none" w:sz="0" w:space="0" w:color="auto"/>
      </w:divBdr>
    </w:div>
    <w:div w:id="1341350979">
      <w:bodyDiv w:val="1"/>
      <w:marLeft w:val="0"/>
      <w:marRight w:val="0"/>
      <w:marTop w:val="0"/>
      <w:marBottom w:val="0"/>
      <w:divBdr>
        <w:top w:val="none" w:sz="0" w:space="0" w:color="auto"/>
        <w:left w:val="none" w:sz="0" w:space="0" w:color="auto"/>
        <w:bottom w:val="none" w:sz="0" w:space="0" w:color="auto"/>
        <w:right w:val="none" w:sz="0" w:space="0" w:color="auto"/>
      </w:divBdr>
      <w:divsChild>
        <w:div w:id="2101369537">
          <w:marLeft w:val="150"/>
          <w:marRight w:val="150"/>
          <w:marTop w:val="225"/>
          <w:marBottom w:val="0"/>
          <w:divBdr>
            <w:top w:val="none" w:sz="0" w:space="0" w:color="auto"/>
            <w:left w:val="none" w:sz="0" w:space="0" w:color="auto"/>
            <w:bottom w:val="none" w:sz="0" w:space="0" w:color="auto"/>
            <w:right w:val="none" w:sz="0" w:space="0" w:color="auto"/>
          </w:divBdr>
          <w:divsChild>
            <w:div w:id="1759642974">
              <w:marLeft w:val="0"/>
              <w:marRight w:val="0"/>
              <w:marTop w:val="0"/>
              <w:marBottom w:val="0"/>
              <w:divBdr>
                <w:top w:val="none" w:sz="0" w:space="0" w:color="auto"/>
                <w:left w:val="none" w:sz="0" w:space="0" w:color="auto"/>
                <w:bottom w:val="none" w:sz="0" w:space="0" w:color="auto"/>
                <w:right w:val="none" w:sz="0" w:space="0" w:color="auto"/>
              </w:divBdr>
              <w:divsChild>
                <w:div w:id="1127964122">
                  <w:marLeft w:val="0"/>
                  <w:marRight w:val="0"/>
                  <w:marTop w:val="0"/>
                  <w:marBottom w:val="0"/>
                  <w:divBdr>
                    <w:top w:val="none" w:sz="0" w:space="0" w:color="auto"/>
                    <w:left w:val="none" w:sz="0" w:space="0" w:color="auto"/>
                    <w:bottom w:val="none" w:sz="0" w:space="0" w:color="auto"/>
                    <w:right w:val="none" w:sz="0" w:space="0" w:color="auto"/>
                  </w:divBdr>
                </w:div>
                <w:div w:id="2127574337">
                  <w:marLeft w:val="0"/>
                  <w:marRight w:val="0"/>
                  <w:marTop w:val="0"/>
                  <w:marBottom w:val="0"/>
                  <w:divBdr>
                    <w:top w:val="none" w:sz="0" w:space="0" w:color="auto"/>
                    <w:left w:val="none" w:sz="0" w:space="0" w:color="auto"/>
                    <w:bottom w:val="none" w:sz="0" w:space="0" w:color="auto"/>
                    <w:right w:val="none" w:sz="0" w:space="0" w:color="auto"/>
                  </w:divBdr>
                  <w:divsChild>
                    <w:div w:id="430052140">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sChild>
    </w:div>
    <w:div w:id="1419669529">
      <w:bodyDiv w:val="1"/>
      <w:marLeft w:val="0"/>
      <w:marRight w:val="0"/>
      <w:marTop w:val="0"/>
      <w:marBottom w:val="0"/>
      <w:divBdr>
        <w:top w:val="none" w:sz="0" w:space="0" w:color="auto"/>
        <w:left w:val="none" w:sz="0" w:space="0" w:color="auto"/>
        <w:bottom w:val="none" w:sz="0" w:space="0" w:color="auto"/>
        <w:right w:val="none" w:sz="0" w:space="0" w:color="auto"/>
      </w:divBdr>
    </w:div>
    <w:div w:id="1790658820">
      <w:bodyDiv w:val="1"/>
      <w:marLeft w:val="0"/>
      <w:marRight w:val="0"/>
      <w:marTop w:val="0"/>
      <w:marBottom w:val="0"/>
      <w:divBdr>
        <w:top w:val="none" w:sz="0" w:space="0" w:color="auto"/>
        <w:left w:val="none" w:sz="0" w:space="0" w:color="auto"/>
        <w:bottom w:val="none" w:sz="0" w:space="0" w:color="auto"/>
        <w:right w:val="none" w:sz="0" w:space="0" w:color="auto"/>
      </w:divBdr>
      <w:divsChild>
        <w:div w:id="754204596">
          <w:marLeft w:val="150"/>
          <w:marRight w:val="150"/>
          <w:marTop w:val="225"/>
          <w:marBottom w:val="0"/>
          <w:divBdr>
            <w:top w:val="none" w:sz="0" w:space="0" w:color="auto"/>
            <w:left w:val="none" w:sz="0" w:space="0" w:color="auto"/>
            <w:bottom w:val="none" w:sz="0" w:space="0" w:color="auto"/>
            <w:right w:val="none" w:sz="0" w:space="0" w:color="auto"/>
          </w:divBdr>
          <w:divsChild>
            <w:div w:id="573664838">
              <w:marLeft w:val="0"/>
              <w:marRight w:val="0"/>
              <w:marTop w:val="0"/>
              <w:marBottom w:val="0"/>
              <w:divBdr>
                <w:top w:val="none" w:sz="0" w:space="0" w:color="auto"/>
                <w:left w:val="none" w:sz="0" w:space="0" w:color="auto"/>
                <w:bottom w:val="none" w:sz="0" w:space="0" w:color="auto"/>
                <w:right w:val="none" w:sz="0" w:space="0" w:color="auto"/>
              </w:divBdr>
              <w:divsChild>
                <w:div w:id="177934677">
                  <w:marLeft w:val="0"/>
                  <w:marRight w:val="0"/>
                  <w:marTop w:val="0"/>
                  <w:marBottom w:val="0"/>
                  <w:divBdr>
                    <w:top w:val="none" w:sz="0" w:space="0" w:color="auto"/>
                    <w:left w:val="none" w:sz="0" w:space="0" w:color="auto"/>
                    <w:bottom w:val="none" w:sz="0" w:space="0" w:color="auto"/>
                    <w:right w:val="none" w:sz="0" w:space="0" w:color="auto"/>
                  </w:divBdr>
                </w:div>
                <w:div w:id="1388721914">
                  <w:marLeft w:val="0"/>
                  <w:marRight w:val="0"/>
                  <w:marTop w:val="0"/>
                  <w:marBottom w:val="0"/>
                  <w:divBdr>
                    <w:top w:val="none" w:sz="0" w:space="0" w:color="auto"/>
                    <w:left w:val="none" w:sz="0" w:space="0" w:color="auto"/>
                    <w:bottom w:val="none" w:sz="0" w:space="0" w:color="auto"/>
                    <w:right w:val="none" w:sz="0" w:space="0" w:color="auto"/>
                  </w:divBdr>
                  <w:divsChild>
                    <w:div w:id="315763487">
                      <w:marLeft w:val="0"/>
                      <w:marRight w:val="0"/>
                      <w:marTop w:val="135"/>
                      <w:marBottom w:val="225"/>
                      <w:divBdr>
                        <w:top w:val="none" w:sz="0" w:space="0" w:color="auto"/>
                        <w:left w:val="none" w:sz="0" w:space="0" w:color="auto"/>
                        <w:bottom w:val="none" w:sz="0" w:space="0" w:color="auto"/>
                        <w:right w:val="none" w:sz="0" w:space="0" w:color="auto"/>
                      </w:divBdr>
                    </w:div>
                  </w:divsChild>
                </w:div>
              </w:divsChild>
            </w:div>
          </w:divsChild>
        </w:div>
      </w:divsChild>
    </w:div>
    <w:div w:id="20736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AppendPopup(this,'ofArgument_2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AppendPopup(this,'ofArgument_2_2')" TargetMode="External"/><Relationship Id="rId5" Type="http://schemas.openxmlformats.org/officeDocument/2006/relationships/image" Target="media/image4.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Lab</cp:lastModifiedBy>
  <cp:revision>11</cp:revision>
  <dcterms:created xsi:type="dcterms:W3CDTF">2012-11-09T09:32:00Z</dcterms:created>
  <dcterms:modified xsi:type="dcterms:W3CDTF">2013-11-07T15:20:00Z</dcterms:modified>
</cp:coreProperties>
</file>