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32FE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bookmarkStart w:id="0" w:name="_GoBack"/>
      <w:bookmarkEnd w:id="0"/>
      <w:r>
        <w:rPr>
          <w:rStyle w:val="Strong"/>
          <w:rFonts w:ascii="Segoe UI" w:hAnsi="Segoe UI" w:cs="Segoe UI"/>
          <w:sz w:val="21"/>
          <w:szCs w:val="21"/>
        </w:rPr>
        <w:t>PRIMARY RESPONSIBILITIES:</w:t>
      </w:r>
    </w:p>
    <w:p w14:paraId="71A42C50" w14:textId="455B20FC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Oversee processes with internal and external partners to ensure the proper and efficient availability of liquidity across all subsidiaries </w:t>
      </w:r>
    </w:p>
    <w:p w14:paraId="4244E46F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Responsibility of daily cash management, committed and uncommitted lines of credit, commercial paper program, and other sources of short-term liquidity</w:t>
      </w:r>
    </w:p>
    <w:p w14:paraId="67FC5B66" w14:textId="66684109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Manage corporate banking relationships, including existing relationships and the development of future potential relationships</w:t>
      </w:r>
    </w:p>
    <w:p w14:paraId="574B5988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Develop and implement a treasury and cash management strategy to automate and modernize the procure-to-pay process, as well as other critical daily treasury functions</w:t>
      </w:r>
    </w:p>
    <w:p w14:paraId="00B68B74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Plan and execute capital markets transactions to support long-term financing strategy</w:t>
      </w:r>
    </w:p>
    <w:p w14:paraId="76109AD5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Participate in the Company's forecasting, strategic planning, and business development processes</w:t>
      </w:r>
    </w:p>
    <w:p w14:paraId="7610D856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Management of associates within the corporate Finance department</w:t>
      </w:r>
    </w:p>
    <w:p w14:paraId="7F484377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12511F8C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sz w:val="21"/>
          <w:szCs w:val="21"/>
        </w:rPr>
        <w:t>MINIMUM QUALIFICATIONS:</w:t>
      </w:r>
    </w:p>
    <w:p w14:paraId="4D340651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Bachelor’s degree in finance, accounting, business administration or a related field</w:t>
      </w:r>
    </w:p>
    <w:p w14:paraId="5FE31DB3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15+ years of experience in treasury and risk management, or related functions</w:t>
      </w:r>
    </w:p>
    <w:p w14:paraId="26F758C9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Exceptional and demonstrated interpersonal and decision-making skills</w:t>
      </w:r>
    </w:p>
    <w:p w14:paraId="7A15DB0D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Self-starter, with ability to work independently as well as in cross-functional teams</w:t>
      </w:r>
    </w:p>
    <w:p w14:paraId="33817F3B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09FAB781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sz w:val="21"/>
          <w:szCs w:val="21"/>
        </w:rPr>
        <w:t>PREFERRED QUALIFICATIONS:</w:t>
      </w:r>
    </w:p>
    <w:p w14:paraId="725E84C3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MBA degree</w:t>
      </w:r>
    </w:p>
    <w:p w14:paraId="2F180FD2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Energy industry experience</w:t>
      </w:r>
    </w:p>
    <w:p w14:paraId="4923C32E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Certified Treasury Professional designation</w:t>
      </w:r>
    </w:p>
    <w:p w14:paraId="7C039805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</w:p>
    <w:p w14:paraId="30EBEFA1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The rate of pay will be commensurate with experience.</w:t>
      </w:r>
    </w:p>
    <w:p w14:paraId="5B2585EA" w14:textId="41F67302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 Offers a comprehensive benefits package including the following:</w:t>
      </w:r>
    </w:p>
    <w:p w14:paraId="498F4EE1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 Medical and Prescription Drug Coverage</w:t>
      </w:r>
    </w:p>
    <w:p w14:paraId="19D1E4A8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Paid Company Holidays</w:t>
      </w:r>
    </w:p>
    <w:p w14:paraId="243DCF7C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Dental Coverage</w:t>
      </w:r>
    </w:p>
    <w:p w14:paraId="724D8257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Parental Leave for Mothers and Fathers</w:t>
      </w:r>
    </w:p>
    <w:p w14:paraId="228E2996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Vision Coverage</w:t>
      </w:r>
    </w:p>
    <w:p w14:paraId="42DE1B36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Tuition Reimbursement</w:t>
      </w:r>
    </w:p>
    <w:p w14:paraId="5DC6B78A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401(k) with Company Match</w:t>
      </w:r>
    </w:p>
    <w:p w14:paraId="2B7C0991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Life Insurance</w:t>
      </w:r>
    </w:p>
    <w:p w14:paraId="5087D0BF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Company Funded Retirement Savings Account</w:t>
      </w:r>
    </w:p>
    <w:p w14:paraId="05601DC3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Long Term Disability Insurance</w:t>
      </w:r>
    </w:p>
    <w:p w14:paraId="5362644E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Flexible Work Schedule</w:t>
      </w:r>
    </w:p>
    <w:p w14:paraId="00AEF375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Flexible Spending Account</w:t>
      </w:r>
    </w:p>
    <w:p w14:paraId="52BE914A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Paid Time Off</w:t>
      </w:r>
    </w:p>
    <w:p w14:paraId="73D8B027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        Charitable Giving Programs</w:t>
      </w:r>
    </w:p>
    <w:p w14:paraId="5AEABF87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</w:p>
    <w:p w14:paraId="7AC28584" w14:textId="77777777" w:rsidR="00C74246" w:rsidRDefault="00C74246" w:rsidP="00C74246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7DE6D002" w14:textId="77777777" w:rsidR="00DA3ACC" w:rsidRDefault="00A31649"/>
    <w:sectPr w:rsidR="00DA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46"/>
    <w:rsid w:val="00213226"/>
    <w:rsid w:val="00A31649"/>
    <w:rsid w:val="00B54EE3"/>
    <w:rsid w:val="00C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FE95"/>
  <w15:chartTrackingRefBased/>
  <w15:docId w15:val="{8508395C-B50B-45E9-94B3-24CAD69D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Dunn</dc:creator>
  <cp:keywords/>
  <dc:description/>
  <cp:lastModifiedBy>Dania Steadman</cp:lastModifiedBy>
  <cp:revision>2</cp:revision>
  <cp:lastPrinted>2021-11-13T01:46:00Z</cp:lastPrinted>
  <dcterms:created xsi:type="dcterms:W3CDTF">2021-12-06T22:56:00Z</dcterms:created>
  <dcterms:modified xsi:type="dcterms:W3CDTF">2021-12-06T22:56:00Z</dcterms:modified>
</cp:coreProperties>
</file>