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0"/>
        <w:gridCol w:w="9740"/>
        <w:gridCol w:w="230"/>
      </w:tblGrid>
      <w:tr w:rsidR="00BD5FB6" w:rsidTr="006E10B6">
        <w:trPr>
          <w:gridBefore w:val="1"/>
          <w:wBefore w:w="250" w:type="dxa"/>
          <w:cantSplit/>
          <w:trHeight w:val="400"/>
          <w:jc w:val="center"/>
        </w:trPr>
        <w:tc>
          <w:tcPr>
            <w:tcW w:w="9970" w:type="dxa"/>
            <w:gridSpan w:val="2"/>
            <w:tcBorders>
              <w:bottom w:val="nil"/>
            </w:tcBorders>
            <w:shd w:val="clear" w:color="auto" w:fill="000000"/>
            <w:vAlign w:val="center"/>
          </w:tcPr>
          <w:p w:rsidR="00BD5FB6" w:rsidRDefault="00DF4F3A" w:rsidP="001137CC">
            <w:pPr>
              <w:pStyle w:val="Heading3"/>
              <w:spacing w:before="0"/>
              <w:rPr>
                <w:rFonts w:ascii="Futura BdCn BT" w:hAnsi="Futura BdCn BT"/>
                <w:sz w:val="24"/>
              </w:rPr>
            </w:pPr>
            <w:r>
              <w:rPr>
                <w:rFonts w:ascii="Futura BdCn BT" w:hAnsi="Futura BdCn BT"/>
                <w:sz w:val="24"/>
              </w:rPr>
              <w:t>RULES AND REGULATIONS NOTICE OF MOTION - Minor Regional Import Rule</w:t>
            </w:r>
          </w:p>
        </w:tc>
      </w:tr>
      <w:tr w:rsidR="00BD5FB6" w:rsidTr="00D837E6">
        <w:trPr>
          <w:gridBefore w:val="1"/>
          <w:wBefore w:w="250" w:type="dxa"/>
          <w:cantSplit/>
          <w:trHeight w:val="746"/>
          <w:jc w:val="center"/>
        </w:trPr>
        <w:tc>
          <w:tcPr>
            <w:tcW w:w="9970" w:type="dxa"/>
            <w:gridSpan w:val="2"/>
            <w:tcBorders>
              <w:top w:val="single" w:sz="4" w:space="0" w:color="auto"/>
            </w:tcBorders>
            <w:vAlign w:val="center"/>
          </w:tcPr>
          <w:p w:rsidR="00BD5FB6" w:rsidRDefault="00DF4F3A" w:rsidP="00877AE2">
            <w:pPr>
              <w:rPr>
                <w:rFonts w:ascii="Futura MdCn BT" w:hAnsi="Futura MdCn BT"/>
                <w:b/>
              </w:rPr>
            </w:pPr>
            <w:r>
              <w:rPr>
                <w:rFonts w:ascii="Futura MdCn BT" w:hAnsi="Futura MdCn BT"/>
                <w:b/>
              </w:rPr>
              <w:t>Rules and Regulations</w:t>
            </w:r>
          </w:p>
          <w:p w:rsidR="00EE7ACD" w:rsidRPr="00791A1D" w:rsidRDefault="00EE7ACD" w:rsidP="00877AE2">
            <w:pPr>
              <w:rPr>
                <w:rFonts w:ascii="Futura MdCn BT" w:hAnsi="Futura MdCn BT"/>
                <w:b/>
              </w:rPr>
            </w:pPr>
          </w:p>
          <w:p w:rsidR="00791A1D" w:rsidRPr="006E10B6" w:rsidRDefault="00BD5FB6" w:rsidP="00E05640">
            <w:pPr>
              <w:rPr>
                <w:rFonts w:ascii="Futura MdCn BT" w:hAnsi="Futura MdCn BT"/>
                <w:b/>
              </w:rPr>
            </w:pPr>
            <w:r>
              <w:rPr>
                <w:rFonts w:ascii="Futura MdCn BT" w:hAnsi="Futura MdCn BT"/>
                <w:b/>
              </w:rPr>
              <w:t xml:space="preserve">Submitted by: </w:t>
            </w:r>
            <w:r w:rsidR="00603361">
              <w:rPr>
                <w:rFonts w:ascii="Futura MdCn BT" w:hAnsi="Futura MdCn BT"/>
                <w:b/>
              </w:rPr>
              <w:t xml:space="preserve"> </w:t>
            </w:r>
            <w:r w:rsidR="00A40CEF">
              <w:rPr>
                <w:rFonts w:ascii="Futura MdCn BT" w:hAnsi="Futura MdCn BT"/>
                <w:b/>
              </w:rPr>
              <w:t>So</w:t>
            </w:r>
            <w:r w:rsidR="00DF4F3A">
              <w:rPr>
                <w:rFonts w:ascii="Futura MdCn BT" w:hAnsi="Futura MdCn BT"/>
                <w:b/>
              </w:rPr>
              <w:t>ftball New Brunswick Board of Directors</w:t>
            </w:r>
          </w:p>
        </w:tc>
      </w:tr>
      <w:tr w:rsidR="00D837E6" w:rsidTr="00533813">
        <w:trPr>
          <w:gridBefore w:val="1"/>
          <w:wBefore w:w="250" w:type="dxa"/>
          <w:cantSplit/>
          <w:trHeight w:val="539"/>
          <w:jc w:val="center"/>
        </w:trPr>
        <w:tc>
          <w:tcPr>
            <w:tcW w:w="9970" w:type="dxa"/>
            <w:gridSpan w:val="2"/>
            <w:tcBorders>
              <w:top w:val="single" w:sz="4" w:space="0" w:color="auto"/>
            </w:tcBorders>
            <w:vAlign w:val="center"/>
          </w:tcPr>
          <w:p w:rsidR="00D837E6" w:rsidRPr="00D837E6" w:rsidRDefault="00D837E6" w:rsidP="00D837E6">
            <w:pPr>
              <w:rPr>
                <w:rFonts w:ascii="Futura MdCn BT" w:hAnsi="Futura MdCn BT"/>
                <w:b/>
              </w:rPr>
            </w:pPr>
            <w:r>
              <w:rPr>
                <w:rFonts w:ascii="Futura MdCn BT" w:hAnsi="Futura MdCn BT"/>
                <w:b/>
              </w:rPr>
              <w:t>Moved by:</w:t>
            </w:r>
            <w:r w:rsidR="003932FE">
              <w:rPr>
                <w:rFonts w:ascii="Futura MdCn BT" w:hAnsi="Futura MdCn BT"/>
                <w:b/>
              </w:rPr>
              <w:t xml:space="preserve">                                                                       Seconded by:</w:t>
            </w:r>
          </w:p>
        </w:tc>
      </w:tr>
      <w:tr w:rsidR="00A423D1"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bottom w:val="single" w:sz="4" w:space="0" w:color="auto"/>
            </w:tcBorders>
          </w:tcPr>
          <w:p w:rsidR="00A423D1" w:rsidRDefault="00BC6DCD" w:rsidP="00D837E6">
            <w:pPr>
              <w:ind w:left="-18"/>
              <w:rPr>
                <w:rFonts w:ascii="Arial" w:hAnsi="Arial" w:cs="Arial"/>
                <w:b/>
                <w:sz w:val="20"/>
                <w:szCs w:val="20"/>
              </w:rPr>
            </w:pPr>
            <w:r>
              <w:rPr>
                <w:rFonts w:ascii="Arial" w:hAnsi="Arial" w:cs="Arial"/>
                <w:b/>
                <w:sz w:val="20"/>
                <w:szCs w:val="20"/>
              </w:rPr>
              <w:t xml:space="preserve"> </w:t>
            </w:r>
          </w:p>
          <w:p w:rsidR="00D837E6" w:rsidRPr="001E0F31" w:rsidRDefault="00D837E6">
            <w:pPr>
              <w:rPr>
                <w:rFonts w:ascii="Arial" w:hAnsi="Arial" w:cs="Arial"/>
                <w:sz w:val="20"/>
                <w:szCs w:val="20"/>
              </w:rPr>
            </w:pP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top w:val="single" w:sz="4" w:space="0" w:color="auto"/>
              <w:left w:val="single" w:sz="4" w:space="0" w:color="auto"/>
              <w:bottom w:val="single" w:sz="4" w:space="0" w:color="auto"/>
              <w:right w:val="single" w:sz="4" w:space="0" w:color="auto"/>
            </w:tcBorders>
          </w:tcPr>
          <w:p w:rsidR="001D2C7C" w:rsidRDefault="001D2C7C" w:rsidP="001D2C7C">
            <w:pPr>
              <w:spacing w:before="120"/>
            </w:pPr>
            <w:r w:rsidRPr="001E0F31">
              <w:rPr>
                <w:rFonts w:ascii="Arial" w:hAnsi="Arial" w:cs="Arial"/>
                <w:b/>
                <w:sz w:val="20"/>
                <w:szCs w:val="20"/>
              </w:rPr>
              <w:t>REFERENCE</w:t>
            </w:r>
            <w:r w:rsidRPr="001E0F31">
              <w:rPr>
                <w:rFonts w:ascii="Arial" w:hAnsi="Arial" w:cs="Arial"/>
                <w:sz w:val="20"/>
                <w:szCs w:val="20"/>
              </w:rPr>
              <w:t xml:space="preserve"> </w:t>
            </w:r>
            <w:r>
              <w:rPr>
                <w:rFonts w:ascii="Arial" w:hAnsi="Arial" w:cs="Arial"/>
                <w:sz w:val="20"/>
                <w:szCs w:val="20"/>
              </w:rPr>
              <w:t xml:space="preserve">: </w:t>
            </w:r>
            <w:r>
              <w:t>(Sec</w:t>
            </w:r>
            <w:r w:rsidR="00F924B9">
              <w:t>t</w:t>
            </w:r>
            <w:r>
              <w:t>ion, article, number, page, etc.)</w:t>
            </w:r>
          </w:p>
          <w:p w:rsidR="00DF0596" w:rsidRPr="00A423D1" w:rsidRDefault="000A71B3" w:rsidP="00DF4F3A">
            <w:pPr>
              <w:spacing w:before="120"/>
            </w:pPr>
            <w:r>
              <w:rPr>
                <w:rFonts w:ascii="Arial" w:hAnsi="Arial" w:cs="Arial"/>
                <w:sz w:val="22"/>
                <w:szCs w:val="22"/>
              </w:rPr>
              <w:t xml:space="preserve"> </w:t>
            </w:r>
            <w:r w:rsidR="00DF4F3A">
              <w:rPr>
                <w:rFonts w:ascii="Arial" w:hAnsi="Arial" w:cs="Arial"/>
                <w:sz w:val="22"/>
                <w:szCs w:val="22"/>
              </w:rPr>
              <w:t xml:space="preserve">Section 4:00, </w:t>
            </w:r>
            <w:r w:rsidR="00A40CEF">
              <w:t xml:space="preserve">Article </w:t>
            </w:r>
            <w:r w:rsidR="00DF4F3A">
              <w:t>2.0 (b)</w:t>
            </w:r>
            <w:r w:rsidR="00C536FB">
              <w:t xml:space="preserve"> page </w:t>
            </w:r>
            <w:r w:rsidR="00DF4F3A">
              <w:t>8</w:t>
            </w: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top w:val="single" w:sz="4" w:space="0" w:color="auto"/>
              <w:bottom w:val="single" w:sz="4" w:space="0" w:color="auto"/>
            </w:tcBorders>
          </w:tcPr>
          <w:p w:rsidR="006063C5" w:rsidRPr="001E0F31" w:rsidRDefault="006063C5" w:rsidP="001E0F31">
            <w:pPr>
              <w:spacing w:before="240"/>
              <w:rPr>
                <w:rFonts w:ascii="Arial" w:hAnsi="Arial" w:cs="Arial"/>
                <w:sz w:val="20"/>
                <w:szCs w:val="20"/>
              </w:rPr>
            </w:pPr>
            <w:r w:rsidRPr="001E0F31">
              <w:rPr>
                <w:rFonts w:ascii="Arial" w:hAnsi="Arial" w:cs="Arial"/>
                <w:b/>
                <w:sz w:val="20"/>
                <w:szCs w:val="20"/>
              </w:rPr>
              <w:t>WHEREAS</w:t>
            </w:r>
            <w:r w:rsidRPr="001E0F31">
              <w:rPr>
                <w:rFonts w:ascii="Arial" w:hAnsi="Arial" w:cs="Arial"/>
                <w:sz w:val="20"/>
                <w:szCs w:val="20"/>
              </w:rPr>
              <w:t xml:space="preserve"> (Article as currently written.)</w:t>
            </w:r>
          </w:p>
        </w:tc>
      </w:tr>
      <w:tr w:rsidR="006063C5" w:rsidRPr="00581BAC" w:rsidTr="00EA2A4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Height w:val="845"/>
        </w:trPr>
        <w:tc>
          <w:tcPr>
            <w:tcW w:w="9990" w:type="dxa"/>
            <w:gridSpan w:val="2"/>
            <w:tcBorders>
              <w:top w:val="single" w:sz="4" w:space="0" w:color="auto"/>
              <w:left w:val="single" w:sz="4" w:space="0" w:color="auto"/>
              <w:bottom w:val="single" w:sz="4" w:space="0" w:color="auto"/>
              <w:right w:val="single" w:sz="4" w:space="0" w:color="auto"/>
            </w:tcBorders>
          </w:tcPr>
          <w:p w:rsidR="00DF4F3A" w:rsidRPr="00852FEE" w:rsidRDefault="00DF4F3A" w:rsidP="00DF4F3A">
            <w:pPr>
              <w:ind w:left="2160" w:hanging="720"/>
              <w:jc w:val="both"/>
              <w:rPr>
                <w:rFonts w:cs="Arial"/>
              </w:rPr>
            </w:pPr>
            <w:r w:rsidRPr="00852FEE">
              <w:rPr>
                <w:rFonts w:cs="Arial"/>
              </w:rPr>
              <w:t>b</w:t>
            </w:r>
            <w:r w:rsidRPr="00852FEE">
              <w:rPr>
                <w:rFonts w:cs="Arial"/>
              </w:rPr>
              <w:tab/>
              <w:t>A resident import is a player (Junior and above) playing outside their region and advises, in writing, the president of S.N.B. Inc. by June 1</w:t>
            </w:r>
            <w:r w:rsidRPr="00852FEE">
              <w:rPr>
                <w:rFonts w:cs="Arial"/>
                <w:position w:val="7"/>
              </w:rPr>
              <w:t>st</w:t>
            </w:r>
            <w:r w:rsidRPr="00852FEE">
              <w:rPr>
                <w:rFonts w:cs="Arial"/>
              </w:rPr>
              <w:t xml:space="preserve">.  Any player who makes their intentions known, in writing  with a team outside their region, must play all provincial ball with that team.  The resident import rule doesn’t apply to players in Senior “A” </w:t>
            </w:r>
            <w:r>
              <w:rPr>
                <w:rFonts w:cs="Arial"/>
              </w:rPr>
              <w:t>F</w:t>
            </w:r>
            <w:r w:rsidRPr="00852FEE">
              <w:rPr>
                <w:rFonts w:cs="Arial"/>
              </w:rPr>
              <w:t xml:space="preserve">ast </w:t>
            </w:r>
            <w:r>
              <w:rPr>
                <w:rFonts w:cs="Arial"/>
              </w:rPr>
              <w:t>P</w:t>
            </w:r>
            <w:r w:rsidRPr="00852FEE">
              <w:rPr>
                <w:rFonts w:cs="Arial"/>
              </w:rPr>
              <w:t xml:space="preserve">itch </w:t>
            </w:r>
            <w:r>
              <w:rPr>
                <w:rFonts w:cs="Arial"/>
              </w:rPr>
              <w:t>P</w:t>
            </w:r>
            <w:r w:rsidRPr="00852FEE">
              <w:rPr>
                <w:rFonts w:cs="Arial"/>
              </w:rPr>
              <w:t>rovincials.</w:t>
            </w:r>
          </w:p>
          <w:p w:rsidR="00DF4F3A" w:rsidRDefault="00DF4F3A" w:rsidP="00DF4F3A">
            <w:pPr>
              <w:ind w:left="2160" w:hanging="720"/>
              <w:jc w:val="both"/>
              <w:rPr>
                <w:rFonts w:cs="Arial"/>
              </w:rPr>
            </w:pPr>
            <w:r w:rsidRPr="00852FEE">
              <w:rPr>
                <w:rFonts w:cs="Arial"/>
              </w:rPr>
              <w:t xml:space="preserve">           Resident import must put on two Minor Development Clinics if requested by Softball New Brunswick Inc. </w:t>
            </w:r>
          </w:p>
          <w:p w:rsidR="00DF4F3A" w:rsidRPr="00852FEE" w:rsidRDefault="00DF4F3A" w:rsidP="00DF4F3A">
            <w:pPr>
              <w:ind w:left="2160" w:hanging="720"/>
              <w:jc w:val="both"/>
              <w:rPr>
                <w:rFonts w:cs="Arial"/>
              </w:rPr>
            </w:pPr>
          </w:p>
          <w:p w:rsidR="00DF4F3A" w:rsidRDefault="00DF4F3A" w:rsidP="00DF4F3A">
            <w:pPr>
              <w:ind w:left="1440"/>
              <w:jc w:val="both"/>
              <w:rPr>
                <w:rFonts w:cs="Arial"/>
              </w:rPr>
            </w:pPr>
            <w:r w:rsidRPr="00257073">
              <w:rPr>
                <w:rFonts w:cs="Arial"/>
                <w:b/>
              </w:rPr>
              <w:t>EXCEPTION:</w:t>
            </w:r>
            <w:r w:rsidRPr="00852FEE">
              <w:rPr>
                <w:rFonts w:cs="Arial"/>
              </w:rPr>
              <w:t xml:space="preserve"> Any Junior and Midget aged players have the right to play in their classification for </w:t>
            </w:r>
            <w:r>
              <w:rPr>
                <w:rFonts w:cs="Arial"/>
              </w:rPr>
              <w:t>P</w:t>
            </w:r>
            <w:r w:rsidRPr="00852FEE">
              <w:rPr>
                <w:rFonts w:cs="Arial"/>
              </w:rPr>
              <w:t>rovincials.  Teams within their region have the first right of refusal.  If no team exists in region of habitation then the player may register with one team in classification and then return to their region of residence and play for an intermediate team.</w:t>
            </w:r>
          </w:p>
          <w:p w:rsidR="00DF4F3A" w:rsidRDefault="00DF4F3A" w:rsidP="00DF4F3A">
            <w:pPr>
              <w:ind w:left="1440"/>
              <w:jc w:val="both"/>
              <w:rPr>
                <w:rFonts w:cs="Arial"/>
              </w:rPr>
            </w:pPr>
          </w:p>
          <w:p w:rsidR="00DF4F3A" w:rsidRPr="00852FEE" w:rsidRDefault="00DF4F3A" w:rsidP="00DF4F3A">
            <w:pPr>
              <w:ind w:left="1440"/>
              <w:jc w:val="both"/>
              <w:rPr>
                <w:rFonts w:cs="Arial"/>
              </w:rPr>
            </w:pPr>
            <w:r w:rsidRPr="00DF4F3A">
              <w:rPr>
                <w:rFonts w:cs="Arial"/>
                <w:highlight w:val="yellow"/>
              </w:rPr>
              <w:t>*Please note, this is the adult Provincial Import Rule as written</w:t>
            </w:r>
          </w:p>
          <w:p w:rsidR="00C536FB" w:rsidRPr="00A40CEF" w:rsidRDefault="00C536FB" w:rsidP="007C1091">
            <w:pPr>
              <w:tabs>
                <w:tab w:val="left" w:pos="357"/>
              </w:tabs>
              <w:spacing w:before="120"/>
              <w:rPr>
                <w:rFonts w:ascii="Arial" w:hAnsi="Arial" w:cs="Arial"/>
                <w:sz w:val="20"/>
                <w:szCs w:val="20"/>
              </w:rPr>
            </w:pP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top w:val="single" w:sz="4" w:space="0" w:color="auto"/>
              <w:bottom w:val="single" w:sz="4" w:space="0" w:color="auto"/>
            </w:tcBorders>
          </w:tcPr>
          <w:p w:rsidR="006063C5" w:rsidRPr="001E0F31" w:rsidRDefault="006063C5" w:rsidP="001E0F31">
            <w:pPr>
              <w:spacing w:before="240"/>
              <w:rPr>
                <w:rFonts w:ascii="Arial" w:hAnsi="Arial" w:cs="Arial"/>
                <w:sz w:val="20"/>
                <w:szCs w:val="20"/>
              </w:rPr>
            </w:pPr>
            <w:r w:rsidRPr="001E0F31">
              <w:rPr>
                <w:rFonts w:ascii="Arial" w:hAnsi="Arial" w:cs="Arial"/>
                <w:b/>
                <w:sz w:val="20"/>
                <w:szCs w:val="20"/>
              </w:rPr>
              <w:t>BE IT RESOLVED THAT</w:t>
            </w:r>
            <w:r w:rsidRPr="001E0F31">
              <w:rPr>
                <w:rFonts w:ascii="Arial" w:hAnsi="Arial" w:cs="Arial"/>
                <w:sz w:val="20"/>
                <w:szCs w:val="20"/>
              </w:rPr>
              <w:t xml:space="preserve"> (Motion.  State whether revision, addition, deletion)</w:t>
            </w:r>
          </w:p>
        </w:tc>
      </w:tr>
      <w:tr w:rsidR="006063C5" w:rsidRPr="00581BAC" w:rsidTr="00EA2A4E">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Height w:val="953"/>
        </w:trPr>
        <w:tc>
          <w:tcPr>
            <w:tcW w:w="9990" w:type="dxa"/>
            <w:gridSpan w:val="2"/>
            <w:tcBorders>
              <w:top w:val="single" w:sz="4" w:space="0" w:color="auto"/>
              <w:left w:val="single" w:sz="4" w:space="0" w:color="auto"/>
              <w:bottom w:val="single" w:sz="4" w:space="0" w:color="auto"/>
              <w:right w:val="single" w:sz="4" w:space="0" w:color="auto"/>
            </w:tcBorders>
          </w:tcPr>
          <w:p w:rsidR="00A40CEF" w:rsidRPr="00A40CEF" w:rsidRDefault="00DF4F3A" w:rsidP="00A40CEF">
            <w:pPr>
              <w:tabs>
                <w:tab w:val="left" w:pos="360"/>
              </w:tabs>
              <w:spacing w:before="120"/>
              <w:ind w:left="720" w:hanging="720"/>
              <w:rPr>
                <w:rFonts w:ascii="Arial" w:hAnsi="Arial" w:cs="Arial"/>
                <w:b/>
                <w:sz w:val="20"/>
                <w:szCs w:val="20"/>
              </w:rPr>
            </w:pPr>
            <w:r>
              <w:rPr>
                <w:rFonts w:ascii="Arial" w:hAnsi="Arial" w:cs="Arial"/>
                <w:b/>
                <w:sz w:val="20"/>
                <w:szCs w:val="20"/>
              </w:rPr>
              <w:t>ADDITION</w:t>
            </w:r>
            <w:r w:rsidR="00A40CEF">
              <w:rPr>
                <w:rFonts w:ascii="Arial" w:hAnsi="Arial" w:cs="Arial"/>
                <w:b/>
                <w:sz w:val="20"/>
                <w:szCs w:val="20"/>
              </w:rPr>
              <w:t>:</w:t>
            </w:r>
          </w:p>
          <w:p w:rsidR="006063C5" w:rsidRDefault="00DF4F3A" w:rsidP="00EA2A4E">
            <w:pPr>
              <w:spacing w:before="120"/>
              <w:rPr>
                <w:rFonts w:ascii="Arial" w:hAnsi="Arial" w:cs="Arial"/>
                <w:sz w:val="20"/>
                <w:szCs w:val="20"/>
              </w:rPr>
            </w:pPr>
            <w:r>
              <w:rPr>
                <w:rFonts w:ascii="Arial" w:hAnsi="Arial" w:cs="Arial"/>
                <w:sz w:val="20"/>
                <w:szCs w:val="20"/>
              </w:rPr>
              <w:t xml:space="preserve">Add a rule to section 3:00, </w:t>
            </w:r>
            <w:r w:rsidRPr="00740A9A">
              <w:rPr>
                <w:rFonts w:ascii="Arial" w:hAnsi="Arial" w:cs="Arial"/>
                <w:b/>
                <w:sz w:val="20"/>
                <w:szCs w:val="20"/>
              </w:rPr>
              <w:t>Art</w:t>
            </w:r>
            <w:r w:rsidR="008466E2" w:rsidRPr="00740A9A">
              <w:rPr>
                <w:rFonts w:ascii="Arial" w:hAnsi="Arial" w:cs="Arial"/>
                <w:b/>
                <w:sz w:val="20"/>
                <w:szCs w:val="20"/>
              </w:rPr>
              <w:t>icle 5.0</w:t>
            </w:r>
            <w:r w:rsidR="00740A9A" w:rsidRPr="00740A9A">
              <w:rPr>
                <w:rFonts w:ascii="Arial" w:hAnsi="Arial" w:cs="Arial"/>
                <w:b/>
                <w:sz w:val="20"/>
                <w:szCs w:val="20"/>
              </w:rPr>
              <w:t xml:space="preserve"> Minor Regional Import Rules</w:t>
            </w:r>
            <w:r w:rsidR="008466E2">
              <w:rPr>
                <w:rFonts w:ascii="Arial" w:hAnsi="Arial" w:cs="Arial"/>
                <w:sz w:val="20"/>
                <w:szCs w:val="20"/>
              </w:rPr>
              <w:t xml:space="preserve"> </w:t>
            </w:r>
            <w:r>
              <w:rPr>
                <w:rFonts w:ascii="Arial" w:hAnsi="Arial" w:cs="Arial"/>
                <w:sz w:val="20"/>
                <w:szCs w:val="20"/>
              </w:rPr>
              <w:t>to read:</w:t>
            </w:r>
          </w:p>
          <w:p w:rsidR="00DF4F3A" w:rsidRDefault="00DF4F3A" w:rsidP="008466E2"/>
          <w:p w:rsidR="008466E2" w:rsidRDefault="008466E2" w:rsidP="008466E2">
            <w:r w:rsidRPr="008466E2">
              <w:t xml:space="preserve">a. </w:t>
            </w:r>
            <w:r>
              <w:t xml:space="preserve">         Minor regional imports are </w:t>
            </w:r>
            <w:r w:rsidRPr="008466E2">
              <w:rPr>
                <w:b/>
              </w:rPr>
              <w:t>NOT ALLOWED</w:t>
            </w:r>
            <w:r>
              <w:t xml:space="preserve"> in minor provincial age class competition.</w:t>
            </w:r>
          </w:p>
          <w:p w:rsidR="008466E2" w:rsidRDefault="008466E2" w:rsidP="008466E2">
            <w:pPr>
              <w:ind w:left="720"/>
            </w:pPr>
            <w:r>
              <w:t>i. An exemption to this rule may be permissible if</w:t>
            </w:r>
            <w:r w:rsidR="00CD15EA">
              <w:t xml:space="preserve"> any of the following criteria are met:</w:t>
            </w:r>
          </w:p>
          <w:p w:rsidR="008466E2" w:rsidRDefault="008466E2" w:rsidP="008466E2">
            <w:pPr>
              <w:ind w:left="1440"/>
            </w:pPr>
            <w:r>
              <w:t>1. If there are no other teams within the region for the player to play for;</w:t>
            </w:r>
          </w:p>
          <w:p w:rsidR="008466E2" w:rsidRPr="008466E2" w:rsidRDefault="008466E2" w:rsidP="008466E2">
            <w:pPr>
              <w:ind w:left="1440"/>
            </w:pPr>
            <w:r>
              <w:t xml:space="preserve">2. If they receive a </w:t>
            </w:r>
            <w:r w:rsidR="00740A9A">
              <w:t xml:space="preserve">written </w:t>
            </w:r>
            <w:r>
              <w:t xml:space="preserve">release from the President of Softball New Brunswick Inc </w:t>
            </w:r>
          </w:p>
          <w:p w:rsidR="008466E2" w:rsidRPr="008466E2" w:rsidRDefault="008466E2" w:rsidP="008466E2">
            <w:r>
              <w:t>b</w:t>
            </w:r>
            <w:r w:rsidR="00DF4F3A" w:rsidRPr="008466E2">
              <w:t>.</w:t>
            </w:r>
            <w:r w:rsidR="00DF4F3A" w:rsidRPr="008466E2">
              <w:tab/>
              <w:t>A minor regional import is a minor player (U12 age class and above) who is playing</w:t>
            </w:r>
            <w:r w:rsidRPr="008466E2">
              <w:t>,</w:t>
            </w:r>
            <w:r w:rsidR="00DF4F3A" w:rsidRPr="008466E2">
              <w:t xml:space="preserve"> or has </w:t>
            </w:r>
          </w:p>
          <w:p w:rsidR="00DF4F3A" w:rsidRPr="008466E2" w:rsidRDefault="00DF4F3A" w:rsidP="008466E2">
            <w:pPr>
              <w:ind w:left="720"/>
            </w:pPr>
            <w:r w:rsidRPr="008466E2">
              <w:t>interest in playing outside of their region.</w:t>
            </w:r>
          </w:p>
          <w:p w:rsidR="007A34D5" w:rsidRDefault="003B314D" w:rsidP="003B314D">
            <w:r>
              <w:t xml:space="preserve">c.  </w:t>
            </w:r>
            <w:r w:rsidR="007A34D5">
              <w:t xml:space="preserve">       </w:t>
            </w:r>
            <w:r w:rsidR="008466E2" w:rsidRPr="008466E2">
              <w:t>A minor player</w:t>
            </w:r>
            <w:r w:rsidR="00C44053" w:rsidRPr="008466E2">
              <w:t xml:space="preserve"> may request, in writing to </w:t>
            </w:r>
            <w:r w:rsidR="00DF4F3A" w:rsidRPr="008466E2">
              <w:t>the president of S</w:t>
            </w:r>
            <w:r w:rsidR="00740A9A">
              <w:t>oftball New Brunswick</w:t>
            </w:r>
            <w:r w:rsidR="007A34D5">
              <w:t xml:space="preserve"> Inc. by </w:t>
            </w:r>
          </w:p>
          <w:p w:rsidR="007A34D5" w:rsidRDefault="007A34D5" w:rsidP="003B314D">
            <w:r>
              <w:t xml:space="preserve">           May 15th</w:t>
            </w:r>
            <w:r w:rsidR="00C44053" w:rsidRPr="008466E2">
              <w:t xml:space="preserve"> </w:t>
            </w:r>
            <w:r w:rsidR="008466E2" w:rsidRPr="008466E2">
              <w:t>for an exemption to play outside of their region for the current playing season</w:t>
            </w:r>
            <w:r w:rsidR="00DF4F3A" w:rsidRPr="008466E2">
              <w:t>.</w:t>
            </w:r>
            <w:r w:rsidR="00C44053" w:rsidRPr="008466E2">
              <w:t xml:space="preserve"> </w:t>
            </w:r>
            <w:r w:rsidR="00740A9A">
              <w:t xml:space="preserve">The </w:t>
            </w:r>
            <w:r>
              <w:t xml:space="preserve">   </w:t>
            </w:r>
          </w:p>
          <w:p w:rsidR="007A34D5" w:rsidRDefault="007A34D5" w:rsidP="003B314D">
            <w:r>
              <w:t xml:space="preserve">           </w:t>
            </w:r>
            <w:r w:rsidR="00740A9A">
              <w:t xml:space="preserve">process to receive a release from the President of Softball New Brunswick Inc will be as </w:t>
            </w:r>
          </w:p>
          <w:p w:rsidR="008466E2" w:rsidRDefault="007A34D5" w:rsidP="003B314D">
            <w:r>
              <w:t xml:space="preserve">           </w:t>
            </w:r>
            <w:r w:rsidR="00740A9A">
              <w:t>follows:</w:t>
            </w:r>
          </w:p>
          <w:p w:rsidR="007A34D5" w:rsidRDefault="007A34D5" w:rsidP="00740A9A">
            <w:pPr>
              <w:ind w:left="720"/>
            </w:pPr>
            <w:r>
              <w:t xml:space="preserve">     </w:t>
            </w:r>
            <w:r w:rsidR="00740A9A">
              <w:t xml:space="preserve">i) Submission of a letter addressed to the President of Softball New Brunswick Inc </w:t>
            </w:r>
            <w:r>
              <w:t xml:space="preserve">    </w:t>
            </w:r>
          </w:p>
          <w:p w:rsidR="007A34D5" w:rsidRDefault="007A34D5" w:rsidP="00740A9A">
            <w:pPr>
              <w:ind w:left="720"/>
            </w:pPr>
            <w:r>
              <w:t xml:space="preserve">        </w:t>
            </w:r>
            <w:r w:rsidR="00740A9A">
              <w:t xml:space="preserve">requesting the release of the athlete, and the rationale as to why they are requesting a </w:t>
            </w:r>
            <w:r>
              <w:t xml:space="preserve">  </w:t>
            </w:r>
          </w:p>
          <w:p w:rsidR="00740A9A" w:rsidRDefault="007A34D5" w:rsidP="00740A9A">
            <w:pPr>
              <w:ind w:left="720"/>
            </w:pPr>
            <w:r>
              <w:lastRenderedPageBreak/>
              <w:t xml:space="preserve">        </w:t>
            </w:r>
            <w:r w:rsidR="00740A9A">
              <w:t>release.</w:t>
            </w:r>
          </w:p>
          <w:p w:rsidR="007A34D5" w:rsidRDefault="007A34D5" w:rsidP="00740A9A">
            <w:pPr>
              <w:ind w:left="720"/>
            </w:pPr>
            <w:r>
              <w:t xml:space="preserve">   </w:t>
            </w:r>
            <w:r w:rsidR="00740A9A">
              <w:t xml:space="preserve">ii) The President of Softball New Brunswick Inc, will contact the appropriate Regional </w:t>
            </w:r>
            <w:r>
              <w:t xml:space="preserve">   </w:t>
            </w:r>
          </w:p>
          <w:p w:rsidR="007A34D5" w:rsidRDefault="007A34D5" w:rsidP="00740A9A">
            <w:pPr>
              <w:ind w:left="720"/>
            </w:pPr>
            <w:r>
              <w:t xml:space="preserve">        </w:t>
            </w:r>
            <w:r w:rsidR="00740A9A">
              <w:t xml:space="preserve">Director and inform the Regional Director that a release of an athlete has been requested. </w:t>
            </w:r>
            <w:r>
              <w:t xml:space="preserve"> </w:t>
            </w:r>
          </w:p>
          <w:p w:rsidR="007A34D5" w:rsidRDefault="007A34D5" w:rsidP="00740A9A">
            <w:pPr>
              <w:ind w:left="720"/>
            </w:pPr>
            <w:r>
              <w:t xml:space="preserve">        </w:t>
            </w:r>
            <w:r w:rsidR="00740A9A">
              <w:t>The Regional Director will provide</w:t>
            </w:r>
            <w:r w:rsidR="0096531F">
              <w:t xml:space="preserve"> the President of Softball NB with</w:t>
            </w:r>
            <w:r w:rsidR="00740A9A">
              <w:t xml:space="preserve"> the following </w:t>
            </w:r>
          </w:p>
          <w:p w:rsidR="00740A9A" w:rsidRDefault="007A34D5" w:rsidP="00740A9A">
            <w:pPr>
              <w:ind w:left="720"/>
            </w:pPr>
            <w:r>
              <w:t xml:space="preserve">        </w:t>
            </w:r>
            <w:r w:rsidR="00740A9A">
              <w:t>information:</w:t>
            </w:r>
          </w:p>
          <w:p w:rsidR="00740A9A" w:rsidRDefault="00740A9A" w:rsidP="00740A9A">
            <w:pPr>
              <w:ind w:left="1440"/>
            </w:pPr>
            <w:r>
              <w:t>1. If there are other age class teams within the region available to the athlete;</w:t>
            </w:r>
          </w:p>
          <w:p w:rsidR="00740A9A" w:rsidRDefault="00740A9A" w:rsidP="00740A9A">
            <w:pPr>
              <w:ind w:left="1440"/>
            </w:pPr>
            <w:r>
              <w:t xml:space="preserve">2. If there are age class teams in the region, provide any </w:t>
            </w:r>
            <w:r w:rsidR="003B314D">
              <w:t xml:space="preserve">(if applicable) </w:t>
            </w:r>
            <w:r>
              <w:t>objections to the athlete being released from the region;</w:t>
            </w:r>
          </w:p>
          <w:p w:rsidR="003B314D" w:rsidRDefault="00740A9A" w:rsidP="00740A9A">
            <w:pPr>
              <w:ind w:left="1440"/>
            </w:pPr>
            <w:r>
              <w:t xml:space="preserve">3. Provide a formal letter from the appropriate Regional Director to the President of Softball New Brunswick Inc </w:t>
            </w:r>
            <w:r w:rsidR="003B314D">
              <w:t>either granting or refusing the release of the athlete from the region.</w:t>
            </w:r>
          </w:p>
          <w:p w:rsidR="007A34D5" w:rsidRDefault="007A34D5" w:rsidP="003B314D">
            <w:pPr>
              <w:ind w:left="720"/>
            </w:pPr>
            <w:r>
              <w:t xml:space="preserve">     </w:t>
            </w:r>
            <w:r w:rsidR="003B314D">
              <w:t xml:space="preserve">iii) </w:t>
            </w:r>
            <w:r>
              <w:t xml:space="preserve">The President of Softball New Brunswick Inc. will, upon the completion of the </w:t>
            </w:r>
          </w:p>
          <w:p w:rsidR="007A34D5" w:rsidRDefault="007A34D5" w:rsidP="003B314D">
            <w:pPr>
              <w:ind w:left="720"/>
            </w:pPr>
            <w:r>
              <w:t xml:space="preserve">           aforementioned items above, render a decision on whether the athlete will in fact </w:t>
            </w:r>
          </w:p>
          <w:p w:rsidR="007A34D5" w:rsidRDefault="007A34D5" w:rsidP="003B314D">
            <w:pPr>
              <w:ind w:left="720"/>
            </w:pPr>
            <w:r>
              <w:t xml:space="preserve">           receive a release from  their region or not. The final decision will be delivered in   </w:t>
            </w:r>
          </w:p>
          <w:p w:rsidR="007A34D5" w:rsidRDefault="007A34D5" w:rsidP="003B314D">
            <w:pPr>
              <w:ind w:left="720"/>
            </w:pPr>
            <w:r>
              <w:t xml:space="preserve">           writing to both the applicant as well as the Technical Director of Softball New </w:t>
            </w:r>
          </w:p>
          <w:p w:rsidR="007A34D5" w:rsidRDefault="007A34D5" w:rsidP="003B314D">
            <w:pPr>
              <w:ind w:left="720"/>
            </w:pPr>
            <w:r>
              <w:t xml:space="preserve">           Brunswick Inc. no later than one (1) week after receiving the request for a regional </w:t>
            </w:r>
          </w:p>
          <w:p w:rsidR="00740A9A" w:rsidRPr="008466E2" w:rsidRDefault="007A34D5" w:rsidP="003B314D">
            <w:pPr>
              <w:ind w:left="720"/>
            </w:pPr>
            <w:r>
              <w:t xml:space="preserve">           release. </w:t>
            </w:r>
          </w:p>
          <w:p w:rsidR="008466E2" w:rsidRDefault="008466E2" w:rsidP="008466E2"/>
          <w:p w:rsidR="00DF4F3A" w:rsidRDefault="00DF4F3A" w:rsidP="00EA2A4E">
            <w:pPr>
              <w:spacing w:before="120"/>
              <w:rPr>
                <w:rFonts w:ascii="Arial" w:hAnsi="Arial" w:cs="Arial"/>
                <w:sz w:val="20"/>
                <w:szCs w:val="20"/>
              </w:rPr>
            </w:pPr>
          </w:p>
          <w:p w:rsidR="00DF4F3A" w:rsidRPr="001E0F31" w:rsidRDefault="00DF4F3A" w:rsidP="00EA2A4E">
            <w:pPr>
              <w:spacing w:before="120"/>
              <w:rPr>
                <w:rFonts w:ascii="Arial" w:hAnsi="Arial" w:cs="Arial"/>
                <w:sz w:val="20"/>
                <w:szCs w:val="20"/>
              </w:rPr>
            </w:pP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top w:val="single" w:sz="4" w:space="0" w:color="auto"/>
              <w:bottom w:val="single" w:sz="4" w:space="0" w:color="auto"/>
            </w:tcBorders>
          </w:tcPr>
          <w:p w:rsidR="006063C5" w:rsidRPr="001E0F31" w:rsidRDefault="006063C5" w:rsidP="001E0F31">
            <w:pPr>
              <w:spacing w:before="240"/>
              <w:rPr>
                <w:rFonts w:ascii="Arial" w:hAnsi="Arial" w:cs="Arial"/>
                <w:b/>
                <w:sz w:val="20"/>
                <w:szCs w:val="20"/>
              </w:rPr>
            </w:pP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Height w:val="791"/>
        </w:trPr>
        <w:tc>
          <w:tcPr>
            <w:tcW w:w="9990" w:type="dxa"/>
            <w:gridSpan w:val="2"/>
            <w:tcBorders>
              <w:top w:val="single" w:sz="4" w:space="0" w:color="auto"/>
              <w:left w:val="single" w:sz="4" w:space="0" w:color="auto"/>
              <w:bottom w:val="single" w:sz="4" w:space="0" w:color="auto"/>
              <w:right w:val="single" w:sz="4" w:space="0" w:color="auto"/>
            </w:tcBorders>
          </w:tcPr>
          <w:p w:rsidR="007A34D5" w:rsidRPr="00A40CEF" w:rsidRDefault="007A34D5" w:rsidP="007A34D5">
            <w:pPr>
              <w:tabs>
                <w:tab w:val="left" w:pos="360"/>
              </w:tabs>
              <w:spacing w:before="120"/>
              <w:ind w:left="720" w:hanging="720"/>
              <w:rPr>
                <w:rFonts w:ascii="Arial" w:hAnsi="Arial" w:cs="Arial"/>
                <w:b/>
                <w:sz w:val="20"/>
                <w:szCs w:val="20"/>
              </w:rPr>
            </w:pPr>
            <w:r>
              <w:rPr>
                <w:rFonts w:ascii="Arial" w:hAnsi="Arial" w:cs="Arial"/>
                <w:b/>
                <w:sz w:val="20"/>
                <w:szCs w:val="20"/>
              </w:rPr>
              <w:t>RATIONALE:</w:t>
            </w:r>
          </w:p>
          <w:p w:rsidR="00A40CEF" w:rsidRDefault="007A34D5" w:rsidP="00A40CEF">
            <w:pPr>
              <w:spacing w:before="120"/>
              <w:rPr>
                <w:rFonts w:ascii="Arial" w:hAnsi="Arial" w:cs="Arial"/>
                <w:sz w:val="20"/>
                <w:szCs w:val="20"/>
              </w:rPr>
            </w:pPr>
            <w:bookmarkStart w:id="0" w:name="_GoBack"/>
            <w:bookmarkEnd w:id="0"/>
            <w:r>
              <w:rPr>
                <w:rFonts w:ascii="Arial" w:hAnsi="Arial" w:cs="Arial"/>
                <w:sz w:val="20"/>
                <w:szCs w:val="20"/>
              </w:rPr>
              <w:t>There has been numerous instances of minor athletes playing for teams outside of their region. The premise behind the rule recommendation is to increase the total number of athletes playing for teams within their region and to hinder the formation of 'all star' teams at provincial championships.</w:t>
            </w:r>
          </w:p>
          <w:p w:rsidR="006063C5" w:rsidRPr="001E0F31" w:rsidRDefault="006063C5" w:rsidP="00EA2A4E">
            <w:pPr>
              <w:spacing w:before="120"/>
              <w:rPr>
                <w:rFonts w:ascii="Arial" w:hAnsi="Arial" w:cs="Arial"/>
                <w:sz w:val="20"/>
                <w:szCs w:val="20"/>
              </w:rPr>
            </w:pP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Pr>
        <w:tc>
          <w:tcPr>
            <w:tcW w:w="9990" w:type="dxa"/>
            <w:gridSpan w:val="2"/>
            <w:tcBorders>
              <w:top w:val="single" w:sz="4" w:space="0" w:color="auto"/>
              <w:bottom w:val="single" w:sz="4" w:space="0" w:color="auto"/>
            </w:tcBorders>
          </w:tcPr>
          <w:p w:rsidR="006063C5" w:rsidRPr="001E0F31" w:rsidRDefault="006063C5" w:rsidP="001E0F31">
            <w:pPr>
              <w:spacing w:before="240"/>
              <w:rPr>
                <w:rFonts w:ascii="Arial" w:hAnsi="Arial" w:cs="Arial"/>
                <w:sz w:val="20"/>
                <w:szCs w:val="20"/>
              </w:rPr>
            </w:pPr>
            <w:r w:rsidRPr="001E0F31">
              <w:rPr>
                <w:rFonts w:ascii="Arial" w:hAnsi="Arial" w:cs="Arial"/>
                <w:b/>
                <w:sz w:val="20"/>
                <w:szCs w:val="20"/>
              </w:rPr>
              <w:t>FINANCIAL IMPLICATIONS</w:t>
            </w:r>
            <w:r w:rsidRPr="001E0F31">
              <w:rPr>
                <w:rFonts w:ascii="Arial" w:hAnsi="Arial" w:cs="Arial"/>
                <w:sz w:val="20"/>
                <w:szCs w:val="20"/>
              </w:rPr>
              <w:t xml:space="preserve"> (Softball </w:t>
            </w:r>
            <w:smartTag w:uri="urn:schemas-microsoft-com:office:smarttags" w:element="place">
              <w:smartTag w:uri="urn:schemas-microsoft-com:office:smarttags" w:element="country-region">
                <w:r w:rsidRPr="001E0F31">
                  <w:rPr>
                    <w:rFonts w:ascii="Arial" w:hAnsi="Arial" w:cs="Arial"/>
                    <w:sz w:val="20"/>
                    <w:szCs w:val="20"/>
                  </w:rPr>
                  <w:t>Canada</w:t>
                </w:r>
              </w:smartTag>
            </w:smartTag>
            <w:r w:rsidRPr="001E0F31">
              <w:rPr>
                <w:rFonts w:ascii="Arial" w:hAnsi="Arial" w:cs="Arial"/>
                <w:sz w:val="20"/>
                <w:szCs w:val="20"/>
              </w:rPr>
              <w:t>, Provincial/Territorial, Individual)</w:t>
            </w:r>
          </w:p>
        </w:tc>
      </w:tr>
      <w:tr w:rsidR="006063C5" w:rsidRPr="00581BAC" w:rsidTr="006E10B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Ex>
        <w:trPr>
          <w:gridAfter w:val="1"/>
          <w:wAfter w:w="230" w:type="dxa"/>
          <w:trHeight w:val="620"/>
        </w:trPr>
        <w:tc>
          <w:tcPr>
            <w:tcW w:w="9990" w:type="dxa"/>
            <w:gridSpan w:val="2"/>
            <w:tcBorders>
              <w:top w:val="single" w:sz="4" w:space="0" w:color="auto"/>
              <w:left w:val="single" w:sz="4" w:space="0" w:color="auto"/>
              <w:bottom w:val="single" w:sz="4" w:space="0" w:color="auto"/>
              <w:right w:val="single" w:sz="4" w:space="0" w:color="auto"/>
            </w:tcBorders>
          </w:tcPr>
          <w:p w:rsidR="006063C5" w:rsidRPr="001E0F31" w:rsidRDefault="000A71B3" w:rsidP="001E0F31">
            <w:pPr>
              <w:spacing w:before="120"/>
              <w:rPr>
                <w:rFonts w:ascii="Arial" w:hAnsi="Arial" w:cs="Arial"/>
                <w:sz w:val="20"/>
                <w:szCs w:val="20"/>
              </w:rPr>
            </w:pPr>
            <w:r>
              <w:rPr>
                <w:rFonts w:ascii="Arial" w:hAnsi="Arial" w:cs="Arial"/>
                <w:sz w:val="20"/>
                <w:szCs w:val="20"/>
              </w:rPr>
              <w:t xml:space="preserve"> </w:t>
            </w:r>
            <w:r w:rsidR="007A34D5">
              <w:rPr>
                <w:rFonts w:ascii="Arial" w:hAnsi="Arial" w:cs="Arial"/>
                <w:sz w:val="20"/>
                <w:szCs w:val="20"/>
              </w:rPr>
              <w:t>N/A</w:t>
            </w:r>
          </w:p>
        </w:tc>
      </w:tr>
    </w:tbl>
    <w:p w:rsidR="00A423D1" w:rsidRDefault="00A423D1" w:rsidP="007C1091"/>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90"/>
      </w:tblGrid>
      <w:tr w:rsidR="003932FE" w:rsidTr="00C9193D">
        <w:tc>
          <w:tcPr>
            <w:tcW w:w="9990" w:type="dxa"/>
          </w:tcPr>
          <w:p w:rsidR="00603361" w:rsidRDefault="00603361" w:rsidP="007C1091"/>
          <w:p w:rsidR="003932FE" w:rsidRPr="003932FE" w:rsidRDefault="00200ABD" w:rsidP="007C1091">
            <w:r>
              <w:pict>
                <v:rect id="_x0000_i1025" style="width:488.7pt;height:1.5pt" o:hralign="center" o:hrstd="t" o:hrnoshade="t" o:hr="t" fillcolor="black" stroked="f"/>
              </w:pict>
            </w:r>
          </w:p>
          <w:p w:rsidR="003932FE" w:rsidRPr="003932FE" w:rsidRDefault="00200ABD" w:rsidP="007C1091">
            <w:r>
              <w:pict>
                <v:rect id="_x0000_i1026" style="width:488.7pt;height:1.5pt" o:hralign="center" o:hrstd="t" o:hrnoshade="t" o:hr="t" fillcolor="black" stroked="f"/>
              </w:pict>
            </w:r>
          </w:p>
          <w:p w:rsidR="003932FE" w:rsidRPr="00C9193D" w:rsidRDefault="00200ABD" w:rsidP="007C1091">
            <w:pPr>
              <w:rPr>
                <w:u w:val="single"/>
              </w:rPr>
            </w:pPr>
            <w:r>
              <w:pict>
                <v:rect id="_x0000_i1027" style="width:488.7pt;height:1.5pt" o:hralign="center" o:hrstd="t" o:hrnoshade="t" o:hr="t" fillcolor="black" stroked="f"/>
              </w:pict>
            </w:r>
          </w:p>
          <w:p w:rsidR="003932FE" w:rsidRPr="00C9193D" w:rsidRDefault="003932FE" w:rsidP="007C1091">
            <w:pPr>
              <w:rPr>
                <w:u w:val="single"/>
              </w:rPr>
            </w:pPr>
          </w:p>
          <w:p w:rsidR="003932FE" w:rsidRPr="00C9193D" w:rsidRDefault="003932FE" w:rsidP="007C1091">
            <w:pPr>
              <w:rPr>
                <w:rFonts w:ascii="Arial" w:hAnsi="Arial" w:cs="Arial"/>
                <w:sz w:val="20"/>
                <w:szCs w:val="20"/>
              </w:rPr>
            </w:pPr>
            <w:r w:rsidRPr="00C9193D">
              <w:rPr>
                <w:rFonts w:ascii="Arial" w:hAnsi="Arial" w:cs="Arial"/>
                <w:b/>
                <w:sz w:val="20"/>
                <w:szCs w:val="20"/>
              </w:rPr>
              <w:t xml:space="preserve">FINAL RECOMMENDATIONS:     </w:t>
            </w:r>
            <w:r w:rsidRPr="00C9193D">
              <w:rPr>
                <w:rFonts w:ascii="Arial" w:hAnsi="Arial" w:cs="Arial"/>
                <w:sz w:val="20"/>
                <w:szCs w:val="20"/>
              </w:rPr>
              <w:t>_</w:t>
            </w:r>
            <w:r w:rsidR="00533813" w:rsidRPr="00C9193D">
              <w:rPr>
                <w:rFonts w:ascii="Arial" w:hAnsi="Arial" w:cs="Arial"/>
                <w:sz w:val="20"/>
                <w:szCs w:val="20"/>
              </w:rPr>
              <w:t>_</w:t>
            </w:r>
            <w:r w:rsidR="00492829">
              <w:rPr>
                <w:rFonts w:ascii="Arial" w:hAnsi="Arial" w:cs="Arial"/>
                <w:sz w:val="20"/>
                <w:szCs w:val="20"/>
              </w:rPr>
              <w:t>X</w:t>
            </w:r>
            <w:r w:rsidRPr="00C9193D">
              <w:rPr>
                <w:rFonts w:ascii="Arial" w:hAnsi="Arial" w:cs="Arial"/>
                <w:sz w:val="20"/>
                <w:szCs w:val="20"/>
              </w:rPr>
              <w:t>__ Carried     _</w:t>
            </w:r>
            <w:r w:rsidR="00533813" w:rsidRPr="00C9193D">
              <w:rPr>
                <w:rFonts w:ascii="Arial" w:hAnsi="Arial" w:cs="Arial"/>
                <w:sz w:val="20"/>
                <w:szCs w:val="20"/>
              </w:rPr>
              <w:t>_</w:t>
            </w:r>
            <w:r w:rsidRPr="00C9193D">
              <w:rPr>
                <w:rFonts w:ascii="Arial" w:hAnsi="Arial" w:cs="Arial"/>
                <w:sz w:val="20"/>
                <w:szCs w:val="20"/>
              </w:rPr>
              <w:t>__ Amended     __</w:t>
            </w:r>
            <w:r w:rsidR="00533813" w:rsidRPr="00C9193D">
              <w:rPr>
                <w:rFonts w:ascii="Arial" w:hAnsi="Arial" w:cs="Arial"/>
                <w:sz w:val="20"/>
                <w:szCs w:val="20"/>
              </w:rPr>
              <w:t>_</w:t>
            </w:r>
            <w:r w:rsidRPr="00C9193D">
              <w:rPr>
                <w:rFonts w:ascii="Arial" w:hAnsi="Arial" w:cs="Arial"/>
                <w:sz w:val="20"/>
                <w:szCs w:val="20"/>
              </w:rPr>
              <w:t>_Withdrawn     _</w:t>
            </w:r>
            <w:r w:rsidR="00533813" w:rsidRPr="00C9193D">
              <w:rPr>
                <w:rFonts w:ascii="Arial" w:hAnsi="Arial" w:cs="Arial"/>
                <w:sz w:val="20"/>
                <w:szCs w:val="20"/>
              </w:rPr>
              <w:t>_</w:t>
            </w:r>
            <w:r w:rsidRPr="00C9193D">
              <w:rPr>
                <w:rFonts w:ascii="Arial" w:hAnsi="Arial" w:cs="Arial"/>
                <w:sz w:val="20"/>
                <w:szCs w:val="20"/>
              </w:rPr>
              <w:t>__ Defeated</w:t>
            </w:r>
          </w:p>
        </w:tc>
      </w:tr>
    </w:tbl>
    <w:p w:rsidR="003932FE" w:rsidRDefault="003932FE" w:rsidP="003932FE"/>
    <w:sectPr w:rsidR="003932FE" w:rsidSect="003932F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57E" w:rsidRDefault="00B8257E">
      <w:r>
        <w:separator/>
      </w:r>
    </w:p>
  </w:endnote>
  <w:endnote w:type="continuationSeparator" w:id="1">
    <w:p w:rsidR="00B8257E" w:rsidRDefault="00B8257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Futura BdCn BT">
    <w:altName w:val="Franklin Gothic Demi Cond"/>
    <w:charset w:val="00"/>
    <w:family w:val="swiss"/>
    <w:pitch w:val="variable"/>
    <w:sig w:usb0="00000001" w:usb1="00000000" w:usb2="00000000" w:usb3="00000000" w:csb0="0000001B" w:csb1="00000000"/>
  </w:font>
  <w:font w:name="Futura MdCn BT">
    <w:altName w:val="Arial Narrow"/>
    <w:charset w:val="00"/>
    <w:family w:val="swiss"/>
    <w:pitch w:val="variable"/>
    <w:sig w:usb0="00000001"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FE" w:rsidRPr="00765FE6" w:rsidRDefault="003932FE" w:rsidP="00BD5FB6">
    <w:pPr>
      <w:pStyle w:val="Footer"/>
      <w:spacing w:before="120"/>
      <w:rPr>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57E" w:rsidRDefault="00B8257E">
      <w:r>
        <w:separator/>
      </w:r>
    </w:p>
  </w:footnote>
  <w:footnote w:type="continuationSeparator" w:id="1">
    <w:p w:rsidR="00B8257E" w:rsidRDefault="00B825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2FE" w:rsidRPr="00AE1DBC" w:rsidRDefault="003932FE" w:rsidP="006E10B6">
    <w:pPr>
      <w:jc w:val="center"/>
      <w:rPr>
        <w:b/>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37BD"/>
    <w:multiLevelType w:val="hybridMultilevel"/>
    <w:tmpl w:val="3C4A4BD6"/>
    <w:lvl w:ilvl="0" w:tplc="0C0C0003">
      <w:start w:val="1"/>
      <w:numFmt w:val="bullet"/>
      <w:lvlText w:val="o"/>
      <w:lvlJc w:val="left"/>
      <w:pPr>
        <w:tabs>
          <w:tab w:val="num" w:pos="1080"/>
        </w:tabs>
        <w:ind w:left="1080" w:hanging="360"/>
      </w:pPr>
      <w:rPr>
        <w:rFonts w:ascii="Courier New" w:hAnsi="Courier New" w:cs="Courier New" w:hint="default"/>
      </w:rPr>
    </w:lvl>
    <w:lvl w:ilvl="1" w:tplc="0C0C0003" w:tentative="1">
      <w:start w:val="1"/>
      <w:numFmt w:val="bullet"/>
      <w:lvlText w:val="o"/>
      <w:lvlJc w:val="left"/>
      <w:pPr>
        <w:tabs>
          <w:tab w:val="num" w:pos="1800"/>
        </w:tabs>
        <w:ind w:left="1800" w:hanging="360"/>
      </w:pPr>
      <w:rPr>
        <w:rFonts w:ascii="Courier New" w:hAnsi="Courier New" w:cs="Courier New" w:hint="default"/>
      </w:rPr>
    </w:lvl>
    <w:lvl w:ilvl="2" w:tplc="0C0C0005" w:tentative="1">
      <w:start w:val="1"/>
      <w:numFmt w:val="bullet"/>
      <w:lvlText w:val=""/>
      <w:lvlJc w:val="left"/>
      <w:pPr>
        <w:tabs>
          <w:tab w:val="num" w:pos="2520"/>
        </w:tabs>
        <w:ind w:left="2520" w:hanging="360"/>
      </w:pPr>
      <w:rPr>
        <w:rFonts w:ascii="Wingdings" w:hAnsi="Wingdings" w:hint="default"/>
      </w:rPr>
    </w:lvl>
    <w:lvl w:ilvl="3" w:tplc="0C0C0001" w:tentative="1">
      <w:start w:val="1"/>
      <w:numFmt w:val="bullet"/>
      <w:lvlText w:val=""/>
      <w:lvlJc w:val="left"/>
      <w:pPr>
        <w:tabs>
          <w:tab w:val="num" w:pos="3240"/>
        </w:tabs>
        <w:ind w:left="3240" w:hanging="360"/>
      </w:pPr>
      <w:rPr>
        <w:rFonts w:ascii="Symbol" w:hAnsi="Symbol" w:hint="default"/>
      </w:rPr>
    </w:lvl>
    <w:lvl w:ilvl="4" w:tplc="0C0C0003" w:tentative="1">
      <w:start w:val="1"/>
      <w:numFmt w:val="bullet"/>
      <w:lvlText w:val="o"/>
      <w:lvlJc w:val="left"/>
      <w:pPr>
        <w:tabs>
          <w:tab w:val="num" w:pos="3960"/>
        </w:tabs>
        <w:ind w:left="3960" w:hanging="360"/>
      </w:pPr>
      <w:rPr>
        <w:rFonts w:ascii="Courier New" w:hAnsi="Courier New" w:cs="Courier New" w:hint="default"/>
      </w:rPr>
    </w:lvl>
    <w:lvl w:ilvl="5" w:tplc="0C0C0005" w:tentative="1">
      <w:start w:val="1"/>
      <w:numFmt w:val="bullet"/>
      <w:lvlText w:val=""/>
      <w:lvlJc w:val="left"/>
      <w:pPr>
        <w:tabs>
          <w:tab w:val="num" w:pos="4680"/>
        </w:tabs>
        <w:ind w:left="4680" w:hanging="360"/>
      </w:pPr>
      <w:rPr>
        <w:rFonts w:ascii="Wingdings" w:hAnsi="Wingdings" w:hint="default"/>
      </w:rPr>
    </w:lvl>
    <w:lvl w:ilvl="6" w:tplc="0C0C0001" w:tentative="1">
      <w:start w:val="1"/>
      <w:numFmt w:val="bullet"/>
      <w:lvlText w:val=""/>
      <w:lvlJc w:val="left"/>
      <w:pPr>
        <w:tabs>
          <w:tab w:val="num" w:pos="5400"/>
        </w:tabs>
        <w:ind w:left="5400" w:hanging="360"/>
      </w:pPr>
      <w:rPr>
        <w:rFonts w:ascii="Symbol" w:hAnsi="Symbol" w:hint="default"/>
      </w:rPr>
    </w:lvl>
    <w:lvl w:ilvl="7" w:tplc="0C0C0003" w:tentative="1">
      <w:start w:val="1"/>
      <w:numFmt w:val="bullet"/>
      <w:lvlText w:val="o"/>
      <w:lvlJc w:val="left"/>
      <w:pPr>
        <w:tabs>
          <w:tab w:val="num" w:pos="6120"/>
        </w:tabs>
        <w:ind w:left="6120" w:hanging="360"/>
      </w:pPr>
      <w:rPr>
        <w:rFonts w:ascii="Courier New" w:hAnsi="Courier New" w:cs="Courier New" w:hint="default"/>
      </w:rPr>
    </w:lvl>
    <w:lvl w:ilvl="8" w:tplc="0C0C0005" w:tentative="1">
      <w:start w:val="1"/>
      <w:numFmt w:val="bullet"/>
      <w:lvlText w:val=""/>
      <w:lvlJc w:val="left"/>
      <w:pPr>
        <w:tabs>
          <w:tab w:val="num" w:pos="6840"/>
        </w:tabs>
        <w:ind w:left="6840" w:hanging="360"/>
      </w:pPr>
      <w:rPr>
        <w:rFonts w:ascii="Wingdings" w:hAnsi="Wingdings" w:hint="default"/>
      </w:rPr>
    </w:lvl>
  </w:abstractNum>
  <w:abstractNum w:abstractNumId="1">
    <w:nsid w:val="3EE80D04"/>
    <w:multiLevelType w:val="hybridMultilevel"/>
    <w:tmpl w:val="DA928B1E"/>
    <w:lvl w:ilvl="0" w:tplc="230022B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characterSpacingControl w:val="doNotCompress"/>
  <w:hdrShapeDefaults>
    <o:shapedefaults v:ext="edit" spidmax="1126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7455A"/>
    <w:rsid w:val="000201A5"/>
    <w:rsid w:val="00040123"/>
    <w:rsid w:val="000547F8"/>
    <w:rsid w:val="00063CE7"/>
    <w:rsid w:val="00070DC7"/>
    <w:rsid w:val="000A6138"/>
    <w:rsid w:val="000A71B3"/>
    <w:rsid w:val="001137CC"/>
    <w:rsid w:val="00116017"/>
    <w:rsid w:val="00127454"/>
    <w:rsid w:val="00152044"/>
    <w:rsid w:val="001D2C7C"/>
    <w:rsid w:val="001E0F31"/>
    <w:rsid w:val="00200ABD"/>
    <w:rsid w:val="00215AF8"/>
    <w:rsid w:val="00230168"/>
    <w:rsid w:val="00266B2F"/>
    <w:rsid w:val="002820A0"/>
    <w:rsid w:val="002D68DA"/>
    <w:rsid w:val="002F2517"/>
    <w:rsid w:val="00320A4C"/>
    <w:rsid w:val="00334EFF"/>
    <w:rsid w:val="00335E40"/>
    <w:rsid w:val="00353FE6"/>
    <w:rsid w:val="003932FE"/>
    <w:rsid w:val="003B26EC"/>
    <w:rsid w:val="003B314D"/>
    <w:rsid w:val="00433756"/>
    <w:rsid w:val="004366C8"/>
    <w:rsid w:val="00451596"/>
    <w:rsid w:val="00463737"/>
    <w:rsid w:val="0047223B"/>
    <w:rsid w:val="00476E0E"/>
    <w:rsid w:val="00492829"/>
    <w:rsid w:val="00493E18"/>
    <w:rsid w:val="004D20A1"/>
    <w:rsid w:val="004D39A0"/>
    <w:rsid w:val="004F3ACE"/>
    <w:rsid w:val="0050274D"/>
    <w:rsid w:val="00525339"/>
    <w:rsid w:val="005315F2"/>
    <w:rsid w:val="00533813"/>
    <w:rsid w:val="005405D7"/>
    <w:rsid w:val="00547C16"/>
    <w:rsid w:val="00581BAC"/>
    <w:rsid w:val="00594430"/>
    <w:rsid w:val="005A7B89"/>
    <w:rsid w:val="005B34A4"/>
    <w:rsid w:val="005C3F61"/>
    <w:rsid w:val="005F2FD0"/>
    <w:rsid w:val="00603361"/>
    <w:rsid w:val="006063C5"/>
    <w:rsid w:val="0065160B"/>
    <w:rsid w:val="00657123"/>
    <w:rsid w:val="0067664A"/>
    <w:rsid w:val="006810E3"/>
    <w:rsid w:val="00684805"/>
    <w:rsid w:val="00685A31"/>
    <w:rsid w:val="00693551"/>
    <w:rsid w:val="006A43E3"/>
    <w:rsid w:val="006D5D65"/>
    <w:rsid w:val="006E10B6"/>
    <w:rsid w:val="00703BC7"/>
    <w:rsid w:val="00711DB9"/>
    <w:rsid w:val="0071617F"/>
    <w:rsid w:val="007174D6"/>
    <w:rsid w:val="00730B6E"/>
    <w:rsid w:val="007325FE"/>
    <w:rsid w:val="00740A9A"/>
    <w:rsid w:val="007633CE"/>
    <w:rsid w:val="00765FE6"/>
    <w:rsid w:val="00774AFE"/>
    <w:rsid w:val="0077725A"/>
    <w:rsid w:val="00791A1D"/>
    <w:rsid w:val="00797585"/>
    <w:rsid w:val="007A13DB"/>
    <w:rsid w:val="007A34D5"/>
    <w:rsid w:val="007A3894"/>
    <w:rsid w:val="007C1091"/>
    <w:rsid w:val="007D595E"/>
    <w:rsid w:val="007E2ABC"/>
    <w:rsid w:val="0080449F"/>
    <w:rsid w:val="00806C2B"/>
    <w:rsid w:val="00817059"/>
    <w:rsid w:val="008466E2"/>
    <w:rsid w:val="00861DAD"/>
    <w:rsid w:val="00877AE2"/>
    <w:rsid w:val="008824A5"/>
    <w:rsid w:val="008A4C99"/>
    <w:rsid w:val="008B1024"/>
    <w:rsid w:val="008C68D4"/>
    <w:rsid w:val="008E01D2"/>
    <w:rsid w:val="008E3A61"/>
    <w:rsid w:val="008E5962"/>
    <w:rsid w:val="008F4B8F"/>
    <w:rsid w:val="00916687"/>
    <w:rsid w:val="00931803"/>
    <w:rsid w:val="00937265"/>
    <w:rsid w:val="0096531F"/>
    <w:rsid w:val="00966816"/>
    <w:rsid w:val="0097455A"/>
    <w:rsid w:val="009A3336"/>
    <w:rsid w:val="009C1C1F"/>
    <w:rsid w:val="009C7A57"/>
    <w:rsid w:val="009F3973"/>
    <w:rsid w:val="00A40CEF"/>
    <w:rsid w:val="00A423D1"/>
    <w:rsid w:val="00AA7B93"/>
    <w:rsid w:val="00AA7CB9"/>
    <w:rsid w:val="00AB1DE0"/>
    <w:rsid w:val="00AB60CE"/>
    <w:rsid w:val="00AC5D1C"/>
    <w:rsid w:val="00AE1DBC"/>
    <w:rsid w:val="00AF4ABA"/>
    <w:rsid w:val="00B304FE"/>
    <w:rsid w:val="00B31540"/>
    <w:rsid w:val="00B3540C"/>
    <w:rsid w:val="00B51900"/>
    <w:rsid w:val="00B7239F"/>
    <w:rsid w:val="00B754EE"/>
    <w:rsid w:val="00B8257E"/>
    <w:rsid w:val="00BB6A4C"/>
    <w:rsid w:val="00BC6DCD"/>
    <w:rsid w:val="00BD5FB6"/>
    <w:rsid w:val="00BF1388"/>
    <w:rsid w:val="00C100EC"/>
    <w:rsid w:val="00C44053"/>
    <w:rsid w:val="00C536FB"/>
    <w:rsid w:val="00C9193D"/>
    <w:rsid w:val="00C92DDC"/>
    <w:rsid w:val="00C968FB"/>
    <w:rsid w:val="00C96D2D"/>
    <w:rsid w:val="00CD15EA"/>
    <w:rsid w:val="00CD16C0"/>
    <w:rsid w:val="00D727C7"/>
    <w:rsid w:val="00D837E6"/>
    <w:rsid w:val="00D87BDA"/>
    <w:rsid w:val="00DA3E0B"/>
    <w:rsid w:val="00DB1E73"/>
    <w:rsid w:val="00DD5761"/>
    <w:rsid w:val="00DE54CF"/>
    <w:rsid w:val="00DF0596"/>
    <w:rsid w:val="00DF4F3A"/>
    <w:rsid w:val="00E05640"/>
    <w:rsid w:val="00E13144"/>
    <w:rsid w:val="00E45A1B"/>
    <w:rsid w:val="00E56CE6"/>
    <w:rsid w:val="00E74523"/>
    <w:rsid w:val="00EA2A4E"/>
    <w:rsid w:val="00EA4B16"/>
    <w:rsid w:val="00EC1E2D"/>
    <w:rsid w:val="00EC6EF2"/>
    <w:rsid w:val="00ED21A6"/>
    <w:rsid w:val="00ED277C"/>
    <w:rsid w:val="00EE7ACD"/>
    <w:rsid w:val="00F00FB3"/>
    <w:rsid w:val="00F9048B"/>
    <w:rsid w:val="00F924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5D1C"/>
    <w:rPr>
      <w:sz w:val="24"/>
      <w:szCs w:val="24"/>
      <w:lang w:val="en-CA"/>
    </w:rPr>
  </w:style>
  <w:style w:type="paragraph" w:styleId="Heading3">
    <w:name w:val="heading 3"/>
    <w:basedOn w:val="Normal"/>
    <w:next w:val="Normal"/>
    <w:qFormat/>
    <w:rsid w:val="00BD5FB6"/>
    <w:pPr>
      <w:keepNext/>
      <w:spacing w:before="200"/>
      <w:jc w:val="center"/>
      <w:outlineLvl w:val="2"/>
    </w:pPr>
    <w:rPr>
      <w:rFonts w:ascii="Arial" w:hAnsi="Arial" w:cs="Arial"/>
      <w:sz w:val="28"/>
      <w:szCs w:val="28"/>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455A"/>
    <w:pPr>
      <w:tabs>
        <w:tab w:val="center" w:pos="4320"/>
        <w:tab w:val="right" w:pos="8640"/>
      </w:tabs>
    </w:pPr>
  </w:style>
  <w:style w:type="paragraph" w:styleId="Footer">
    <w:name w:val="footer"/>
    <w:basedOn w:val="Normal"/>
    <w:rsid w:val="0097455A"/>
    <w:pPr>
      <w:tabs>
        <w:tab w:val="center" w:pos="4320"/>
        <w:tab w:val="right" w:pos="8640"/>
      </w:tabs>
    </w:pPr>
  </w:style>
  <w:style w:type="table" w:styleId="TableGrid">
    <w:name w:val="Table Grid"/>
    <w:basedOn w:val="TableNormal"/>
    <w:rsid w:val="00A423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320A4C"/>
    <w:rPr>
      <w:color w:val="0000FF"/>
      <w:u w:val="single"/>
    </w:rPr>
  </w:style>
  <w:style w:type="paragraph" w:customStyle="1" w:styleId="BodyText1">
    <w:name w:val="Body Text1"/>
    <w:basedOn w:val="Normal"/>
    <w:rsid w:val="009C7A57"/>
    <w:pPr>
      <w:tabs>
        <w:tab w:val="left" w:pos="340"/>
      </w:tabs>
      <w:autoSpaceDE w:val="0"/>
      <w:autoSpaceDN w:val="0"/>
      <w:adjustRightInd w:val="0"/>
      <w:spacing w:before="120" w:line="180" w:lineRule="atLeast"/>
      <w:ind w:left="340" w:hanging="340"/>
      <w:jc w:val="both"/>
      <w:textAlignment w:val="baseline"/>
    </w:pPr>
    <w:rPr>
      <w:rFonts w:ascii="Book Antiqua" w:hAnsi="Book Antiqua" w:cs="Book Antiqua"/>
      <w:color w:val="000000"/>
      <w:sz w:val="16"/>
      <w:szCs w:val="16"/>
      <w:lang w:val="en-US"/>
    </w:rPr>
  </w:style>
  <w:style w:type="paragraph" w:customStyle="1" w:styleId="Bodytextnumber">
    <w:name w:val="Body text number"/>
    <w:basedOn w:val="Normal"/>
    <w:rsid w:val="009C7A57"/>
    <w:pPr>
      <w:tabs>
        <w:tab w:val="left" w:pos="340"/>
      </w:tabs>
      <w:autoSpaceDE w:val="0"/>
      <w:autoSpaceDN w:val="0"/>
      <w:adjustRightInd w:val="0"/>
      <w:spacing w:before="115" w:line="180" w:lineRule="atLeast"/>
      <w:ind w:left="340" w:hanging="340"/>
      <w:jc w:val="both"/>
      <w:textAlignment w:val="baseline"/>
    </w:pPr>
    <w:rPr>
      <w:rFonts w:ascii="Book Antiqua" w:hAnsi="Book Antiqua" w:cs="Book Antiqua"/>
      <w:b/>
      <w:bCs/>
      <w:color w:val="000000"/>
      <w:sz w:val="16"/>
      <w:szCs w:val="16"/>
      <w:lang w:val="en-US"/>
    </w:rPr>
  </w:style>
  <w:style w:type="character" w:customStyle="1" w:styleId="BoldItalic">
    <w:name w:val="Bold Italic"/>
    <w:rsid w:val="009C7A57"/>
    <w:rPr>
      <w:rFonts w:ascii="Book Antiqua" w:hAnsi="Book Antiqua" w:cs="Book Antiqua"/>
      <w:b/>
      <w:bCs/>
      <w:i/>
      <w:iCs/>
    </w:rPr>
  </w:style>
  <w:style w:type="paragraph" w:customStyle="1" w:styleId="Bodytextlettera">
    <w:name w:val="Body text letter (a"/>
    <w:aliases w:val="b,c)"/>
    <w:basedOn w:val="Normal"/>
    <w:rsid w:val="00ED21A6"/>
    <w:pPr>
      <w:tabs>
        <w:tab w:val="left" w:pos="660"/>
      </w:tabs>
      <w:autoSpaceDE w:val="0"/>
      <w:autoSpaceDN w:val="0"/>
      <w:adjustRightInd w:val="0"/>
      <w:spacing w:before="43" w:line="170" w:lineRule="atLeast"/>
      <w:ind w:left="660" w:hanging="300"/>
      <w:jc w:val="both"/>
      <w:textAlignment w:val="baseline"/>
    </w:pPr>
    <w:rPr>
      <w:rFonts w:ascii="Book Antiqua" w:hAnsi="Book Antiqua" w:cs="Book Antiqua"/>
      <w:color w:val="000000"/>
      <w:sz w:val="16"/>
      <w:szCs w:val="16"/>
      <w:lang w:val="en-US"/>
    </w:rPr>
  </w:style>
  <w:style w:type="paragraph" w:customStyle="1" w:styleId="SORArticleNumber">
    <w:name w:val="SOR Article Number"/>
    <w:basedOn w:val="Normal"/>
    <w:next w:val="Normal"/>
    <w:rsid w:val="00ED21A6"/>
    <w:pPr>
      <w:tabs>
        <w:tab w:val="right" w:leader="dot" w:pos="5940"/>
      </w:tabs>
      <w:autoSpaceDE w:val="0"/>
      <w:autoSpaceDN w:val="0"/>
      <w:adjustRightInd w:val="0"/>
      <w:spacing w:before="144" w:line="288" w:lineRule="auto"/>
      <w:textAlignment w:val="baseline"/>
    </w:pPr>
    <w:rPr>
      <w:rFonts w:ascii="Gill Sans MT" w:hAnsi="Gill Sans MT" w:cs="Gill Sans MT"/>
      <w:b/>
      <w:bCs/>
      <w:color w:val="000000"/>
      <w:sz w:val="16"/>
      <w:szCs w:val="16"/>
      <w:lang w:val="en-US"/>
    </w:rPr>
  </w:style>
  <w:style w:type="character" w:styleId="PageNumber">
    <w:name w:val="page number"/>
    <w:basedOn w:val="DefaultParagraphFont"/>
    <w:rsid w:val="00765FE6"/>
  </w:style>
  <w:style w:type="paragraph" w:styleId="BodyText2">
    <w:name w:val="Body Text 2"/>
    <w:basedOn w:val="Normal"/>
    <w:rsid w:val="00BD5FB6"/>
    <w:pPr>
      <w:autoSpaceDE w:val="0"/>
      <w:autoSpaceDN w:val="0"/>
      <w:adjustRightInd w:val="0"/>
      <w:spacing w:line="360" w:lineRule="auto"/>
    </w:pPr>
    <w:rPr>
      <w:rFonts w:ascii="Arial" w:hAnsi="Arial" w:cs="Arial"/>
      <w:b/>
      <w:bCs/>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D78AF-5D64-4979-ABFC-13B874386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3203</TotalTime>
  <Pages>1</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2005 SOFTBALL CANADA CONGRESS</vt:lpstr>
    </vt:vector>
  </TitlesOfParts>
  <Company>Softball Canada</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 SOFTBALL CANADA CONGRESS</dc:title>
  <dc:creator>Diana Thibodeau</dc:creator>
  <cp:lastModifiedBy>Bobby Despres</cp:lastModifiedBy>
  <cp:revision>6</cp:revision>
  <cp:lastPrinted>2006-10-12T17:05:00Z</cp:lastPrinted>
  <dcterms:created xsi:type="dcterms:W3CDTF">2017-04-19T18:42:00Z</dcterms:created>
  <dcterms:modified xsi:type="dcterms:W3CDTF">2017-04-23T15:56:00Z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