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6" w:rsidRPr="00A34264" w:rsidRDefault="002878FC" w:rsidP="00A34264">
      <w:pPr>
        <w:jc w:val="center"/>
        <w:rPr>
          <w:b/>
          <w:sz w:val="24"/>
          <w:szCs w:val="24"/>
        </w:rPr>
      </w:pPr>
      <w:r>
        <w:rPr>
          <w:b/>
          <w:sz w:val="24"/>
          <w:szCs w:val="24"/>
        </w:rPr>
        <w:t>Korte toelichting incidenten Shell</w:t>
      </w:r>
    </w:p>
    <w:p w:rsidR="00A34264" w:rsidRPr="00A34264" w:rsidRDefault="002878FC" w:rsidP="00A34264">
      <w:pPr>
        <w:jc w:val="center"/>
        <w:rPr>
          <w:b/>
          <w:sz w:val="24"/>
          <w:szCs w:val="24"/>
        </w:rPr>
      </w:pPr>
      <w:r>
        <w:rPr>
          <w:b/>
          <w:sz w:val="24"/>
          <w:szCs w:val="24"/>
        </w:rPr>
        <w:t>Zomer 2017</w:t>
      </w:r>
    </w:p>
    <w:p w:rsidR="00A34264" w:rsidRDefault="00A34264">
      <w:pPr>
        <w:rPr>
          <w:b/>
        </w:rPr>
      </w:pPr>
    </w:p>
    <w:p w:rsidR="00A34264" w:rsidRDefault="00A34264">
      <w:pPr>
        <w:rPr>
          <w:b/>
        </w:rPr>
      </w:pPr>
      <w:r>
        <w:rPr>
          <w:b/>
        </w:rPr>
        <w:t xml:space="preserve">SHELL: 29 juli 2017 </w:t>
      </w:r>
      <w:r w:rsidR="00A05D26">
        <w:rPr>
          <w:b/>
        </w:rPr>
        <w:t>- Stroomstoring</w:t>
      </w:r>
    </w:p>
    <w:p w:rsidR="002878FC" w:rsidRDefault="002878FC">
      <w:pPr>
        <w:rPr>
          <w:b/>
        </w:rPr>
      </w:pPr>
    </w:p>
    <w:p w:rsidR="00A34264" w:rsidRDefault="00A34264">
      <w:pPr>
        <w:rPr>
          <w:b/>
        </w:rPr>
      </w:pPr>
    </w:p>
    <w:tbl>
      <w:tblPr>
        <w:tblStyle w:val="Tabelraster"/>
        <w:tblW w:w="0" w:type="auto"/>
        <w:tblLook w:val="04A0" w:firstRow="1" w:lastRow="0" w:firstColumn="1" w:lastColumn="0" w:noHBand="0" w:noVBand="1"/>
      </w:tblPr>
      <w:tblGrid>
        <w:gridCol w:w="1384"/>
        <w:gridCol w:w="7904"/>
      </w:tblGrid>
      <w:tr w:rsidR="00A34264" w:rsidRPr="002878FC" w:rsidTr="004C168B">
        <w:tc>
          <w:tcPr>
            <w:tcW w:w="1325" w:type="dxa"/>
          </w:tcPr>
          <w:p w:rsidR="00A34264" w:rsidRPr="002878FC" w:rsidRDefault="00A34264">
            <w:pPr>
              <w:rPr>
                <w:b/>
                <w:sz w:val="20"/>
                <w:szCs w:val="20"/>
              </w:rPr>
            </w:pPr>
            <w:r w:rsidRPr="002878FC">
              <w:rPr>
                <w:b/>
                <w:sz w:val="20"/>
                <w:szCs w:val="20"/>
              </w:rPr>
              <w:t xml:space="preserve">Incident </w:t>
            </w:r>
          </w:p>
        </w:tc>
        <w:tc>
          <w:tcPr>
            <w:tcW w:w="7963" w:type="dxa"/>
          </w:tcPr>
          <w:p w:rsidR="00A34264" w:rsidRPr="002878FC" w:rsidRDefault="004C168B">
            <w:pPr>
              <w:rPr>
                <w:b/>
                <w:sz w:val="20"/>
                <w:szCs w:val="20"/>
              </w:rPr>
            </w:pPr>
            <w:r w:rsidRPr="002878FC">
              <w:rPr>
                <w:rFonts w:eastAsia="Times New Roman" w:cs="Times New Roman"/>
                <w:sz w:val="20"/>
                <w:szCs w:val="20"/>
                <w:lang w:eastAsia="nl-NL"/>
              </w:rPr>
              <w:t xml:space="preserve">29 juli- </w:t>
            </w:r>
            <w:r w:rsidR="00A34264" w:rsidRPr="002878FC">
              <w:rPr>
                <w:rFonts w:eastAsia="Times New Roman" w:cs="Times New Roman"/>
                <w:sz w:val="20"/>
                <w:szCs w:val="20"/>
                <w:lang w:eastAsia="nl-NL"/>
              </w:rPr>
              <w:t>brand door kortsluiting in stroomverdeelstation. Tevens viel de elektrische voeding weg voor de fabrieken en installaties gelegen op het oostelijk deel van het Shell</w:t>
            </w:r>
            <w:r w:rsidR="00936748">
              <w:rPr>
                <w:rFonts w:eastAsia="Times New Roman" w:cs="Times New Roman"/>
                <w:sz w:val="20"/>
                <w:szCs w:val="20"/>
                <w:lang w:eastAsia="nl-NL"/>
              </w:rPr>
              <w:t xml:space="preserve"> </w:t>
            </w:r>
            <w:r w:rsidR="00A34264" w:rsidRPr="002878FC">
              <w:rPr>
                <w:rFonts w:eastAsia="Times New Roman" w:cs="Times New Roman"/>
                <w:sz w:val="20"/>
                <w:szCs w:val="20"/>
                <w:lang w:eastAsia="nl-NL"/>
              </w:rPr>
              <w:t xml:space="preserve">terrein waardoor een aantal installaties automatisch in nood </w:t>
            </w:r>
            <w:proofErr w:type="spellStart"/>
            <w:r w:rsidR="00A34264" w:rsidRPr="002878FC">
              <w:rPr>
                <w:rFonts w:eastAsia="Times New Roman" w:cs="Times New Roman"/>
                <w:sz w:val="20"/>
                <w:szCs w:val="20"/>
                <w:lang w:eastAsia="nl-NL"/>
              </w:rPr>
              <w:t>shutdown</w:t>
            </w:r>
            <w:proofErr w:type="spellEnd"/>
            <w:r w:rsidR="00A34264" w:rsidRPr="002878FC">
              <w:rPr>
                <w:rFonts w:eastAsia="Times New Roman" w:cs="Times New Roman"/>
                <w:sz w:val="20"/>
                <w:szCs w:val="20"/>
                <w:lang w:eastAsia="nl-NL"/>
              </w:rPr>
              <w:t xml:space="preserve"> is gegaan. Het andere deel van het Shell Pernis terrein (westelijk deel) kon zonder proble</w:t>
            </w:r>
            <w:r w:rsidR="009A293F">
              <w:rPr>
                <w:rFonts w:eastAsia="Times New Roman" w:cs="Times New Roman"/>
                <w:sz w:val="20"/>
                <w:szCs w:val="20"/>
                <w:lang w:eastAsia="nl-NL"/>
              </w:rPr>
              <w:t>men in bedrijf blijven. O</w:t>
            </w:r>
            <w:r w:rsidR="00A34264" w:rsidRPr="002878FC">
              <w:rPr>
                <w:rFonts w:eastAsia="Times New Roman" w:cs="Times New Roman"/>
                <w:sz w:val="20"/>
                <w:szCs w:val="20"/>
                <w:lang w:eastAsia="nl-NL"/>
              </w:rPr>
              <w:t xml:space="preserve">mdat de fabrieken op dit deel van het terrein voor hun procesvoeding afhankelijk zijn van de fabrieken op het oostelijk deel van het terrein, heeft Shell de dag na het incident besloten om deze fabrieken gecontroleerd (via vaste stappen veilig) uit bedrijf te nemen. </w:t>
            </w:r>
          </w:p>
        </w:tc>
      </w:tr>
      <w:tr w:rsidR="00A34264" w:rsidRPr="002878FC" w:rsidTr="004C168B">
        <w:tc>
          <w:tcPr>
            <w:tcW w:w="1325" w:type="dxa"/>
          </w:tcPr>
          <w:p w:rsidR="00A34264" w:rsidRPr="002878FC" w:rsidRDefault="00A34264">
            <w:pPr>
              <w:rPr>
                <w:b/>
                <w:sz w:val="20"/>
                <w:szCs w:val="20"/>
              </w:rPr>
            </w:pPr>
            <w:r w:rsidRPr="002878FC">
              <w:rPr>
                <w:b/>
                <w:sz w:val="20"/>
                <w:szCs w:val="20"/>
              </w:rPr>
              <w:t xml:space="preserve">Oorzaak </w:t>
            </w:r>
          </w:p>
        </w:tc>
        <w:tc>
          <w:tcPr>
            <w:tcW w:w="7963" w:type="dxa"/>
          </w:tcPr>
          <w:p w:rsidR="00A34264" w:rsidRPr="002878FC" w:rsidRDefault="00A34264" w:rsidP="00A34264">
            <w:pPr>
              <w:rPr>
                <w:rFonts w:eastAsia="Times New Roman" w:cs="Times New Roman"/>
                <w:sz w:val="20"/>
                <w:szCs w:val="20"/>
                <w:lang w:eastAsia="nl-NL"/>
              </w:rPr>
            </w:pPr>
            <w:r w:rsidRPr="002878FC">
              <w:rPr>
                <w:rFonts w:eastAsia="Times New Roman" w:cs="Times New Roman"/>
                <w:sz w:val="20"/>
                <w:szCs w:val="20"/>
                <w:lang w:eastAsia="nl-NL"/>
              </w:rPr>
              <w:t xml:space="preserve">Kortsluiting gevolgd door brand die zich voordeed in een zogenaamd </w:t>
            </w:r>
            <w:proofErr w:type="spellStart"/>
            <w:r w:rsidRPr="002878FC">
              <w:rPr>
                <w:rFonts w:eastAsia="Times New Roman" w:cs="Times New Roman"/>
                <w:sz w:val="20"/>
                <w:szCs w:val="20"/>
                <w:lang w:eastAsia="nl-NL"/>
              </w:rPr>
              <w:t>busductsysteem</w:t>
            </w:r>
            <w:proofErr w:type="spellEnd"/>
            <w:r w:rsidRPr="002878FC">
              <w:rPr>
                <w:rFonts w:eastAsia="Times New Roman" w:cs="Times New Roman"/>
                <w:sz w:val="20"/>
                <w:szCs w:val="20"/>
                <w:lang w:eastAsia="nl-NL"/>
              </w:rPr>
              <w:t xml:space="preserve"> (verbindingsrail) van het stroomverdeelstation. Deze </w:t>
            </w:r>
            <w:proofErr w:type="spellStart"/>
            <w:r w:rsidRPr="002878FC">
              <w:rPr>
                <w:rFonts w:eastAsia="Times New Roman" w:cs="Times New Roman"/>
                <w:sz w:val="20"/>
                <w:szCs w:val="20"/>
                <w:lang w:eastAsia="nl-NL"/>
              </w:rPr>
              <w:t>busduct</w:t>
            </w:r>
            <w:proofErr w:type="spellEnd"/>
            <w:r w:rsidRPr="002878FC">
              <w:rPr>
                <w:rFonts w:eastAsia="Times New Roman" w:cs="Times New Roman"/>
                <w:sz w:val="20"/>
                <w:szCs w:val="20"/>
                <w:lang w:eastAsia="nl-NL"/>
              </w:rPr>
              <w:t xml:space="preserve"> verbindt het ene deel van het gebouw met een ander deel. Een </w:t>
            </w:r>
            <w:proofErr w:type="spellStart"/>
            <w:r w:rsidRPr="002878FC">
              <w:rPr>
                <w:rFonts w:eastAsia="Times New Roman" w:cs="Times New Roman"/>
                <w:sz w:val="20"/>
                <w:szCs w:val="20"/>
                <w:lang w:eastAsia="nl-NL"/>
              </w:rPr>
              <w:t>busduct</w:t>
            </w:r>
            <w:proofErr w:type="spellEnd"/>
            <w:r w:rsidRPr="002878FC">
              <w:rPr>
                <w:rFonts w:eastAsia="Times New Roman" w:cs="Times New Roman"/>
                <w:sz w:val="20"/>
                <w:szCs w:val="20"/>
                <w:lang w:eastAsia="nl-NL"/>
              </w:rPr>
              <w:t xml:space="preserve"> wordt speciaal op maat gemaakt en ter plaatse in elkaar gezet. Verder is een </w:t>
            </w:r>
            <w:proofErr w:type="spellStart"/>
            <w:r w:rsidRPr="002878FC">
              <w:rPr>
                <w:rFonts w:eastAsia="Times New Roman" w:cs="Times New Roman"/>
                <w:sz w:val="20"/>
                <w:szCs w:val="20"/>
                <w:lang w:eastAsia="nl-NL"/>
              </w:rPr>
              <w:t>busduct</w:t>
            </w:r>
            <w:proofErr w:type="spellEnd"/>
            <w:r w:rsidRPr="002878FC">
              <w:rPr>
                <w:rFonts w:eastAsia="Times New Roman" w:cs="Times New Roman"/>
                <w:sz w:val="20"/>
                <w:szCs w:val="20"/>
                <w:lang w:eastAsia="nl-NL"/>
              </w:rPr>
              <w:t xml:space="preserve"> onderhoudsvrij, gemaakt van onbrandbaar materiaal en in dit geval minder dan 10 jaar oud. </w:t>
            </w:r>
          </w:p>
          <w:p w:rsidR="00A34264" w:rsidRPr="002878FC" w:rsidRDefault="00A34264" w:rsidP="00A34264">
            <w:pPr>
              <w:rPr>
                <w:rFonts w:eastAsia="Times New Roman" w:cs="Times New Roman"/>
                <w:sz w:val="20"/>
                <w:szCs w:val="20"/>
                <w:lang w:eastAsia="nl-NL"/>
              </w:rPr>
            </w:pPr>
          </w:p>
          <w:p w:rsidR="00022629" w:rsidRDefault="00A34264" w:rsidP="00A34264">
            <w:pPr>
              <w:rPr>
                <w:rFonts w:eastAsia="Times New Roman" w:cs="Times New Roman"/>
                <w:sz w:val="20"/>
                <w:szCs w:val="20"/>
                <w:lang w:eastAsia="nl-NL"/>
              </w:rPr>
            </w:pPr>
            <w:r w:rsidRPr="002878FC">
              <w:rPr>
                <w:rFonts w:eastAsia="Times New Roman" w:cs="Times New Roman"/>
                <w:sz w:val="20"/>
                <w:szCs w:val="20"/>
                <w:lang w:eastAsia="nl-NL"/>
              </w:rPr>
              <w:t xml:space="preserve">Het onderzoek naar hoe deze </w:t>
            </w:r>
            <w:proofErr w:type="spellStart"/>
            <w:r w:rsidRPr="002878FC">
              <w:rPr>
                <w:rFonts w:eastAsia="Times New Roman" w:cs="Times New Roman"/>
                <w:sz w:val="20"/>
                <w:szCs w:val="20"/>
                <w:lang w:eastAsia="nl-NL"/>
              </w:rPr>
              <w:t>busduct</w:t>
            </w:r>
            <w:proofErr w:type="spellEnd"/>
            <w:r w:rsidRPr="002878FC">
              <w:rPr>
                <w:rFonts w:eastAsia="Times New Roman" w:cs="Times New Roman"/>
                <w:sz w:val="20"/>
                <w:szCs w:val="20"/>
                <w:lang w:eastAsia="nl-NL"/>
              </w:rPr>
              <w:t xml:space="preserve"> kortsluiting kon geven en in brand raken </w:t>
            </w:r>
            <w:r w:rsidR="00022629" w:rsidRPr="002878FC">
              <w:rPr>
                <w:rFonts w:eastAsia="Times New Roman" w:cs="Times New Roman"/>
                <w:sz w:val="20"/>
                <w:szCs w:val="20"/>
                <w:lang w:eastAsia="nl-NL"/>
              </w:rPr>
              <w:t xml:space="preserve">is uitgevoerd door bureau DNV/GL. Wij verwachten op korte termijn het resultaat van dit onderzoek te ontvangen. </w:t>
            </w:r>
          </w:p>
          <w:p w:rsidR="00936748" w:rsidRPr="002878FC" w:rsidRDefault="00936748" w:rsidP="00A34264">
            <w:pPr>
              <w:rPr>
                <w:rFonts w:eastAsia="Times New Roman" w:cs="Times New Roman"/>
                <w:sz w:val="20"/>
                <w:szCs w:val="20"/>
                <w:lang w:eastAsia="nl-NL"/>
              </w:rPr>
            </w:pPr>
          </w:p>
          <w:p w:rsidR="00A34264" w:rsidRPr="002878FC" w:rsidRDefault="00936748">
            <w:pPr>
              <w:rPr>
                <w:b/>
                <w:sz w:val="20"/>
                <w:szCs w:val="20"/>
              </w:rPr>
            </w:pPr>
            <w:r>
              <w:rPr>
                <w:rFonts w:eastAsia="Times New Roman" w:cs="Times New Roman"/>
                <w:sz w:val="20"/>
                <w:szCs w:val="20"/>
                <w:lang w:eastAsia="nl-NL"/>
              </w:rPr>
              <w:t>D</w:t>
            </w:r>
            <w:r w:rsidR="00A34264" w:rsidRPr="002878FC">
              <w:rPr>
                <w:rFonts w:eastAsia="Times New Roman" w:cs="Times New Roman"/>
                <w:sz w:val="20"/>
                <w:szCs w:val="20"/>
                <w:lang w:eastAsia="nl-NL"/>
              </w:rPr>
              <w:t xml:space="preserve">ergelijke onderdelen </w:t>
            </w:r>
            <w:r>
              <w:rPr>
                <w:rFonts w:eastAsia="Times New Roman" w:cs="Times New Roman"/>
                <w:sz w:val="20"/>
                <w:szCs w:val="20"/>
                <w:lang w:eastAsia="nl-NL"/>
              </w:rPr>
              <w:t xml:space="preserve">kunnen </w:t>
            </w:r>
            <w:r w:rsidR="00A34264" w:rsidRPr="002878FC">
              <w:rPr>
                <w:rFonts w:eastAsia="Times New Roman" w:cs="Times New Roman"/>
                <w:sz w:val="20"/>
                <w:szCs w:val="20"/>
                <w:lang w:eastAsia="nl-NL"/>
              </w:rPr>
              <w:t xml:space="preserve">niet door </w:t>
            </w:r>
            <w:r w:rsidR="00DA59AB">
              <w:rPr>
                <w:rFonts w:eastAsia="Times New Roman" w:cs="Times New Roman"/>
                <w:sz w:val="20"/>
                <w:szCs w:val="20"/>
                <w:lang w:eastAsia="nl-NL"/>
              </w:rPr>
              <w:t>het bevoegd gezag worden gecontroleerd</w:t>
            </w:r>
            <w:r w:rsidR="00A34264" w:rsidRPr="002878FC">
              <w:rPr>
                <w:rFonts w:eastAsia="Times New Roman" w:cs="Times New Roman"/>
                <w:sz w:val="20"/>
                <w:szCs w:val="20"/>
                <w:lang w:eastAsia="nl-NL"/>
              </w:rPr>
              <w:t xml:space="preserve">, omdat ze volledig zijn ingebouwd. </w:t>
            </w:r>
          </w:p>
        </w:tc>
      </w:tr>
      <w:tr w:rsidR="00A34264" w:rsidRPr="002878FC" w:rsidTr="004C168B">
        <w:tc>
          <w:tcPr>
            <w:tcW w:w="1325" w:type="dxa"/>
          </w:tcPr>
          <w:p w:rsidR="00A34264" w:rsidRPr="002878FC" w:rsidRDefault="00A34264">
            <w:pPr>
              <w:rPr>
                <w:b/>
                <w:sz w:val="20"/>
                <w:szCs w:val="20"/>
              </w:rPr>
            </w:pPr>
            <w:r w:rsidRPr="002878FC">
              <w:rPr>
                <w:b/>
                <w:sz w:val="20"/>
                <w:szCs w:val="20"/>
              </w:rPr>
              <w:t xml:space="preserve">Beoordeling rapportage </w:t>
            </w:r>
            <w:r w:rsidR="00DA59AB">
              <w:rPr>
                <w:b/>
                <w:sz w:val="20"/>
                <w:szCs w:val="20"/>
              </w:rPr>
              <w:t>door DCMR</w:t>
            </w:r>
          </w:p>
        </w:tc>
        <w:tc>
          <w:tcPr>
            <w:tcW w:w="7963" w:type="dxa"/>
          </w:tcPr>
          <w:p w:rsidR="004C168B" w:rsidRPr="002878FC" w:rsidRDefault="00A34264" w:rsidP="00022629">
            <w:pPr>
              <w:rPr>
                <w:rFonts w:eastAsia="Times New Roman" w:cs="Times New Roman"/>
                <w:sz w:val="20"/>
                <w:szCs w:val="20"/>
                <w:lang w:eastAsia="nl-NL"/>
              </w:rPr>
            </w:pPr>
            <w:r w:rsidRPr="002878FC">
              <w:rPr>
                <w:rFonts w:eastAsia="Times New Roman" w:cs="Times New Roman"/>
                <w:sz w:val="20"/>
                <w:szCs w:val="20"/>
                <w:lang w:eastAsia="nl-NL"/>
              </w:rPr>
              <w:t xml:space="preserve">Het onderzoekrapport is duidelijk en het onderzoek is diepgaand </w:t>
            </w:r>
            <w:r w:rsidR="00DA59AB" w:rsidRPr="002878FC">
              <w:rPr>
                <w:rFonts w:eastAsia="Times New Roman" w:cs="Times New Roman"/>
                <w:sz w:val="20"/>
                <w:szCs w:val="20"/>
                <w:lang w:eastAsia="nl-NL"/>
              </w:rPr>
              <w:t xml:space="preserve">uitgevoerd. </w:t>
            </w:r>
            <w:r w:rsidRPr="002878FC">
              <w:rPr>
                <w:rFonts w:eastAsia="Times New Roman" w:cs="Times New Roman"/>
                <w:sz w:val="20"/>
                <w:szCs w:val="20"/>
                <w:lang w:eastAsia="nl-NL"/>
              </w:rPr>
              <w:t xml:space="preserve">Hieruit blijkt dat Shell de basisoorzaken in beeld heeft gebracht. Maatregelen ter voorkoming van herhaling zijn en kunnen op basis van het onderzoek worden genomen. </w:t>
            </w:r>
            <w:r w:rsidR="004C168B" w:rsidRPr="002878FC">
              <w:rPr>
                <w:rFonts w:eastAsia="Times New Roman" w:cs="Times New Roman"/>
                <w:sz w:val="20"/>
                <w:szCs w:val="20"/>
                <w:lang w:eastAsia="nl-NL"/>
              </w:rPr>
              <w:t>Shell heeft zeer uitgebreid onderzoek gedaan naar alle systeemacties die door de kortsluiting in</w:t>
            </w:r>
            <w:r w:rsidR="002A21C9" w:rsidRPr="002878FC">
              <w:rPr>
                <w:rFonts w:eastAsia="Times New Roman" w:cs="Times New Roman"/>
                <w:sz w:val="20"/>
                <w:szCs w:val="20"/>
                <w:lang w:eastAsia="nl-NL"/>
              </w:rPr>
              <w:t xml:space="preserve"> </w:t>
            </w:r>
            <w:r w:rsidR="009A293F">
              <w:rPr>
                <w:rFonts w:eastAsia="Times New Roman" w:cs="Times New Roman"/>
                <w:sz w:val="20"/>
                <w:szCs w:val="20"/>
                <w:lang w:eastAsia="nl-NL"/>
              </w:rPr>
              <w:t>gang gezet zij</w:t>
            </w:r>
            <w:r w:rsidR="004C168B" w:rsidRPr="002878FC">
              <w:rPr>
                <w:rFonts w:eastAsia="Times New Roman" w:cs="Times New Roman"/>
                <w:sz w:val="20"/>
                <w:szCs w:val="20"/>
                <w:lang w:eastAsia="nl-NL"/>
              </w:rPr>
              <w:t>n en deze in beeld gebracht. Dit onderzoek heeft inzicht gegeven in de al dan niet gewenste systeemacties en andere onbekende tekortkomingen.</w:t>
            </w:r>
          </w:p>
        </w:tc>
      </w:tr>
      <w:tr w:rsidR="00A34264" w:rsidRPr="002878FC" w:rsidTr="004C168B">
        <w:tc>
          <w:tcPr>
            <w:tcW w:w="1325" w:type="dxa"/>
          </w:tcPr>
          <w:p w:rsidR="00A34264" w:rsidRPr="002878FC" w:rsidRDefault="00A34264">
            <w:pPr>
              <w:rPr>
                <w:b/>
                <w:sz w:val="20"/>
                <w:szCs w:val="20"/>
              </w:rPr>
            </w:pPr>
            <w:r w:rsidRPr="002878FC">
              <w:rPr>
                <w:b/>
                <w:sz w:val="20"/>
                <w:szCs w:val="20"/>
              </w:rPr>
              <w:t xml:space="preserve">Maatregelen door bedrijf </w:t>
            </w:r>
          </w:p>
        </w:tc>
        <w:tc>
          <w:tcPr>
            <w:tcW w:w="7963" w:type="dxa"/>
          </w:tcPr>
          <w:p w:rsidR="00A34264" w:rsidRPr="002878FC" w:rsidRDefault="00A34264" w:rsidP="00A34264">
            <w:pPr>
              <w:spacing w:line="284" w:lineRule="exact"/>
              <w:rPr>
                <w:rFonts w:eastAsia="Times New Roman" w:cs="Times New Roman"/>
                <w:sz w:val="20"/>
                <w:szCs w:val="20"/>
                <w:lang w:eastAsia="nl-NL"/>
              </w:rPr>
            </w:pPr>
            <w:r w:rsidRPr="002878FC">
              <w:rPr>
                <w:rFonts w:eastAsia="Times New Roman" w:cs="Times New Roman"/>
                <w:sz w:val="20"/>
                <w:szCs w:val="20"/>
                <w:lang w:eastAsia="nl-NL"/>
              </w:rPr>
              <w:t>Ten aanzien van de ongewenste systeem acties heeft Shell acties geformuleerd om deze beter te begrijpen en maatregelen om herhaling te voorkomen gedefinieerd.</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 xml:space="preserve">Afronden van het forensisch onderzoek en de </w:t>
            </w:r>
            <w:proofErr w:type="spellStart"/>
            <w:r w:rsidRPr="002878FC">
              <w:rPr>
                <w:rFonts w:eastAsia="Calibri"/>
                <w:sz w:val="20"/>
                <w:szCs w:val="20"/>
              </w:rPr>
              <w:t>basisoorza</w:t>
            </w:r>
            <w:proofErr w:type="spellEnd"/>
            <w:r w:rsidRPr="002878FC">
              <w:rPr>
                <w:rFonts w:eastAsia="Calibri"/>
                <w:sz w:val="20"/>
                <w:szCs w:val="20"/>
              </w:rPr>
              <w:t xml:space="preserve">(a)k(en) naar het falen van het </w:t>
            </w:r>
            <w:proofErr w:type="spellStart"/>
            <w:r w:rsidRPr="002878FC">
              <w:rPr>
                <w:rFonts w:eastAsia="Calibri"/>
                <w:sz w:val="20"/>
                <w:szCs w:val="20"/>
              </w:rPr>
              <w:t>busduct</w:t>
            </w:r>
            <w:proofErr w:type="spellEnd"/>
            <w:r w:rsidRPr="002878FC">
              <w:rPr>
                <w:rFonts w:eastAsia="Calibri"/>
                <w:sz w:val="20"/>
                <w:szCs w:val="20"/>
              </w:rPr>
              <w:t xml:space="preserve"> systeem.</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Doen van nader onderzoek naar het disfunctioneren van één van de twee secundaire systemen van generator 9 en gasturbine 3.</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Onderzoeken waarom de koelwaterpompen van WPH5 gelijktijdig herstarten en waarom deze herstarten niet succesvol waren.</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 xml:space="preserve">Onderzoeken waarom station 12 werd losgekoppeld door het </w:t>
            </w:r>
            <w:proofErr w:type="spellStart"/>
            <w:r w:rsidRPr="002878FC">
              <w:rPr>
                <w:rFonts w:eastAsia="Calibri"/>
                <w:sz w:val="20"/>
                <w:szCs w:val="20"/>
              </w:rPr>
              <w:t>Frequency</w:t>
            </w:r>
            <w:proofErr w:type="spellEnd"/>
            <w:r w:rsidRPr="002878FC">
              <w:rPr>
                <w:rFonts w:eastAsia="Calibri"/>
                <w:sz w:val="20"/>
                <w:szCs w:val="20"/>
              </w:rPr>
              <w:t xml:space="preserve"> Load </w:t>
            </w:r>
            <w:proofErr w:type="spellStart"/>
            <w:r w:rsidRPr="002878FC">
              <w:rPr>
                <w:rFonts w:eastAsia="Calibri"/>
                <w:sz w:val="20"/>
                <w:szCs w:val="20"/>
              </w:rPr>
              <w:t>Shedding</w:t>
            </w:r>
            <w:proofErr w:type="spellEnd"/>
            <w:r w:rsidRPr="002878FC">
              <w:rPr>
                <w:rFonts w:eastAsia="Calibri"/>
                <w:sz w:val="20"/>
                <w:szCs w:val="20"/>
              </w:rPr>
              <w:t xml:space="preserve"> systeem.</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Verwijderen van de ‘’</w:t>
            </w:r>
            <w:proofErr w:type="spellStart"/>
            <w:r w:rsidRPr="002878FC">
              <w:rPr>
                <w:rFonts w:eastAsia="Calibri"/>
                <w:sz w:val="20"/>
                <w:szCs w:val="20"/>
              </w:rPr>
              <w:t>current</w:t>
            </w:r>
            <w:proofErr w:type="spellEnd"/>
            <w:r w:rsidRPr="002878FC">
              <w:rPr>
                <w:rFonts w:eastAsia="Calibri"/>
                <w:sz w:val="20"/>
                <w:szCs w:val="20"/>
              </w:rPr>
              <w:t xml:space="preserve"> </w:t>
            </w:r>
            <w:proofErr w:type="spellStart"/>
            <w:r w:rsidRPr="002878FC">
              <w:rPr>
                <w:rFonts w:eastAsia="Calibri"/>
                <w:sz w:val="20"/>
                <w:szCs w:val="20"/>
              </w:rPr>
              <w:t>unbalance</w:t>
            </w:r>
            <w:proofErr w:type="spellEnd"/>
            <w:r w:rsidRPr="002878FC">
              <w:rPr>
                <w:rFonts w:eastAsia="Calibri"/>
                <w:sz w:val="20"/>
                <w:szCs w:val="20"/>
              </w:rPr>
              <w:t xml:space="preserve">’’ </w:t>
            </w:r>
            <w:proofErr w:type="spellStart"/>
            <w:r w:rsidRPr="002878FC">
              <w:rPr>
                <w:rFonts w:eastAsia="Calibri"/>
                <w:sz w:val="20"/>
                <w:szCs w:val="20"/>
              </w:rPr>
              <w:t>settings</w:t>
            </w:r>
            <w:proofErr w:type="spellEnd"/>
            <w:r w:rsidRPr="002878FC">
              <w:rPr>
                <w:rFonts w:eastAsia="Calibri"/>
                <w:sz w:val="20"/>
                <w:szCs w:val="20"/>
              </w:rPr>
              <w:t xml:space="preserve"> op de differentiaal beveiligingsschakelingen die openden door de detectie van een </w:t>
            </w:r>
            <w:proofErr w:type="spellStart"/>
            <w:r w:rsidRPr="002878FC">
              <w:rPr>
                <w:rFonts w:eastAsia="Calibri"/>
                <w:sz w:val="20"/>
                <w:szCs w:val="20"/>
              </w:rPr>
              <w:t>current</w:t>
            </w:r>
            <w:proofErr w:type="spellEnd"/>
            <w:r w:rsidRPr="002878FC">
              <w:rPr>
                <w:rFonts w:eastAsia="Calibri"/>
                <w:sz w:val="20"/>
                <w:szCs w:val="20"/>
              </w:rPr>
              <w:t xml:space="preserve"> </w:t>
            </w:r>
            <w:proofErr w:type="spellStart"/>
            <w:r w:rsidRPr="002878FC">
              <w:rPr>
                <w:rFonts w:eastAsia="Calibri"/>
                <w:sz w:val="20"/>
                <w:szCs w:val="20"/>
              </w:rPr>
              <w:t>unbalance</w:t>
            </w:r>
            <w:proofErr w:type="spellEnd"/>
            <w:r w:rsidRPr="002878FC">
              <w:rPr>
                <w:rFonts w:eastAsia="Calibri"/>
                <w:sz w:val="20"/>
                <w:szCs w:val="20"/>
              </w:rPr>
              <w:t>.</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 xml:space="preserve">Verbeteren van de </w:t>
            </w:r>
            <w:proofErr w:type="spellStart"/>
            <w:r w:rsidRPr="002878FC">
              <w:rPr>
                <w:rFonts w:eastAsia="Calibri"/>
                <w:sz w:val="20"/>
                <w:szCs w:val="20"/>
              </w:rPr>
              <w:t>assurance</w:t>
            </w:r>
            <w:proofErr w:type="spellEnd"/>
            <w:r w:rsidRPr="002878FC">
              <w:rPr>
                <w:rFonts w:eastAsia="Calibri"/>
                <w:sz w:val="20"/>
                <w:szCs w:val="20"/>
              </w:rPr>
              <w:t xml:space="preserve"> </w:t>
            </w:r>
            <w:proofErr w:type="spellStart"/>
            <w:r w:rsidRPr="002878FC">
              <w:rPr>
                <w:rFonts w:eastAsia="Calibri"/>
                <w:sz w:val="20"/>
                <w:szCs w:val="20"/>
              </w:rPr>
              <w:t>protocols</w:t>
            </w:r>
            <w:proofErr w:type="spellEnd"/>
            <w:r w:rsidRPr="002878FC">
              <w:rPr>
                <w:rFonts w:eastAsia="Calibri"/>
                <w:sz w:val="20"/>
                <w:szCs w:val="20"/>
              </w:rPr>
              <w:t xml:space="preserve"> of </w:t>
            </w:r>
            <w:proofErr w:type="spellStart"/>
            <w:r w:rsidRPr="002878FC">
              <w:rPr>
                <w:rFonts w:eastAsia="Calibri"/>
                <w:sz w:val="20"/>
                <w:szCs w:val="20"/>
              </w:rPr>
              <w:t>electrical</w:t>
            </w:r>
            <w:proofErr w:type="spellEnd"/>
            <w:r w:rsidRPr="002878FC">
              <w:rPr>
                <w:rFonts w:eastAsia="Calibri"/>
                <w:sz w:val="20"/>
                <w:szCs w:val="20"/>
              </w:rPr>
              <w:t xml:space="preserve"> </w:t>
            </w:r>
            <w:proofErr w:type="spellStart"/>
            <w:r w:rsidRPr="002878FC">
              <w:rPr>
                <w:rFonts w:eastAsia="Calibri"/>
                <w:sz w:val="20"/>
                <w:szCs w:val="20"/>
              </w:rPr>
              <w:t>protection</w:t>
            </w:r>
            <w:proofErr w:type="spellEnd"/>
            <w:r w:rsidRPr="002878FC">
              <w:rPr>
                <w:rFonts w:eastAsia="Calibri"/>
                <w:sz w:val="20"/>
                <w:szCs w:val="20"/>
              </w:rPr>
              <w:t xml:space="preserve"> </w:t>
            </w:r>
            <w:proofErr w:type="spellStart"/>
            <w:r w:rsidRPr="002878FC">
              <w:rPr>
                <w:rFonts w:eastAsia="Calibri"/>
                <w:sz w:val="20"/>
                <w:szCs w:val="20"/>
              </w:rPr>
              <w:t>relay</w:t>
            </w:r>
            <w:proofErr w:type="spellEnd"/>
            <w:r w:rsidRPr="002878FC">
              <w:rPr>
                <w:rFonts w:eastAsia="Calibri"/>
                <w:sz w:val="20"/>
                <w:szCs w:val="20"/>
              </w:rPr>
              <w:t xml:space="preserve"> </w:t>
            </w:r>
            <w:proofErr w:type="spellStart"/>
            <w:r w:rsidRPr="002878FC">
              <w:rPr>
                <w:rFonts w:eastAsia="Calibri"/>
                <w:sz w:val="20"/>
                <w:szCs w:val="20"/>
              </w:rPr>
              <w:t>settings</w:t>
            </w:r>
            <w:proofErr w:type="spellEnd"/>
            <w:r w:rsidRPr="002878FC">
              <w:rPr>
                <w:rFonts w:eastAsia="Calibri"/>
                <w:sz w:val="20"/>
                <w:szCs w:val="20"/>
              </w:rPr>
              <w:t xml:space="preserve"> tijdens projecten en equipment vervanging.</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Uitvoeren van een Shell-</w:t>
            </w:r>
            <w:proofErr w:type="spellStart"/>
            <w:r w:rsidRPr="002878FC">
              <w:rPr>
                <w:rFonts w:eastAsia="Calibri"/>
                <w:sz w:val="20"/>
                <w:szCs w:val="20"/>
              </w:rPr>
              <w:t>Pergen</w:t>
            </w:r>
            <w:proofErr w:type="spellEnd"/>
            <w:r w:rsidRPr="002878FC">
              <w:rPr>
                <w:rFonts w:eastAsia="Calibri"/>
                <w:sz w:val="20"/>
                <w:szCs w:val="20"/>
              </w:rPr>
              <w:t xml:space="preserve"> syst</w:t>
            </w:r>
            <w:r w:rsidR="009A293F">
              <w:rPr>
                <w:rFonts w:eastAsia="Calibri"/>
                <w:sz w:val="20"/>
                <w:szCs w:val="20"/>
              </w:rPr>
              <w:t xml:space="preserve">eem studie voor elektriciteit, </w:t>
            </w:r>
            <w:r w:rsidRPr="002878FC">
              <w:rPr>
                <w:rFonts w:eastAsia="Calibri"/>
                <w:sz w:val="20"/>
                <w:szCs w:val="20"/>
              </w:rPr>
              <w:t xml:space="preserve">om de instellingen van de bediening en beschermende functies volledig uit te lijnen, </w:t>
            </w:r>
            <w:r w:rsidRPr="002878FC">
              <w:rPr>
                <w:rFonts w:eastAsia="Calibri"/>
                <w:sz w:val="20"/>
                <w:szCs w:val="20"/>
              </w:rPr>
              <w:lastRenderedPageBreak/>
              <w:t>rekening houdend met minimum en maximum opwekkingsmodes en geloofwaardige faalscenario´s.</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Bestuderen van de mogelijkheden om branden te bestrijden binnen vitale elektrische stations zonder de noodzaak deze gebouwen te betreden en/of het gehele station af te schakelen.</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 xml:space="preserve">Organiseren van leersessies met </w:t>
            </w:r>
            <w:proofErr w:type="spellStart"/>
            <w:r w:rsidRPr="002878FC">
              <w:rPr>
                <w:rFonts w:eastAsia="Calibri"/>
                <w:sz w:val="20"/>
                <w:szCs w:val="20"/>
              </w:rPr>
              <w:t>electrical</w:t>
            </w:r>
            <w:proofErr w:type="spellEnd"/>
            <w:r w:rsidRPr="002878FC">
              <w:rPr>
                <w:rFonts w:eastAsia="Calibri"/>
                <w:sz w:val="20"/>
                <w:szCs w:val="20"/>
              </w:rPr>
              <w:t xml:space="preserve"> engineers, de onderhoudsorganisatie en de bedrijfsbrandweer.</w:t>
            </w:r>
          </w:p>
          <w:p w:rsidR="00A34264" w:rsidRPr="002878FC" w:rsidRDefault="00A34264" w:rsidP="00A34264">
            <w:pPr>
              <w:numPr>
                <w:ilvl w:val="0"/>
                <w:numId w:val="1"/>
              </w:numPr>
              <w:spacing w:line="276" w:lineRule="auto"/>
              <w:contextualSpacing/>
              <w:rPr>
                <w:rFonts w:eastAsia="Calibri"/>
                <w:sz w:val="20"/>
                <w:szCs w:val="20"/>
              </w:rPr>
            </w:pPr>
            <w:r w:rsidRPr="002878FC">
              <w:rPr>
                <w:rFonts w:eastAsia="Calibri"/>
                <w:sz w:val="20"/>
                <w:szCs w:val="20"/>
              </w:rPr>
              <w:t>Delen van de technische leerpunten van dit incident binnen de Shell groep, VPNI, VCNI en KEGROB.</w:t>
            </w:r>
          </w:p>
        </w:tc>
      </w:tr>
      <w:tr w:rsidR="00A34264" w:rsidRPr="002878FC" w:rsidTr="004C168B">
        <w:tc>
          <w:tcPr>
            <w:tcW w:w="1325" w:type="dxa"/>
          </w:tcPr>
          <w:p w:rsidR="00A34264" w:rsidRPr="002878FC" w:rsidRDefault="00A34264">
            <w:pPr>
              <w:rPr>
                <w:b/>
                <w:sz w:val="20"/>
                <w:szCs w:val="20"/>
              </w:rPr>
            </w:pPr>
            <w:r w:rsidRPr="002878FC">
              <w:rPr>
                <w:b/>
                <w:sz w:val="20"/>
                <w:szCs w:val="20"/>
              </w:rPr>
              <w:lastRenderedPageBreak/>
              <w:t xml:space="preserve">Maatregelen provincie </w:t>
            </w:r>
          </w:p>
        </w:tc>
        <w:tc>
          <w:tcPr>
            <w:tcW w:w="7963" w:type="dxa"/>
          </w:tcPr>
          <w:p w:rsidR="00A34264" w:rsidRPr="002878FC" w:rsidRDefault="00A34264" w:rsidP="00A34264">
            <w:pPr>
              <w:spacing w:line="284" w:lineRule="exact"/>
              <w:rPr>
                <w:rFonts w:eastAsia="Times New Roman" w:cs="Times New Roman"/>
                <w:noProof/>
                <w:sz w:val="20"/>
                <w:szCs w:val="20"/>
                <w:lang w:eastAsia="nl-NL"/>
              </w:rPr>
            </w:pPr>
            <w:r w:rsidRPr="002878FC">
              <w:rPr>
                <w:rFonts w:eastAsia="Times New Roman" w:cs="Times New Roman"/>
                <w:noProof/>
                <w:sz w:val="20"/>
                <w:szCs w:val="20"/>
                <w:lang w:eastAsia="nl-NL"/>
              </w:rPr>
              <w:t xml:space="preserve">DCMR heeft Shell </w:t>
            </w:r>
            <w:r w:rsidR="004C168B" w:rsidRPr="002878FC">
              <w:rPr>
                <w:rFonts w:eastAsia="Times New Roman" w:cs="Times New Roman"/>
                <w:noProof/>
                <w:sz w:val="20"/>
                <w:szCs w:val="20"/>
                <w:lang w:eastAsia="nl-NL"/>
              </w:rPr>
              <w:t>(</w:t>
            </w:r>
            <w:r w:rsidRPr="002878FC">
              <w:rPr>
                <w:rFonts w:eastAsia="Times New Roman" w:cs="Times New Roman"/>
                <w:noProof/>
                <w:sz w:val="20"/>
                <w:szCs w:val="20"/>
                <w:lang w:eastAsia="nl-NL"/>
              </w:rPr>
              <w:t>brief van 12 januari 2018</w:t>
            </w:r>
            <w:r w:rsidR="004C168B" w:rsidRPr="002878FC">
              <w:rPr>
                <w:rFonts w:eastAsia="Times New Roman" w:cs="Times New Roman"/>
                <w:noProof/>
                <w:sz w:val="20"/>
                <w:szCs w:val="20"/>
                <w:lang w:eastAsia="nl-NL"/>
              </w:rPr>
              <w:t>)</w:t>
            </w:r>
            <w:r w:rsidRPr="002878FC">
              <w:rPr>
                <w:rFonts w:eastAsia="Times New Roman" w:cs="Times New Roman"/>
                <w:noProof/>
                <w:sz w:val="20"/>
                <w:szCs w:val="20"/>
                <w:lang w:eastAsia="nl-NL"/>
              </w:rPr>
              <w:t xml:space="preserve"> opgedragen </w:t>
            </w:r>
            <w:r w:rsidRPr="002878FC">
              <w:rPr>
                <w:rFonts w:eastAsia="Times New Roman" w:cs="Times New Roman"/>
                <w:b/>
                <w:noProof/>
                <w:sz w:val="20"/>
                <w:szCs w:val="20"/>
                <w:lang w:eastAsia="nl-NL"/>
              </w:rPr>
              <w:t>de door hen ge</w:t>
            </w:r>
            <w:r w:rsidR="004C168B" w:rsidRPr="002878FC">
              <w:rPr>
                <w:rFonts w:eastAsia="Times New Roman"/>
                <w:b/>
                <w:noProof/>
                <w:sz w:val="20"/>
                <w:szCs w:val="20"/>
                <w:lang w:eastAsia="nl-NL"/>
              </w:rPr>
              <w:t>ï</w:t>
            </w:r>
            <w:r w:rsidRPr="002878FC">
              <w:rPr>
                <w:rFonts w:eastAsia="Times New Roman" w:cs="Times New Roman"/>
                <w:b/>
                <w:noProof/>
                <w:sz w:val="20"/>
                <w:szCs w:val="20"/>
                <w:lang w:eastAsia="nl-NL"/>
              </w:rPr>
              <w:t>dentificeerde maatregelen uit te voeren</w:t>
            </w:r>
            <w:r w:rsidRPr="002878FC">
              <w:rPr>
                <w:rFonts w:eastAsia="Times New Roman" w:cs="Times New Roman"/>
                <w:noProof/>
                <w:sz w:val="20"/>
                <w:szCs w:val="20"/>
                <w:lang w:eastAsia="nl-NL"/>
              </w:rPr>
              <w:t>. Indien bij een nacontrole blijkt dat Shell niet dan wel niet tijdig de maatregelen heeft getroffen, zal een last onder dwangsom worden opgelegd.</w:t>
            </w:r>
          </w:p>
          <w:p w:rsidR="00A34264" w:rsidRPr="002878FC" w:rsidRDefault="00A34264" w:rsidP="00A34264">
            <w:pPr>
              <w:spacing w:line="284" w:lineRule="exact"/>
              <w:rPr>
                <w:rFonts w:eastAsia="Times New Roman" w:cs="Times New Roman"/>
                <w:sz w:val="20"/>
                <w:szCs w:val="20"/>
                <w:lang w:eastAsia="nl-NL"/>
              </w:rPr>
            </w:pPr>
          </w:p>
          <w:p w:rsidR="00A34264" w:rsidRPr="009A293F" w:rsidRDefault="00A34264" w:rsidP="009A293F">
            <w:pPr>
              <w:spacing w:line="276" w:lineRule="auto"/>
              <w:rPr>
                <w:rFonts w:eastAsia="Times New Roman" w:cs="Times New Roman"/>
                <w:szCs w:val="19"/>
                <w:lang w:eastAsia="nl-NL"/>
              </w:rPr>
            </w:pPr>
            <w:r w:rsidRPr="002878FC">
              <w:rPr>
                <w:rFonts w:eastAsia="Times New Roman" w:cs="Times New Roman"/>
                <w:sz w:val="20"/>
                <w:szCs w:val="20"/>
                <w:lang w:eastAsia="nl-NL"/>
              </w:rPr>
              <w:t xml:space="preserve">Daarnaast geldt voor Shell Pernis op basis van deze incidenten een </w:t>
            </w:r>
            <w:r w:rsidRPr="002878FC">
              <w:rPr>
                <w:rFonts w:eastAsia="Times New Roman" w:cs="Times New Roman"/>
                <w:b/>
                <w:sz w:val="20"/>
                <w:szCs w:val="20"/>
                <w:lang w:eastAsia="nl-NL"/>
              </w:rPr>
              <w:t xml:space="preserve">verscherpt </w:t>
            </w:r>
            <w:proofErr w:type="spellStart"/>
            <w:r w:rsidRPr="002878FC">
              <w:rPr>
                <w:rFonts w:eastAsia="Times New Roman" w:cs="Times New Roman"/>
                <w:b/>
                <w:sz w:val="20"/>
                <w:szCs w:val="20"/>
                <w:lang w:eastAsia="nl-NL"/>
              </w:rPr>
              <w:t>toezicht</w:t>
            </w:r>
            <w:r w:rsidR="00CB4B09">
              <w:rPr>
                <w:rFonts w:eastAsia="Times New Roman" w:cs="Times New Roman"/>
                <w:b/>
                <w:sz w:val="20"/>
                <w:szCs w:val="20"/>
                <w:lang w:eastAsia="nl-NL"/>
              </w:rPr>
              <w:t>s</w:t>
            </w:r>
            <w:r w:rsidRPr="002878FC">
              <w:rPr>
                <w:rFonts w:eastAsia="Times New Roman" w:cs="Times New Roman"/>
                <w:b/>
                <w:sz w:val="20"/>
                <w:szCs w:val="20"/>
                <w:lang w:eastAsia="nl-NL"/>
              </w:rPr>
              <w:t>regime</w:t>
            </w:r>
            <w:proofErr w:type="spellEnd"/>
            <w:r w:rsidRPr="002878FC">
              <w:rPr>
                <w:rFonts w:eastAsia="Times New Roman" w:cs="Times New Roman"/>
                <w:b/>
                <w:sz w:val="20"/>
                <w:szCs w:val="20"/>
                <w:lang w:eastAsia="nl-NL"/>
              </w:rPr>
              <w:t xml:space="preserve">. </w:t>
            </w:r>
            <w:r w:rsidRPr="002878FC">
              <w:rPr>
                <w:rFonts w:eastAsia="Times New Roman" w:cs="Times New Roman"/>
                <w:sz w:val="20"/>
                <w:szCs w:val="20"/>
                <w:lang w:eastAsia="nl-NL"/>
              </w:rPr>
              <w:t xml:space="preserve">Dit houdt onder meer in dat Shell een </w:t>
            </w:r>
            <w:r w:rsidRPr="002878FC">
              <w:rPr>
                <w:rFonts w:eastAsia="Times New Roman" w:cs="Times New Roman"/>
                <w:b/>
                <w:sz w:val="20"/>
                <w:szCs w:val="20"/>
                <w:lang w:eastAsia="nl-NL"/>
              </w:rPr>
              <w:t xml:space="preserve">rapportageverplichting wordt opgelegd over alle </w:t>
            </w:r>
            <w:proofErr w:type="spellStart"/>
            <w:r w:rsidRPr="002878FC">
              <w:rPr>
                <w:rFonts w:eastAsia="Times New Roman" w:cs="Times New Roman"/>
                <w:b/>
                <w:i/>
                <w:sz w:val="20"/>
                <w:szCs w:val="20"/>
                <w:lang w:eastAsia="nl-NL"/>
              </w:rPr>
              <w:t>near</w:t>
            </w:r>
            <w:proofErr w:type="spellEnd"/>
            <w:r w:rsidRPr="002878FC">
              <w:rPr>
                <w:rFonts w:eastAsia="Times New Roman" w:cs="Times New Roman"/>
                <w:b/>
                <w:i/>
                <w:sz w:val="20"/>
                <w:szCs w:val="20"/>
                <w:lang w:eastAsia="nl-NL"/>
              </w:rPr>
              <w:t xml:space="preserve"> misses</w:t>
            </w:r>
            <w:r w:rsidR="00936748">
              <w:rPr>
                <w:rFonts w:eastAsia="Times New Roman" w:cs="Times New Roman"/>
                <w:b/>
                <w:i/>
                <w:sz w:val="20"/>
                <w:szCs w:val="20"/>
                <w:lang w:eastAsia="nl-NL"/>
              </w:rPr>
              <w:t xml:space="preserve"> (bijna ongevallen)</w:t>
            </w:r>
            <w:r w:rsidRPr="002878FC">
              <w:rPr>
                <w:rFonts w:eastAsia="Times New Roman" w:cs="Times New Roman"/>
                <w:b/>
                <w:sz w:val="20"/>
                <w:szCs w:val="20"/>
                <w:lang w:eastAsia="nl-NL"/>
              </w:rPr>
              <w:t>.</w:t>
            </w:r>
            <w:r w:rsidR="00936748">
              <w:rPr>
                <w:rFonts w:eastAsia="Times New Roman" w:cs="Times New Roman"/>
                <w:b/>
                <w:sz w:val="20"/>
                <w:szCs w:val="20"/>
                <w:lang w:eastAsia="nl-NL"/>
              </w:rPr>
              <w:t xml:space="preserve"> </w:t>
            </w:r>
            <w:r w:rsidRPr="002878FC">
              <w:rPr>
                <w:rFonts w:eastAsia="Times New Roman" w:cs="Times New Roman"/>
                <w:sz w:val="20"/>
                <w:szCs w:val="20"/>
                <w:lang w:eastAsia="nl-NL"/>
              </w:rPr>
              <w:t xml:space="preserve">Deze informatie zal bijdragen aan het beter voorkomen van incidenten in de toekomst en gerichter toezicht. </w:t>
            </w:r>
            <w:r w:rsidR="00A05D26">
              <w:t xml:space="preserve">Shell is daarnaast onderdeel van het toezicht project voor </w:t>
            </w:r>
            <w:proofErr w:type="spellStart"/>
            <w:r w:rsidR="00A05D26">
              <w:t>onderhoudsstops</w:t>
            </w:r>
            <w:proofErr w:type="spellEnd"/>
            <w:r w:rsidR="00A05D26">
              <w:t>. Ook wordt bij Shell de veiligheidscultuur onder de loep genomen</w:t>
            </w:r>
            <w:r w:rsidR="00A05D26">
              <w:rPr>
                <w:rFonts w:eastAsia="Times New Roman" w:cs="Times New Roman"/>
                <w:b/>
                <w:szCs w:val="19"/>
                <w:lang w:eastAsia="nl-NL"/>
              </w:rPr>
              <w:t xml:space="preserve">. </w:t>
            </w:r>
          </w:p>
        </w:tc>
      </w:tr>
      <w:tr w:rsidR="00A34264" w:rsidRPr="002878FC" w:rsidTr="004C168B">
        <w:tc>
          <w:tcPr>
            <w:tcW w:w="1325" w:type="dxa"/>
          </w:tcPr>
          <w:p w:rsidR="00A34264" w:rsidRPr="002878FC" w:rsidRDefault="00A34264">
            <w:pPr>
              <w:rPr>
                <w:b/>
                <w:sz w:val="20"/>
                <w:szCs w:val="20"/>
              </w:rPr>
            </w:pPr>
            <w:r w:rsidRPr="002878FC">
              <w:rPr>
                <w:b/>
                <w:sz w:val="20"/>
                <w:szCs w:val="20"/>
              </w:rPr>
              <w:t>Lopend onderzoek</w:t>
            </w:r>
          </w:p>
        </w:tc>
        <w:tc>
          <w:tcPr>
            <w:tcW w:w="7963" w:type="dxa"/>
          </w:tcPr>
          <w:p w:rsidR="00A34264" w:rsidRPr="009A293F" w:rsidRDefault="00A34264" w:rsidP="009A293F">
            <w:pPr>
              <w:spacing w:line="284" w:lineRule="exact"/>
              <w:rPr>
                <w:rFonts w:eastAsia="Times New Roman" w:cs="Times New Roman"/>
                <w:sz w:val="20"/>
                <w:szCs w:val="20"/>
                <w:lang w:eastAsia="nl-NL"/>
              </w:rPr>
            </w:pPr>
            <w:r w:rsidRPr="002878FC">
              <w:rPr>
                <w:rFonts w:eastAsia="Calibri" w:cs="Times New Roman"/>
                <w:sz w:val="20"/>
                <w:szCs w:val="20"/>
                <w:lang w:eastAsia="nl-NL"/>
              </w:rPr>
              <w:t>Zeehavenpolitie is, in samenwerking met i</w:t>
            </w:r>
            <w:r w:rsidR="00936748">
              <w:rPr>
                <w:rFonts w:eastAsia="Calibri" w:cs="Times New Roman"/>
                <w:sz w:val="20"/>
                <w:szCs w:val="20"/>
                <w:lang w:eastAsia="nl-NL"/>
              </w:rPr>
              <w:t xml:space="preserve">nspectie </w:t>
            </w:r>
            <w:r w:rsidRPr="002878FC">
              <w:rPr>
                <w:rFonts w:eastAsia="Calibri" w:cs="Times New Roman"/>
                <w:sz w:val="20"/>
                <w:szCs w:val="20"/>
                <w:lang w:eastAsia="nl-NL"/>
              </w:rPr>
              <w:t>SZW en de DCMR, een strafrechtelijk onderzoek gestart.</w:t>
            </w:r>
          </w:p>
        </w:tc>
      </w:tr>
    </w:tbl>
    <w:p w:rsidR="00A34264" w:rsidRPr="00A34264" w:rsidRDefault="00A34264">
      <w:pPr>
        <w:rPr>
          <w:b/>
        </w:rPr>
      </w:pPr>
    </w:p>
    <w:p w:rsidR="00A34264" w:rsidRPr="00A34264" w:rsidRDefault="00A34264" w:rsidP="00A34264">
      <w:pPr>
        <w:spacing w:line="284" w:lineRule="exact"/>
        <w:rPr>
          <w:rFonts w:eastAsia="Times New Roman" w:cs="Times New Roman"/>
          <w:szCs w:val="19"/>
          <w:lang w:eastAsia="nl-NL"/>
        </w:rPr>
      </w:pPr>
    </w:p>
    <w:p w:rsidR="00EC28C4" w:rsidRDefault="00EC28C4">
      <w:pPr>
        <w:spacing w:after="200" w:line="276" w:lineRule="auto"/>
        <w:rPr>
          <w:rFonts w:eastAsia="Times New Roman" w:cs="Times New Roman"/>
          <w:szCs w:val="19"/>
          <w:u w:val="single"/>
          <w:lang w:eastAsia="nl-NL"/>
        </w:rPr>
      </w:pPr>
      <w:r>
        <w:rPr>
          <w:rFonts w:eastAsia="Times New Roman" w:cs="Times New Roman"/>
          <w:szCs w:val="19"/>
          <w:u w:val="single"/>
          <w:lang w:eastAsia="nl-NL"/>
        </w:rPr>
        <w:br w:type="page"/>
      </w:r>
    </w:p>
    <w:p w:rsidR="00EC28C4" w:rsidRPr="00EC28C4" w:rsidRDefault="00EC28C4">
      <w:pPr>
        <w:spacing w:after="200" w:line="276" w:lineRule="auto"/>
        <w:rPr>
          <w:rFonts w:eastAsia="Times New Roman" w:cs="Times New Roman"/>
          <w:b/>
          <w:szCs w:val="19"/>
          <w:lang w:eastAsia="nl-NL"/>
        </w:rPr>
      </w:pPr>
      <w:r w:rsidRPr="00EC28C4">
        <w:rPr>
          <w:rFonts w:eastAsia="Times New Roman" w:cs="Times New Roman"/>
          <w:b/>
          <w:szCs w:val="19"/>
          <w:lang w:eastAsia="nl-NL"/>
        </w:rPr>
        <w:lastRenderedPageBreak/>
        <w:t>SHELL- 31 juli</w:t>
      </w:r>
      <w:r w:rsidR="00A05D26">
        <w:rPr>
          <w:rFonts w:eastAsia="Times New Roman" w:cs="Times New Roman"/>
          <w:b/>
          <w:szCs w:val="19"/>
          <w:lang w:eastAsia="nl-NL"/>
        </w:rPr>
        <w:t xml:space="preserve"> 2017 - </w:t>
      </w:r>
      <w:proofErr w:type="spellStart"/>
      <w:r w:rsidR="00A05D26">
        <w:rPr>
          <w:rFonts w:eastAsia="Times New Roman" w:cs="Times New Roman"/>
          <w:b/>
          <w:szCs w:val="19"/>
          <w:lang w:eastAsia="nl-NL"/>
        </w:rPr>
        <w:t>Alkylatiefabriek</w:t>
      </w:r>
      <w:proofErr w:type="spellEnd"/>
    </w:p>
    <w:tbl>
      <w:tblPr>
        <w:tblStyle w:val="Tabelraster"/>
        <w:tblpPr w:leftFromText="141" w:rightFromText="141" w:vertAnchor="text" w:horzAnchor="margin" w:tblpY="278"/>
        <w:tblW w:w="0" w:type="auto"/>
        <w:tblLook w:val="04A0" w:firstRow="1" w:lastRow="0" w:firstColumn="1" w:lastColumn="0" w:noHBand="0" w:noVBand="1"/>
      </w:tblPr>
      <w:tblGrid>
        <w:gridCol w:w="1325"/>
        <w:gridCol w:w="7963"/>
      </w:tblGrid>
      <w:tr w:rsidR="00EC28C4" w:rsidTr="00EC28C4">
        <w:tc>
          <w:tcPr>
            <w:tcW w:w="1325" w:type="dxa"/>
          </w:tcPr>
          <w:p w:rsidR="00EC28C4" w:rsidRDefault="00EC28C4" w:rsidP="00EC28C4">
            <w:pPr>
              <w:rPr>
                <w:b/>
              </w:rPr>
            </w:pPr>
            <w:r>
              <w:rPr>
                <w:b/>
              </w:rPr>
              <w:t>Incident</w:t>
            </w:r>
          </w:p>
        </w:tc>
        <w:tc>
          <w:tcPr>
            <w:tcW w:w="7963" w:type="dxa"/>
          </w:tcPr>
          <w:p w:rsidR="00EC28C4" w:rsidRPr="009A293F" w:rsidRDefault="00EC28C4" w:rsidP="009A293F">
            <w:pPr>
              <w:spacing w:line="284" w:lineRule="exact"/>
              <w:rPr>
                <w:rFonts w:eastAsia="Times New Roman" w:cs="Times New Roman"/>
                <w:sz w:val="20"/>
                <w:szCs w:val="20"/>
                <w:lang w:eastAsia="nl-NL"/>
              </w:rPr>
            </w:pPr>
            <w:r>
              <w:rPr>
                <w:rFonts w:eastAsia="Times New Roman" w:cs="Times New Roman"/>
                <w:sz w:val="20"/>
                <w:szCs w:val="20"/>
                <w:lang w:eastAsia="nl-NL"/>
              </w:rPr>
              <w:t>L</w:t>
            </w:r>
            <w:r w:rsidRPr="004C168B">
              <w:rPr>
                <w:rFonts w:eastAsia="Times New Roman" w:cs="Times New Roman"/>
                <w:sz w:val="20"/>
                <w:szCs w:val="20"/>
                <w:lang w:eastAsia="nl-NL"/>
              </w:rPr>
              <w:t xml:space="preserve">ekkage in een leiding van de HF </w:t>
            </w:r>
            <w:proofErr w:type="spellStart"/>
            <w:r w:rsidRPr="004C168B">
              <w:rPr>
                <w:rFonts w:eastAsia="Times New Roman" w:cs="Times New Roman"/>
                <w:sz w:val="20"/>
                <w:szCs w:val="20"/>
                <w:lang w:eastAsia="nl-NL"/>
              </w:rPr>
              <w:t>Alkylatiefabriek</w:t>
            </w:r>
            <w:proofErr w:type="spellEnd"/>
            <w:r w:rsidRPr="004C168B">
              <w:rPr>
                <w:rFonts w:eastAsia="Times New Roman" w:cs="Times New Roman"/>
                <w:sz w:val="20"/>
                <w:szCs w:val="20"/>
                <w:lang w:eastAsia="nl-NL"/>
              </w:rPr>
              <w:t xml:space="preserve">. Binnen enkele minuten na ontdekking van de lekkage is alarm geslagen, waarop de druk van het systeem is geminimaliseerd en waterschermsystemen en andere noodmaatregelen zijn geactiveerd. De lekkage is vervolgens definitief gestopt door het aanbrengen van een klemband. Het incident betrof het vrijkomen van een (geschatte) hoeveelheid gas bestaande uit </w:t>
            </w:r>
            <w:proofErr w:type="spellStart"/>
            <w:r w:rsidRPr="004C168B">
              <w:rPr>
                <w:rFonts w:eastAsia="Times New Roman" w:cs="Times New Roman"/>
                <w:sz w:val="20"/>
                <w:szCs w:val="20"/>
                <w:lang w:eastAsia="nl-NL"/>
              </w:rPr>
              <w:t>butanen</w:t>
            </w:r>
            <w:proofErr w:type="spellEnd"/>
            <w:r w:rsidRPr="004C168B">
              <w:rPr>
                <w:rFonts w:eastAsia="Times New Roman" w:cs="Times New Roman"/>
                <w:sz w:val="20"/>
                <w:szCs w:val="20"/>
                <w:lang w:eastAsia="nl-NL"/>
              </w:rPr>
              <w:t xml:space="preserve"> (ongeveer 350 kg) en waterstoffluoride (90 kg) doordat er ten gevolge van corrosie een gaatje is ontstaan in e</w:t>
            </w:r>
            <w:r w:rsidR="009A293F">
              <w:rPr>
                <w:rFonts w:eastAsia="Times New Roman" w:cs="Times New Roman"/>
                <w:sz w:val="20"/>
                <w:szCs w:val="20"/>
                <w:lang w:eastAsia="nl-NL"/>
              </w:rPr>
              <w:t xml:space="preserve">en leiding behorende tot de HF </w:t>
            </w:r>
            <w:proofErr w:type="spellStart"/>
            <w:r w:rsidR="009A293F">
              <w:rPr>
                <w:rFonts w:eastAsia="Times New Roman" w:cs="Times New Roman"/>
                <w:sz w:val="20"/>
                <w:szCs w:val="20"/>
                <w:lang w:eastAsia="nl-NL"/>
              </w:rPr>
              <w:t>A</w:t>
            </w:r>
            <w:r w:rsidRPr="004C168B">
              <w:rPr>
                <w:rFonts w:eastAsia="Times New Roman" w:cs="Times New Roman"/>
                <w:sz w:val="20"/>
                <w:szCs w:val="20"/>
                <w:lang w:eastAsia="nl-NL"/>
              </w:rPr>
              <w:t>lkylatie</w:t>
            </w:r>
            <w:r w:rsidR="00A05D26">
              <w:rPr>
                <w:rFonts w:eastAsia="Times New Roman" w:cs="Times New Roman"/>
                <w:sz w:val="20"/>
                <w:szCs w:val="20"/>
                <w:lang w:eastAsia="nl-NL"/>
              </w:rPr>
              <w:t>fabriek</w:t>
            </w:r>
            <w:proofErr w:type="spellEnd"/>
            <w:r w:rsidRPr="004C168B">
              <w:rPr>
                <w:rFonts w:eastAsia="Times New Roman" w:cs="Times New Roman"/>
                <w:sz w:val="20"/>
                <w:szCs w:val="20"/>
                <w:lang w:eastAsia="nl-NL"/>
              </w:rPr>
              <w:t xml:space="preserve">. De fabriek </w:t>
            </w:r>
            <w:r w:rsidR="002A21C9">
              <w:rPr>
                <w:rFonts w:eastAsia="Times New Roman" w:cs="Times New Roman"/>
                <w:sz w:val="20"/>
                <w:szCs w:val="20"/>
                <w:lang w:eastAsia="nl-NL"/>
              </w:rPr>
              <w:t xml:space="preserve">was </w:t>
            </w:r>
            <w:r w:rsidRPr="004C168B">
              <w:rPr>
                <w:rFonts w:eastAsia="Times New Roman" w:cs="Times New Roman"/>
                <w:sz w:val="20"/>
                <w:szCs w:val="20"/>
                <w:lang w:eastAsia="nl-NL"/>
              </w:rPr>
              <w:t>nie</w:t>
            </w:r>
            <w:r w:rsidR="009A293F">
              <w:rPr>
                <w:rFonts w:eastAsia="Times New Roman" w:cs="Times New Roman"/>
                <w:sz w:val="20"/>
                <w:szCs w:val="20"/>
                <w:lang w:eastAsia="nl-NL"/>
              </w:rPr>
              <w:t>t in bedrijf vanwege de</w:t>
            </w:r>
            <w:r w:rsidRPr="004C168B">
              <w:rPr>
                <w:rFonts w:eastAsia="Times New Roman" w:cs="Times New Roman"/>
                <w:sz w:val="20"/>
                <w:szCs w:val="20"/>
                <w:lang w:eastAsia="nl-NL"/>
              </w:rPr>
              <w:t xml:space="preserve"> brand in een verdeelstation enkele dagen eerder. </w:t>
            </w:r>
          </w:p>
        </w:tc>
      </w:tr>
      <w:tr w:rsidR="00EC28C4" w:rsidTr="00EC28C4">
        <w:tc>
          <w:tcPr>
            <w:tcW w:w="1325" w:type="dxa"/>
          </w:tcPr>
          <w:p w:rsidR="00EC28C4" w:rsidRDefault="00EC28C4" w:rsidP="00EC28C4">
            <w:pPr>
              <w:rPr>
                <w:b/>
              </w:rPr>
            </w:pPr>
            <w:r>
              <w:rPr>
                <w:b/>
              </w:rPr>
              <w:t>Oorzaak</w:t>
            </w:r>
          </w:p>
        </w:tc>
        <w:tc>
          <w:tcPr>
            <w:tcW w:w="7963" w:type="dxa"/>
          </w:tcPr>
          <w:p w:rsidR="00236B19" w:rsidRDefault="00236B19" w:rsidP="00236B19">
            <w:pPr>
              <w:spacing w:line="284" w:lineRule="exact"/>
              <w:rPr>
                <w:rFonts w:eastAsia="Times New Roman" w:cs="Times New Roman"/>
                <w:sz w:val="20"/>
                <w:szCs w:val="20"/>
                <w:lang w:eastAsia="nl-NL"/>
              </w:rPr>
            </w:pPr>
            <w:r w:rsidRPr="004C168B">
              <w:rPr>
                <w:rFonts w:eastAsia="Times New Roman" w:cs="Times New Roman"/>
                <w:sz w:val="20"/>
                <w:szCs w:val="20"/>
                <w:lang w:eastAsia="nl-NL"/>
              </w:rPr>
              <w:t>Shell heeft onderzoek</w:t>
            </w:r>
            <w:r>
              <w:rPr>
                <w:rFonts w:eastAsia="Times New Roman" w:cs="Times New Roman"/>
                <w:sz w:val="20"/>
                <w:szCs w:val="20"/>
                <w:lang w:eastAsia="nl-NL"/>
              </w:rPr>
              <w:t xml:space="preserve"> uitgevoerd naar de </w:t>
            </w:r>
            <w:r w:rsidRPr="004C168B">
              <w:rPr>
                <w:rFonts w:eastAsia="Times New Roman" w:cs="Times New Roman"/>
                <w:sz w:val="20"/>
                <w:szCs w:val="20"/>
                <w:lang w:eastAsia="nl-NL"/>
              </w:rPr>
              <w:t xml:space="preserve">oorzaken hoe het kon gebeuren dat er een brilflens in verkeerde positie stond, hoe het kon dat er water in de leiding is gekomen en hoe het kon dat dit water zich maar op één plaats bevond. </w:t>
            </w:r>
          </w:p>
          <w:p w:rsidR="00236B19" w:rsidRPr="004C168B" w:rsidRDefault="00236B19" w:rsidP="00236B19">
            <w:pPr>
              <w:spacing w:line="284" w:lineRule="exact"/>
              <w:rPr>
                <w:rFonts w:eastAsia="Times New Roman" w:cs="Times New Roman"/>
                <w:sz w:val="20"/>
                <w:szCs w:val="20"/>
                <w:lang w:eastAsia="nl-NL"/>
              </w:rPr>
            </w:pPr>
          </w:p>
          <w:p w:rsidR="00236B19" w:rsidRPr="004C168B" w:rsidRDefault="00236B19" w:rsidP="00236B19">
            <w:pPr>
              <w:spacing w:line="284" w:lineRule="exact"/>
              <w:rPr>
                <w:rFonts w:eastAsia="Times New Roman" w:cs="Times New Roman"/>
                <w:sz w:val="20"/>
                <w:szCs w:val="20"/>
                <w:lang w:eastAsia="nl-NL"/>
              </w:rPr>
            </w:pPr>
            <w:r w:rsidRPr="004C168B">
              <w:rPr>
                <w:rFonts w:eastAsia="Times New Roman" w:cs="Times New Roman"/>
                <w:sz w:val="20"/>
                <w:szCs w:val="20"/>
                <w:lang w:eastAsia="nl-NL"/>
              </w:rPr>
              <w:t xml:space="preserve">De betrokken leiding behoort normaliter geen butaan en waterstoffluoride te bevatten. Dat dit toch het geval was, kwam doordat een brilflens in een verkeerde (open) positie heeft gestaan. Hierdoor konden er gassen in de leiding komen, die vervolgens ontsnapt zijn door een gaatje in de leiding. De betreffende brilflens is mogelijk in open positie geplaatst na het afpersen van het onderliggende leidingdeel, dat tijdens de onderhoudsstop is vervangen. Vervolgens heeft men bij controle de flens gemist en dus niet gesloten. Voorts bleek dat op de steekflenzenlijst de betreffende brilflens als gesloten stond aangemerkt, terwijl dit niet het geval was. </w:t>
            </w:r>
          </w:p>
          <w:p w:rsidR="00236B19" w:rsidRPr="004C168B" w:rsidRDefault="00236B19" w:rsidP="00236B19">
            <w:pPr>
              <w:spacing w:line="284" w:lineRule="exact"/>
              <w:rPr>
                <w:rFonts w:eastAsia="Times New Roman" w:cs="Times New Roman"/>
                <w:sz w:val="20"/>
                <w:szCs w:val="20"/>
                <w:lang w:eastAsia="nl-NL"/>
              </w:rPr>
            </w:pPr>
          </w:p>
          <w:p w:rsidR="00236B19" w:rsidRPr="004C168B" w:rsidRDefault="00236B19" w:rsidP="00236B19">
            <w:pPr>
              <w:spacing w:line="284" w:lineRule="exact"/>
              <w:rPr>
                <w:rFonts w:eastAsia="Times New Roman" w:cs="Times New Roman"/>
                <w:sz w:val="20"/>
                <w:szCs w:val="20"/>
                <w:lang w:eastAsia="nl-NL"/>
              </w:rPr>
            </w:pPr>
            <w:r w:rsidRPr="004C168B">
              <w:rPr>
                <w:rFonts w:eastAsia="Times New Roman" w:cs="Times New Roman"/>
                <w:sz w:val="20"/>
                <w:szCs w:val="20"/>
                <w:lang w:eastAsia="nl-NL"/>
              </w:rPr>
              <w:t>Het gaatje in de leiding is ontstaan door corrosie die zich had gevormd doordat in dit deel van de leiding water was achtergebleven na werkzaamheden bij de onderhoudsstop van d</w:t>
            </w:r>
            <w:r w:rsidR="009A293F">
              <w:rPr>
                <w:rFonts w:eastAsia="Times New Roman" w:cs="Times New Roman"/>
                <w:sz w:val="20"/>
                <w:szCs w:val="20"/>
                <w:lang w:eastAsia="nl-NL"/>
              </w:rPr>
              <w:t xml:space="preserve">e HF </w:t>
            </w:r>
            <w:proofErr w:type="spellStart"/>
            <w:r w:rsidR="009A293F">
              <w:rPr>
                <w:rFonts w:eastAsia="Times New Roman" w:cs="Times New Roman"/>
                <w:sz w:val="20"/>
                <w:szCs w:val="20"/>
                <w:lang w:eastAsia="nl-NL"/>
              </w:rPr>
              <w:t>A</w:t>
            </w:r>
            <w:r w:rsidRPr="004C168B">
              <w:rPr>
                <w:rFonts w:eastAsia="Times New Roman" w:cs="Times New Roman"/>
                <w:sz w:val="20"/>
                <w:szCs w:val="20"/>
                <w:lang w:eastAsia="nl-NL"/>
              </w:rPr>
              <w:t>lkylatie</w:t>
            </w:r>
            <w:r w:rsidR="002A21C9">
              <w:rPr>
                <w:rFonts w:eastAsia="Times New Roman" w:cs="Times New Roman"/>
                <w:sz w:val="20"/>
                <w:szCs w:val="20"/>
                <w:lang w:eastAsia="nl-NL"/>
              </w:rPr>
              <w:t>fabriek</w:t>
            </w:r>
            <w:proofErr w:type="spellEnd"/>
            <w:r w:rsidRPr="004C168B">
              <w:rPr>
                <w:rFonts w:eastAsia="Times New Roman" w:cs="Times New Roman"/>
                <w:sz w:val="20"/>
                <w:szCs w:val="20"/>
                <w:lang w:eastAsia="nl-NL"/>
              </w:rPr>
              <w:t>, eind 2014. Dit water, in combinatie met het waterstoffluoride, is zeer agressief en heeft zich een weg door de leidingwand gevreten. De leidingwand is op</w:t>
            </w:r>
            <w:r w:rsidR="009A293F">
              <w:rPr>
                <w:rFonts w:eastAsia="Times New Roman" w:cs="Times New Roman"/>
                <w:sz w:val="20"/>
                <w:szCs w:val="20"/>
                <w:lang w:eastAsia="nl-NL"/>
              </w:rPr>
              <w:t xml:space="preserve"> de betreffende plek zo dun </w:t>
            </w:r>
            <w:r w:rsidRPr="004C168B">
              <w:rPr>
                <w:rFonts w:eastAsia="Times New Roman" w:cs="Times New Roman"/>
                <w:sz w:val="20"/>
                <w:szCs w:val="20"/>
                <w:lang w:eastAsia="nl-NL"/>
              </w:rPr>
              <w:t>geworden dat deze de inwendige druk niet kon weerstaan en op deze plek opensprong.</w:t>
            </w:r>
          </w:p>
          <w:p w:rsidR="00236B19" w:rsidRPr="004C168B" w:rsidRDefault="00236B19" w:rsidP="00236B19">
            <w:pPr>
              <w:spacing w:line="284" w:lineRule="exact"/>
              <w:rPr>
                <w:rFonts w:eastAsia="Times New Roman" w:cs="Times New Roman"/>
                <w:sz w:val="20"/>
                <w:szCs w:val="20"/>
                <w:lang w:eastAsia="nl-NL"/>
              </w:rPr>
            </w:pPr>
          </w:p>
          <w:p w:rsidR="00236B19" w:rsidRDefault="00236B19" w:rsidP="00236B19">
            <w:pPr>
              <w:spacing w:line="284" w:lineRule="exact"/>
              <w:rPr>
                <w:rFonts w:eastAsia="Times New Roman" w:cs="Times New Roman"/>
                <w:sz w:val="20"/>
                <w:szCs w:val="20"/>
                <w:lang w:eastAsia="nl-NL"/>
              </w:rPr>
            </w:pPr>
            <w:r w:rsidRPr="004C168B">
              <w:rPr>
                <w:rFonts w:eastAsia="Times New Roman" w:cs="Times New Roman"/>
                <w:sz w:val="20"/>
                <w:szCs w:val="20"/>
                <w:lang w:eastAsia="nl-NL"/>
              </w:rPr>
              <w:t xml:space="preserve">Er zijn diverse mogelijkheden bekeken waar water vandaan kon komen tijdens het in bedrijf zijn van de installaties. Uit de reconstructie van de onderhoudsstop 2014 is gebleken dat er water in de betreffende leiding is achtergebleven na reiniging en het niet goed uitvoeren van een tweede verwijder- en droogstap. Omdat de leiding onder licht afschot lag voor een stijgende bocht, kon er water achterblijven. </w:t>
            </w:r>
          </w:p>
          <w:p w:rsidR="00236B19" w:rsidRPr="004C168B" w:rsidRDefault="00236B19" w:rsidP="00236B19">
            <w:pPr>
              <w:spacing w:line="284" w:lineRule="exact"/>
              <w:rPr>
                <w:rFonts w:eastAsia="Times New Roman" w:cs="Times New Roman"/>
                <w:sz w:val="20"/>
                <w:szCs w:val="20"/>
                <w:lang w:eastAsia="nl-NL"/>
              </w:rPr>
            </w:pPr>
          </w:p>
          <w:p w:rsidR="00EC28C4" w:rsidRPr="004C168B" w:rsidRDefault="00EC28C4" w:rsidP="00EC28C4">
            <w:pPr>
              <w:spacing w:line="284" w:lineRule="exact"/>
              <w:rPr>
                <w:rFonts w:eastAsia="Times New Roman" w:cs="Times New Roman"/>
                <w:sz w:val="20"/>
                <w:szCs w:val="20"/>
                <w:lang w:eastAsia="nl-NL"/>
              </w:rPr>
            </w:pPr>
            <w:r>
              <w:rPr>
                <w:rFonts w:eastAsia="Times New Roman" w:cs="Times New Roman"/>
                <w:sz w:val="20"/>
                <w:szCs w:val="20"/>
                <w:lang w:eastAsia="nl-NL"/>
              </w:rPr>
              <w:t>Kort: d</w:t>
            </w:r>
            <w:r w:rsidRPr="004C168B">
              <w:rPr>
                <w:rFonts w:eastAsia="Times New Roman" w:cs="Times New Roman"/>
                <w:sz w:val="20"/>
                <w:szCs w:val="20"/>
                <w:lang w:eastAsia="nl-NL"/>
              </w:rPr>
              <w:t>e oorzaken van het incident zijn drieledig:</w:t>
            </w:r>
          </w:p>
          <w:p w:rsidR="00EC28C4" w:rsidRPr="004C168B" w:rsidRDefault="00EC28C4" w:rsidP="00EC28C4">
            <w:pPr>
              <w:numPr>
                <w:ilvl w:val="0"/>
                <w:numId w:val="4"/>
              </w:numPr>
              <w:spacing w:line="284" w:lineRule="exact"/>
              <w:contextualSpacing/>
              <w:rPr>
                <w:rFonts w:eastAsia="Calibri"/>
                <w:sz w:val="20"/>
                <w:szCs w:val="20"/>
              </w:rPr>
            </w:pPr>
            <w:r w:rsidRPr="004C168B">
              <w:rPr>
                <w:rFonts w:eastAsia="Calibri"/>
                <w:sz w:val="20"/>
                <w:szCs w:val="20"/>
              </w:rPr>
              <w:t>De bypass leiding waarin een restant water is achtergebleven;</w:t>
            </w:r>
          </w:p>
          <w:p w:rsidR="00EC28C4" w:rsidRPr="004C168B" w:rsidRDefault="00EC28C4" w:rsidP="00EC28C4">
            <w:pPr>
              <w:numPr>
                <w:ilvl w:val="0"/>
                <w:numId w:val="4"/>
              </w:numPr>
              <w:spacing w:line="284" w:lineRule="exact"/>
              <w:contextualSpacing/>
              <w:rPr>
                <w:rFonts w:eastAsia="Calibri"/>
                <w:sz w:val="20"/>
                <w:szCs w:val="20"/>
              </w:rPr>
            </w:pPr>
            <w:r w:rsidRPr="004C168B">
              <w:rPr>
                <w:rFonts w:eastAsia="Calibri"/>
                <w:sz w:val="20"/>
                <w:szCs w:val="20"/>
              </w:rPr>
              <w:t xml:space="preserve">De openstaande brilflens </w:t>
            </w:r>
            <w:r w:rsidR="009A293F">
              <w:rPr>
                <w:rFonts w:eastAsia="Calibri"/>
                <w:sz w:val="20"/>
                <w:szCs w:val="20"/>
              </w:rPr>
              <w:t xml:space="preserve">die gesloten had moeten zijn; </w:t>
            </w:r>
          </w:p>
          <w:p w:rsidR="00EC28C4" w:rsidRPr="009A293F" w:rsidRDefault="00EC28C4" w:rsidP="00EC28C4">
            <w:pPr>
              <w:numPr>
                <w:ilvl w:val="0"/>
                <w:numId w:val="4"/>
              </w:numPr>
              <w:spacing w:line="284" w:lineRule="exact"/>
              <w:contextualSpacing/>
              <w:rPr>
                <w:rFonts w:eastAsia="Calibri"/>
                <w:sz w:val="20"/>
                <w:szCs w:val="20"/>
              </w:rPr>
            </w:pPr>
            <w:r w:rsidRPr="004C168B">
              <w:rPr>
                <w:rFonts w:eastAsia="Calibri"/>
                <w:sz w:val="20"/>
                <w:szCs w:val="20"/>
              </w:rPr>
              <w:t>Het op afschot liggen van de leiding, waardoor wate</w:t>
            </w:r>
            <w:r w:rsidR="009A293F">
              <w:rPr>
                <w:rFonts w:eastAsia="Calibri"/>
                <w:sz w:val="20"/>
                <w:szCs w:val="20"/>
              </w:rPr>
              <w:t xml:space="preserve">r zich op het laagste punt </w:t>
            </w:r>
            <w:r w:rsidRPr="004C168B">
              <w:rPr>
                <w:rFonts w:eastAsia="Calibri"/>
                <w:sz w:val="20"/>
                <w:szCs w:val="20"/>
              </w:rPr>
              <w:t xml:space="preserve"> verzameld</w:t>
            </w:r>
            <w:r w:rsidR="009A293F">
              <w:rPr>
                <w:rFonts w:eastAsia="Calibri"/>
                <w:sz w:val="20"/>
                <w:szCs w:val="20"/>
              </w:rPr>
              <w:t>e</w:t>
            </w:r>
            <w:r w:rsidRPr="004C168B">
              <w:rPr>
                <w:rFonts w:eastAsia="Calibri"/>
                <w:sz w:val="20"/>
                <w:szCs w:val="20"/>
              </w:rPr>
              <w:t>.</w:t>
            </w:r>
          </w:p>
        </w:tc>
      </w:tr>
      <w:tr w:rsidR="00EC28C4" w:rsidTr="00EC28C4">
        <w:tc>
          <w:tcPr>
            <w:tcW w:w="1325" w:type="dxa"/>
          </w:tcPr>
          <w:p w:rsidR="00EC28C4" w:rsidRDefault="00EC28C4" w:rsidP="00EC28C4">
            <w:pPr>
              <w:rPr>
                <w:b/>
              </w:rPr>
            </w:pPr>
            <w:r>
              <w:rPr>
                <w:b/>
              </w:rPr>
              <w:t>Beoordeling rapportage</w:t>
            </w:r>
            <w:r w:rsidR="00DA59AB">
              <w:rPr>
                <w:b/>
              </w:rPr>
              <w:t xml:space="preserve"> door DCMR</w:t>
            </w:r>
          </w:p>
        </w:tc>
        <w:tc>
          <w:tcPr>
            <w:tcW w:w="7963" w:type="dxa"/>
          </w:tcPr>
          <w:p w:rsidR="00236B19" w:rsidRPr="004C168B" w:rsidRDefault="00EC28C4" w:rsidP="00236B19">
            <w:pPr>
              <w:spacing w:line="284" w:lineRule="exact"/>
              <w:rPr>
                <w:rFonts w:eastAsia="Times New Roman" w:cs="Times New Roman"/>
                <w:szCs w:val="19"/>
                <w:lang w:eastAsia="nl-NL"/>
              </w:rPr>
            </w:pPr>
            <w:r w:rsidRPr="004C168B">
              <w:rPr>
                <w:rFonts w:eastAsia="Times New Roman" w:cs="Times New Roman"/>
                <w:szCs w:val="19"/>
                <w:lang w:eastAsia="nl-NL"/>
              </w:rPr>
              <w:t>Het onderzoekrapport is duidelijk en het onderzoek is diepgaand uitgevoerd. Hieruit blijkt dat Shell de basisoorzaken in beeld heeft gebracht. Maatregelen ter voorkoming van herhaling zijn en kunnen op basis van het onderzoek worden genomen.</w:t>
            </w:r>
          </w:p>
        </w:tc>
      </w:tr>
      <w:tr w:rsidR="00EC28C4" w:rsidTr="00EC28C4">
        <w:tc>
          <w:tcPr>
            <w:tcW w:w="1325" w:type="dxa"/>
          </w:tcPr>
          <w:p w:rsidR="00EC28C4" w:rsidRDefault="00EC28C4" w:rsidP="00EC28C4">
            <w:pPr>
              <w:rPr>
                <w:b/>
              </w:rPr>
            </w:pPr>
            <w:r>
              <w:rPr>
                <w:b/>
              </w:rPr>
              <w:t>Maatregelen bedrijf</w:t>
            </w:r>
          </w:p>
        </w:tc>
        <w:tc>
          <w:tcPr>
            <w:tcW w:w="7963" w:type="dxa"/>
          </w:tcPr>
          <w:p w:rsidR="00EC28C4" w:rsidRPr="004C168B" w:rsidRDefault="00236B19" w:rsidP="00EC28C4">
            <w:pPr>
              <w:spacing w:line="284" w:lineRule="exact"/>
              <w:rPr>
                <w:rFonts w:eastAsia="Times New Roman" w:cs="Times New Roman"/>
                <w:sz w:val="20"/>
                <w:szCs w:val="20"/>
                <w:lang w:eastAsia="nl-NL"/>
              </w:rPr>
            </w:pPr>
            <w:r>
              <w:rPr>
                <w:rFonts w:eastAsia="Times New Roman" w:cs="Times New Roman"/>
                <w:sz w:val="20"/>
                <w:szCs w:val="20"/>
                <w:lang w:eastAsia="nl-NL"/>
              </w:rPr>
              <w:t xml:space="preserve">Genomen maatregelen </w:t>
            </w:r>
            <w:r w:rsidR="00EC28C4" w:rsidRPr="004C168B">
              <w:rPr>
                <w:rFonts w:eastAsia="Times New Roman" w:cs="Times New Roman"/>
                <w:sz w:val="20"/>
                <w:szCs w:val="20"/>
                <w:lang w:eastAsia="nl-NL"/>
              </w:rPr>
              <w:t>door Shell voor herstarten</w:t>
            </w:r>
            <w:r>
              <w:rPr>
                <w:rFonts w:eastAsia="Times New Roman" w:cs="Times New Roman"/>
                <w:sz w:val="20"/>
                <w:szCs w:val="20"/>
                <w:lang w:eastAsia="nl-NL"/>
              </w:rPr>
              <w:t>:</w:t>
            </w:r>
          </w:p>
          <w:p w:rsidR="00EC28C4" w:rsidRPr="004C168B" w:rsidRDefault="00EC28C4" w:rsidP="00EC28C4">
            <w:pPr>
              <w:numPr>
                <w:ilvl w:val="0"/>
                <w:numId w:val="5"/>
              </w:numPr>
              <w:spacing w:line="284" w:lineRule="exact"/>
              <w:contextualSpacing/>
              <w:rPr>
                <w:rFonts w:eastAsia="Calibri"/>
                <w:sz w:val="20"/>
                <w:szCs w:val="20"/>
              </w:rPr>
            </w:pPr>
            <w:r w:rsidRPr="004C168B">
              <w:rPr>
                <w:rFonts w:eastAsia="Calibri"/>
                <w:sz w:val="20"/>
                <w:szCs w:val="20"/>
              </w:rPr>
              <w:t xml:space="preserve">Verwijderen van de bypass leiding van de kolom C6301 </w:t>
            </w:r>
          </w:p>
          <w:p w:rsidR="00EC28C4" w:rsidRPr="004C168B" w:rsidRDefault="00EC28C4" w:rsidP="00EC28C4">
            <w:pPr>
              <w:numPr>
                <w:ilvl w:val="0"/>
                <w:numId w:val="5"/>
              </w:numPr>
              <w:spacing w:line="284" w:lineRule="exact"/>
              <w:contextualSpacing/>
              <w:rPr>
                <w:rFonts w:eastAsia="Calibri"/>
                <w:sz w:val="20"/>
                <w:szCs w:val="20"/>
              </w:rPr>
            </w:pPr>
            <w:r w:rsidRPr="004C168B">
              <w:rPr>
                <w:rFonts w:eastAsia="Calibri"/>
                <w:sz w:val="20"/>
                <w:szCs w:val="20"/>
              </w:rPr>
              <w:t xml:space="preserve">Uitgebreide check op de staat van de installaties zoals aanwezigheid van </w:t>
            </w:r>
            <w:r w:rsidRPr="004C168B">
              <w:rPr>
                <w:rFonts w:eastAsia="Calibri"/>
                <w:sz w:val="20"/>
                <w:szCs w:val="20"/>
              </w:rPr>
              <w:lastRenderedPageBreak/>
              <w:t xml:space="preserve">corrosie en mate van corrosie en het vervangen van twee mogelijk doorlatende afsluiters. </w:t>
            </w:r>
          </w:p>
          <w:p w:rsidR="00EC28C4" w:rsidRPr="004C168B" w:rsidRDefault="00EC28C4" w:rsidP="00EC28C4">
            <w:pPr>
              <w:numPr>
                <w:ilvl w:val="0"/>
                <w:numId w:val="5"/>
              </w:numPr>
              <w:spacing w:line="284" w:lineRule="exact"/>
              <w:contextualSpacing/>
              <w:rPr>
                <w:rFonts w:eastAsia="Calibri"/>
                <w:sz w:val="20"/>
                <w:szCs w:val="20"/>
              </w:rPr>
            </w:pPr>
            <w:r w:rsidRPr="004C168B">
              <w:rPr>
                <w:rFonts w:eastAsia="Calibri"/>
                <w:sz w:val="20"/>
                <w:szCs w:val="20"/>
              </w:rPr>
              <w:t xml:space="preserve">Het uitvoeren van een prestart-up </w:t>
            </w:r>
            <w:proofErr w:type="spellStart"/>
            <w:r w:rsidRPr="004C168B">
              <w:rPr>
                <w:rFonts w:eastAsia="Calibri"/>
                <w:sz w:val="20"/>
                <w:szCs w:val="20"/>
              </w:rPr>
              <w:t>safety</w:t>
            </w:r>
            <w:proofErr w:type="spellEnd"/>
            <w:r w:rsidRPr="004C168B">
              <w:rPr>
                <w:rFonts w:eastAsia="Calibri"/>
                <w:sz w:val="20"/>
                <w:szCs w:val="20"/>
              </w:rPr>
              <w:t xml:space="preserve"> review en een statement of fitness beoordeling van instrumentatie, </w:t>
            </w:r>
            <w:proofErr w:type="spellStart"/>
            <w:r w:rsidRPr="004C168B">
              <w:rPr>
                <w:rFonts w:eastAsia="Calibri"/>
                <w:sz w:val="20"/>
                <w:szCs w:val="20"/>
              </w:rPr>
              <w:t>electrical</w:t>
            </w:r>
            <w:proofErr w:type="spellEnd"/>
            <w:r w:rsidRPr="004C168B">
              <w:rPr>
                <w:rFonts w:eastAsia="Calibri"/>
                <w:sz w:val="20"/>
                <w:szCs w:val="20"/>
              </w:rPr>
              <w:t xml:space="preserve"> en </w:t>
            </w:r>
            <w:proofErr w:type="spellStart"/>
            <w:r w:rsidRPr="004C168B">
              <w:rPr>
                <w:rFonts w:eastAsia="Calibri"/>
                <w:sz w:val="20"/>
                <w:szCs w:val="20"/>
              </w:rPr>
              <w:t>rotating</w:t>
            </w:r>
            <w:proofErr w:type="spellEnd"/>
            <w:r w:rsidRPr="004C168B">
              <w:rPr>
                <w:rFonts w:eastAsia="Calibri"/>
                <w:sz w:val="20"/>
                <w:szCs w:val="20"/>
              </w:rPr>
              <w:t xml:space="preserve"> en </w:t>
            </w:r>
            <w:proofErr w:type="spellStart"/>
            <w:r w:rsidRPr="004C168B">
              <w:rPr>
                <w:rFonts w:eastAsia="Calibri"/>
                <w:sz w:val="20"/>
                <w:szCs w:val="20"/>
              </w:rPr>
              <w:t>static</w:t>
            </w:r>
            <w:proofErr w:type="spellEnd"/>
            <w:r w:rsidRPr="004C168B">
              <w:rPr>
                <w:rFonts w:eastAsia="Calibri"/>
                <w:sz w:val="20"/>
                <w:szCs w:val="20"/>
              </w:rPr>
              <w:t xml:space="preserve"> equipment.</w:t>
            </w:r>
          </w:p>
          <w:p w:rsidR="00EC28C4" w:rsidRPr="004C168B" w:rsidRDefault="00EC28C4" w:rsidP="00EC28C4">
            <w:pPr>
              <w:spacing w:line="284" w:lineRule="exact"/>
              <w:rPr>
                <w:rFonts w:eastAsia="Times New Roman" w:cs="Times New Roman"/>
                <w:sz w:val="20"/>
                <w:szCs w:val="20"/>
                <w:lang w:eastAsia="nl-NL"/>
              </w:rPr>
            </w:pPr>
            <w:r w:rsidRPr="004C168B">
              <w:rPr>
                <w:rFonts w:eastAsia="Times New Roman" w:cs="Times New Roman"/>
                <w:sz w:val="20"/>
                <w:szCs w:val="20"/>
                <w:lang w:eastAsia="nl-NL"/>
              </w:rPr>
              <w:t xml:space="preserve"> </w:t>
            </w:r>
          </w:p>
          <w:p w:rsidR="00EC28C4" w:rsidRPr="004C168B" w:rsidRDefault="00C578A1" w:rsidP="00EC28C4">
            <w:pPr>
              <w:spacing w:line="284" w:lineRule="exact"/>
              <w:rPr>
                <w:rFonts w:eastAsia="Times New Roman" w:cs="Times New Roman"/>
                <w:sz w:val="20"/>
                <w:szCs w:val="20"/>
                <w:lang w:eastAsia="nl-NL"/>
              </w:rPr>
            </w:pPr>
            <w:r>
              <w:rPr>
                <w:rFonts w:eastAsia="Times New Roman" w:cs="Times New Roman"/>
                <w:sz w:val="20"/>
                <w:szCs w:val="20"/>
                <w:lang w:eastAsia="nl-NL"/>
              </w:rPr>
              <w:t>M</w:t>
            </w:r>
            <w:r w:rsidR="00EC28C4" w:rsidRPr="004C168B">
              <w:rPr>
                <w:rFonts w:eastAsia="Times New Roman" w:cs="Times New Roman"/>
                <w:sz w:val="20"/>
                <w:szCs w:val="20"/>
                <w:lang w:eastAsia="nl-NL"/>
              </w:rPr>
              <w:t xml:space="preserve">aatregelen </w:t>
            </w:r>
            <w:r w:rsidRPr="004C168B">
              <w:rPr>
                <w:rFonts w:eastAsia="Times New Roman" w:cs="Times New Roman"/>
                <w:sz w:val="20"/>
                <w:szCs w:val="20"/>
                <w:lang w:eastAsia="nl-NL"/>
              </w:rPr>
              <w:t>voor de herstart</w:t>
            </w:r>
            <w:r>
              <w:rPr>
                <w:rFonts w:eastAsia="Times New Roman" w:cs="Times New Roman"/>
                <w:sz w:val="20"/>
                <w:szCs w:val="20"/>
                <w:lang w:eastAsia="nl-NL"/>
              </w:rPr>
              <w:t xml:space="preserve"> </w:t>
            </w:r>
            <w:r w:rsidR="00236B19">
              <w:rPr>
                <w:rFonts w:eastAsia="Times New Roman" w:cs="Times New Roman"/>
                <w:sz w:val="20"/>
                <w:szCs w:val="20"/>
                <w:lang w:eastAsia="nl-NL"/>
              </w:rPr>
              <w:t xml:space="preserve">zijn door DCMR </w:t>
            </w:r>
            <w:r w:rsidR="00EC28C4" w:rsidRPr="004C168B">
              <w:rPr>
                <w:rFonts w:eastAsia="Times New Roman" w:cs="Times New Roman"/>
                <w:sz w:val="20"/>
                <w:szCs w:val="20"/>
                <w:lang w:eastAsia="nl-NL"/>
              </w:rPr>
              <w:t>geverifieerd.</w:t>
            </w:r>
          </w:p>
          <w:p w:rsidR="00EC28C4" w:rsidRPr="004C168B" w:rsidRDefault="00EC28C4" w:rsidP="00EC28C4">
            <w:pPr>
              <w:spacing w:line="284" w:lineRule="exact"/>
              <w:rPr>
                <w:rFonts w:eastAsia="Times New Roman" w:cs="Times New Roman"/>
                <w:sz w:val="20"/>
                <w:szCs w:val="20"/>
                <w:u w:val="single"/>
                <w:lang w:eastAsia="nl-NL"/>
              </w:rPr>
            </w:pPr>
          </w:p>
          <w:p w:rsidR="00EC28C4" w:rsidRPr="004C168B" w:rsidRDefault="00EC28C4" w:rsidP="00EC28C4">
            <w:pPr>
              <w:spacing w:line="284" w:lineRule="exact"/>
              <w:rPr>
                <w:rFonts w:eastAsia="Times New Roman" w:cs="Times New Roman"/>
                <w:sz w:val="20"/>
                <w:szCs w:val="20"/>
                <w:lang w:eastAsia="nl-NL"/>
              </w:rPr>
            </w:pPr>
            <w:r w:rsidRPr="004C168B">
              <w:rPr>
                <w:rFonts w:eastAsia="Times New Roman" w:cs="Times New Roman"/>
                <w:sz w:val="20"/>
                <w:szCs w:val="20"/>
                <w:lang w:eastAsia="nl-NL"/>
              </w:rPr>
              <w:t>Aanvullende door Shell geformuleerde</w:t>
            </w:r>
            <w:r w:rsidR="00236B19" w:rsidRPr="00236B19">
              <w:rPr>
                <w:rFonts w:eastAsia="Times New Roman" w:cs="Times New Roman"/>
                <w:sz w:val="20"/>
                <w:szCs w:val="20"/>
                <w:lang w:eastAsia="nl-NL"/>
              </w:rPr>
              <w:t xml:space="preserve"> maatregelen: </w:t>
            </w:r>
          </w:p>
          <w:p w:rsidR="00EC28C4" w:rsidRPr="004C168B" w:rsidRDefault="00EC28C4" w:rsidP="00EC28C4">
            <w:pPr>
              <w:numPr>
                <w:ilvl w:val="0"/>
                <w:numId w:val="6"/>
              </w:numPr>
              <w:spacing w:line="284" w:lineRule="exact"/>
              <w:contextualSpacing/>
              <w:rPr>
                <w:rFonts w:eastAsia="Calibri"/>
              </w:rPr>
            </w:pPr>
            <w:r w:rsidRPr="004C168B">
              <w:rPr>
                <w:rFonts w:eastAsia="Calibri"/>
              </w:rPr>
              <w:t xml:space="preserve">Implementeer binnen de HF </w:t>
            </w:r>
            <w:proofErr w:type="spellStart"/>
            <w:r w:rsidRPr="004C168B">
              <w:rPr>
                <w:rFonts w:eastAsia="Calibri"/>
              </w:rPr>
              <w:t>Alkylatie</w:t>
            </w:r>
            <w:proofErr w:type="spellEnd"/>
            <w:r w:rsidRPr="004C168B">
              <w:rPr>
                <w:rFonts w:eastAsia="Calibri"/>
              </w:rPr>
              <w:t xml:space="preserve"> fabriek een wederkerende controle op de stand van </w:t>
            </w:r>
            <w:proofErr w:type="spellStart"/>
            <w:r w:rsidRPr="004C168B">
              <w:rPr>
                <w:rFonts w:eastAsia="Calibri"/>
              </w:rPr>
              <w:t>veiligheidskritische</w:t>
            </w:r>
            <w:proofErr w:type="spellEnd"/>
            <w:r w:rsidRPr="004C168B">
              <w:rPr>
                <w:rFonts w:eastAsia="Calibri"/>
              </w:rPr>
              <w:t xml:space="preserve"> brilflenzen.</w:t>
            </w:r>
          </w:p>
          <w:p w:rsidR="00EC28C4" w:rsidRPr="004C168B" w:rsidRDefault="00EC28C4" w:rsidP="00EC28C4">
            <w:pPr>
              <w:numPr>
                <w:ilvl w:val="0"/>
                <w:numId w:val="6"/>
              </w:numPr>
              <w:spacing w:line="284" w:lineRule="exact"/>
              <w:contextualSpacing/>
              <w:rPr>
                <w:rFonts w:eastAsia="Calibri"/>
              </w:rPr>
            </w:pPr>
            <w:r w:rsidRPr="004C168B">
              <w:rPr>
                <w:rFonts w:eastAsia="Calibri"/>
              </w:rPr>
              <w:t xml:space="preserve">Review de droogprocedure van de fakkelleidingen en procesleidingen in zuursysteem tijdens en ná de </w:t>
            </w:r>
            <w:proofErr w:type="spellStart"/>
            <w:r w:rsidRPr="004C168B">
              <w:rPr>
                <w:rFonts w:eastAsia="Calibri"/>
              </w:rPr>
              <w:t>turnaround</w:t>
            </w:r>
            <w:proofErr w:type="spellEnd"/>
            <w:r w:rsidRPr="004C168B">
              <w:rPr>
                <w:rFonts w:eastAsia="Calibri"/>
              </w:rPr>
              <w:t>, met name betreffende dead-</w:t>
            </w:r>
            <w:proofErr w:type="spellStart"/>
            <w:r w:rsidRPr="004C168B">
              <w:rPr>
                <w:rFonts w:eastAsia="Calibri"/>
              </w:rPr>
              <w:t>ends</w:t>
            </w:r>
            <w:proofErr w:type="spellEnd"/>
            <w:r w:rsidRPr="004C168B">
              <w:rPr>
                <w:rFonts w:eastAsia="Calibri"/>
              </w:rPr>
              <w:t xml:space="preserve">. Aanbevelingen uit de review dienen in de procedures/ werkinstructies van de HF </w:t>
            </w:r>
            <w:proofErr w:type="spellStart"/>
            <w:r w:rsidRPr="004C168B">
              <w:rPr>
                <w:rFonts w:eastAsia="Calibri"/>
              </w:rPr>
              <w:t>Alkylatie</w:t>
            </w:r>
            <w:proofErr w:type="spellEnd"/>
            <w:r w:rsidRPr="004C168B">
              <w:rPr>
                <w:rFonts w:eastAsia="Calibri"/>
              </w:rPr>
              <w:t xml:space="preserve"> TA/2019 toegepast te worden. </w:t>
            </w:r>
          </w:p>
          <w:p w:rsidR="00EC28C4" w:rsidRPr="004C168B" w:rsidRDefault="00EC28C4" w:rsidP="00EC28C4">
            <w:pPr>
              <w:numPr>
                <w:ilvl w:val="0"/>
                <w:numId w:val="6"/>
              </w:numPr>
              <w:spacing w:line="284" w:lineRule="exact"/>
              <w:contextualSpacing/>
              <w:rPr>
                <w:rFonts w:eastAsia="Calibri"/>
              </w:rPr>
            </w:pPr>
            <w:r w:rsidRPr="004C168B">
              <w:rPr>
                <w:rFonts w:eastAsia="Calibri"/>
              </w:rPr>
              <w:t xml:space="preserve">Stel een procedure op voor persingen met water in het zure gedeelte van de HF </w:t>
            </w:r>
            <w:proofErr w:type="spellStart"/>
            <w:r w:rsidRPr="004C168B">
              <w:rPr>
                <w:rFonts w:eastAsia="Calibri"/>
              </w:rPr>
              <w:t>Alkylatie</w:t>
            </w:r>
            <w:proofErr w:type="spellEnd"/>
            <w:r w:rsidRPr="004C168B">
              <w:rPr>
                <w:rFonts w:eastAsia="Calibri"/>
              </w:rPr>
              <w:t xml:space="preserve"> fabriek. Stel zeker dat er geen water achter blijft na de persingen.</w:t>
            </w:r>
          </w:p>
          <w:p w:rsidR="00EC28C4" w:rsidRPr="004C168B" w:rsidRDefault="00EC28C4" w:rsidP="00EC28C4">
            <w:pPr>
              <w:numPr>
                <w:ilvl w:val="0"/>
                <w:numId w:val="6"/>
              </w:numPr>
              <w:spacing w:line="284" w:lineRule="exact"/>
              <w:contextualSpacing/>
              <w:rPr>
                <w:rFonts w:eastAsia="Calibri"/>
              </w:rPr>
            </w:pPr>
            <w:r w:rsidRPr="004C168B">
              <w:rPr>
                <w:rFonts w:eastAsia="Calibri"/>
              </w:rPr>
              <w:t xml:space="preserve">Verbeter de werkwijze en documentatie van de steek- brilflenzen in </w:t>
            </w:r>
            <w:proofErr w:type="spellStart"/>
            <w:r w:rsidRPr="004C168B">
              <w:rPr>
                <w:rFonts w:eastAsia="Calibri"/>
              </w:rPr>
              <w:t>turnarounds</w:t>
            </w:r>
            <w:proofErr w:type="spellEnd"/>
            <w:r w:rsidRPr="004C168B">
              <w:rPr>
                <w:rFonts w:eastAsia="Calibri"/>
              </w:rPr>
              <w:t xml:space="preserve"> op Shell Pernis waarbij zeker gesteld wordt dat de persoon die de controle in het veld uitvoert degene is die deze controle documenteert op de steekflenzenlijst.</w:t>
            </w:r>
          </w:p>
          <w:p w:rsidR="00EC28C4" w:rsidRPr="004C168B" w:rsidRDefault="00EC28C4" w:rsidP="00EC28C4">
            <w:pPr>
              <w:numPr>
                <w:ilvl w:val="0"/>
                <w:numId w:val="6"/>
              </w:numPr>
              <w:spacing w:line="284" w:lineRule="exact"/>
              <w:contextualSpacing/>
              <w:rPr>
                <w:rFonts w:eastAsia="Calibri"/>
              </w:rPr>
            </w:pPr>
            <w:r w:rsidRPr="004C168B">
              <w:rPr>
                <w:rFonts w:eastAsia="Calibri"/>
              </w:rPr>
              <w:t xml:space="preserve">Verbeter de werkwijze en documentatie van de PEFS-checks na </w:t>
            </w:r>
            <w:proofErr w:type="spellStart"/>
            <w:r w:rsidRPr="004C168B">
              <w:rPr>
                <w:rFonts w:eastAsia="Calibri"/>
              </w:rPr>
              <w:t>turnarounds</w:t>
            </w:r>
            <w:proofErr w:type="spellEnd"/>
            <w:r w:rsidRPr="004C168B">
              <w:rPr>
                <w:rFonts w:eastAsia="Calibri"/>
              </w:rPr>
              <w:t xml:space="preserve"> op Shell Pernis waarbij een consistente werkwijze wordt geïmplementeerd</w:t>
            </w:r>
          </w:p>
          <w:p w:rsidR="00EC28C4" w:rsidRPr="004C168B" w:rsidRDefault="00EC28C4" w:rsidP="00EC28C4">
            <w:pPr>
              <w:numPr>
                <w:ilvl w:val="0"/>
                <w:numId w:val="6"/>
              </w:numPr>
              <w:spacing w:line="284" w:lineRule="exact"/>
              <w:contextualSpacing/>
              <w:rPr>
                <w:rFonts w:eastAsia="Calibri"/>
              </w:rPr>
            </w:pPr>
            <w:r w:rsidRPr="004C168B">
              <w:rPr>
                <w:rFonts w:eastAsia="Calibri"/>
              </w:rPr>
              <w:t xml:space="preserve">Controleer niet op gewenst afschot liggende leidingen in het zuurfakkelsysteem van de HF </w:t>
            </w:r>
            <w:proofErr w:type="spellStart"/>
            <w:r w:rsidRPr="004C168B">
              <w:rPr>
                <w:rFonts w:eastAsia="Calibri"/>
              </w:rPr>
              <w:t>Alkylatie</w:t>
            </w:r>
            <w:proofErr w:type="spellEnd"/>
            <w:r w:rsidRPr="004C168B">
              <w:rPr>
                <w:rFonts w:eastAsia="Calibri"/>
              </w:rPr>
              <w:t xml:space="preserve"> fabriek. Initieer waar nodig </w:t>
            </w:r>
            <w:proofErr w:type="spellStart"/>
            <w:r w:rsidRPr="004C168B">
              <w:rPr>
                <w:rFonts w:eastAsia="Calibri"/>
              </w:rPr>
              <w:t>CAIR’s</w:t>
            </w:r>
            <w:proofErr w:type="spellEnd"/>
            <w:r w:rsidRPr="004C168B">
              <w:rPr>
                <w:rFonts w:eastAsia="Calibri"/>
              </w:rPr>
              <w:t xml:space="preserve"> (aanpassing voorstellen) ter implementatie in de </w:t>
            </w:r>
            <w:proofErr w:type="spellStart"/>
            <w:r w:rsidRPr="004C168B">
              <w:rPr>
                <w:rFonts w:eastAsia="Calibri"/>
              </w:rPr>
              <w:t>Turnarounds</w:t>
            </w:r>
            <w:proofErr w:type="spellEnd"/>
            <w:r w:rsidRPr="004C168B">
              <w:rPr>
                <w:rFonts w:eastAsia="Calibri"/>
              </w:rPr>
              <w:t xml:space="preserve"> van 2019 en 2023</w:t>
            </w:r>
          </w:p>
          <w:p w:rsidR="00DA59AB" w:rsidRPr="009A293F" w:rsidRDefault="00EC28C4" w:rsidP="009A293F">
            <w:pPr>
              <w:numPr>
                <w:ilvl w:val="0"/>
                <w:numId w:val="6"/>
              </w:numPr>
              <w:spacing w:line="284" w:lineRule="exact"/>
              <w:contextualSpacing/>
              <w:rPr>
                <w:rFonts w:eastAsia="Calibri"/>
              </w:rPr>
            </w:pPr>
            <w:r w:rsidRPr="004C168B">
              <w:rPr>
                <w:rFonts w:eastAsia="Calibri"/>
              </w:rPr>
              <w:t xml:space="preserve">Stel een Learning </w:t>
            </w:r>
            <w:proofErr w:type="spellStart"/>
            <w:r w:rsidRPr="004C168B">
              <w:rPr>
                <w:rFonts w:eastAsia="Calibri"/>
              </w:rPr>
              <w:t>from</w:t>
            </w:r>
            <w:proofErr w:type="spellEnd"/>
            <w:r w:rsidRPr="004C168B">
              <w:rPr>
                <w:rFonts w:eastAsia="Calibri"/>
              </w:rPr>
              <w:t xml:space="preserve"> </w:t>
            </w:r>
            <w:proofErr w:type="spellStart"/>
            <w:r w:rsidRPr="004C168B">
              <w:rPr>
                <w:rFonts w:eastAsia="Calibri"/>
              </w:rPr>
              <w:t>incidents</w:t>
            </w:r>
            <w:proofErr w:type="spellEnd"/>
            <w:r w:rsidRPr="004C168B">
              <w:rPr>
                <w:rFonts w:eastAsia="Calibri"/>
              </w:rPr>
              <w:t xml:space="preserve"> op, om deze vervolgens te delen met de site, het Global Shell Downstream LFI-team. Deel de </w:t>
            </w:r>
            <w:proofErr w:type="spellStart"/>
            <w:r w:rsidRPr="004C168B">
              <w:rPr>
                <w:rFonts w:eastAsia="Calibri"/>
              </w:rPr>
              <w:t>learnings</w:t>
            </w:r>
            <w:proofErr w:type="spellEnd"/>
            <w:r w:rsidRPr="004C168B">
              <w:rPr>
                <w:rFonts w:eastAsia="Calibri"/>
              </w:rPr>
              <w:t xml:space="preserve"> tevens met de VNPI en de VNCI.</w:t>
            </w:r>
          </w:p>
        </w:tc>
      </w:tr>
      <w:tr w:rsidR="00EC28C4" w:rsidTr="00EC28C4">
        <w:tc>
          <w:tcPr>
            <w:tcW w:w="1325" w:type="dxa"/>
          </w:tcPr>
          <w:p w:rsidR="00EC28C4" w:rsidRDefault="00EC28C4" w:rsidP="00EC28C4">
            <w:pPr>
              <w:rPr>
                <w:b/>
              </w:rPr>
            </w:pPr>
            <w:r>
              <w:rPr>
                <w:b/>
              </w:rPr>
              <w:lastRenderedPageBreak/>
              <w:t>Maatregelen provincie</w:t>
            </w:r>
          </w:p>
        </w:tc>
        <w:tc>
          <w:tcPr>
            <w:tcW w:w="7963" w:type="dxa"/>
          </w:tcPr>
          <w:p w:rsidR="00EC28C4" w:rsidRPr="004C168B" w:rsidRDefault="00EC28C4" w:rsidP="00EC28C4">
            <w:pPr>
              <w:spacing w:line="284" w:lineRule="exact"/>
              <w:rPr>
                <w:rFonts w:eastAsia="Times New Roman" w:cs="Times New Roman"/>
                <w:szCs w:val="19"/>
                <w:lang w:eastAsia="nl-NL"/>
              </w:rPr>
            </w:pPr>
            <w:r w:rsidRPr="004C168B">
              <w:rPr>
                <w:rFonts w:eastAsia="Times New Roman" w:cs="Times New Roman"/>
                <w:szCs w:val="19"/>
                <w:lang w:eastAsia="nl-NL"/>
              </w:rPr>
              <w:t xml:space="preserve">Uit </w:t>
            </w:r>
            <w:r w:rsidR="00236B19">
              <w:rPr>
                <w:rFonts w:eastAsia="Times New Roman" w:cs="Times New Roman"/>
                <w:szCs w:val="19"/>
                <w:lang w:eastAsia="nl-NL"/>
              </w:rPr>
              <w:t>het</w:t>
            </w:r>
            <w:r w:rsidRPr="004C168B">
              <w:rPr>
                <w:rFonts w:eastAsia="Times New Roman" w:cs="Times New Roman"/>
                <w:szCs w:val="19"/>
                <w:lang w:eastAsia="nl-NL"/>
              </w:rPr>
              <w:t xml:space="preserve"> rapport blijkt dat de geschiktheid van de bij dit incident betrokken procedures ontoereikend is. Dit wordt gezien als een overtreding van VBS element iii (toezicht op de exploitatie) van het </w:t>
            </w:r>
            <w:proofErr w:type="spellStart"/>
            <w:r w:rsidRPr="004C168B">
              <w:rPr>
                <w:rFonts w:eastAsia="Times New Roman" w:cs="Times New Roman"/>
                <w:szCs w:val="19"/>
                <w:lang w:eastAsia="nl-NL"/>
              </w:rPr>
              <w:t>Brzo</w:t>
            </w:r>
            <w:proofErr w:type="spellEnd"/>
            <w:r w:rsidRPr="004C168B">
              <w:rPr>
                <w:rFonts w:eastAsia="Times New Roman" w:cs="Times New Roman"/>
                <w:szCs w:val="19"/>
                <w:lang w:eastAsia="nl-NL"/>
              </w:rPr>
              <w:t xml:space="preserve"> 2015. Hierop is conform de landelijk vastgestelde </w:t>
            </w:r>
            <w:proofErr w:type="spellStart"/>
            <w:r w:rsidRPr="004C168B">
              <w:rPr>
                <w:rFonts w:eastAsia="Times New Roman" w:cs="Times New Roman"/>
                <w:szCs w:val="19"/>
                <w:lang w:eastAsia="nl-NL"/>
              </w:rPr>
              <w:t>Brzo</w:t>
            </w:r>
            <w:proofErr w:type="spellEnd"/>
            <w:r w:rsidRPr="004C168B">
              <w:rPr>
                <w:rFonts w:eastAsia="Times New Roman" w:cs="Times New Roman"/>
                <w:szCs w:val="19"/>
                <w:lang w:eastAsia="nl-NL"/>
              </w:rPr>
              <w:t xml:space="preserve">-handhavingsstrategie bestuursrechtelijk gereageerd middels een </w:t>
            </w:r>
            <w:r w:rsidRPr="004C168B">
              <w:rPr>
                <w:rFonts w:eastAsia="Times New Roman" w:cs="Times New Roman"/>
                <w:b/>
                <w:szCs w:val="19"/>
                <w:lang w:eastAsia="nl-NL"/>
              </w:rPr>
              <w:t>aanschrijvingsbrief.</w:t>
            </w:r>
            <w:r w:rsidRPr="004C168B">
              <w:rPr>
                <w:rFonts w:eastAsia="Times New Roman" w:cs="Times New Roman"/>
                <w:szCs w:val="19"/>
                <w:lang w:eastAsia="nl-NL"/>
              </w:rPr>
              <w:t xml:space="preserve"> Uiterlijk 31 januari 2018 dient de overtreding opgeheven te zijn.</w:t>
            </w:r>
          </w:p>
          <w:p w:rsidR="00EC28C4" w:rsidRPr="004C168B" w:rsidRDefault="00EC28C4" w:rsidP="00EC28C4">
            <w:pPr>
              <w:spacing w:line="284" w:lineRule="exact"/>
              <w:rPr>
                <w:rFonts w:eastAsia="Times New Roman" w:cs="Times New Roman"/>
                <w:szCs w:val="19"/>
                <w:lang w:eastAsia="nl-NL"/>
              </w:rPr>
            </w:pPr>
          </w:p>
          <w:p w:rsidR="00DA59AB" w:rsidRPr="009A293F" w:rsidRDefault="00EC28C4" w:rsidP="00DA59AB">
            <w:pPr>
              <w:spacing w:line="284" w:lineRule="exact"/>
              <w:rPr>
                <w:rFonts w:eastAsia="Times New Roman" w:cs="Times New Roman"/>
                <w:b/>
                <w:szCs w:val="19"/>
                <w:lang w:eastAsia="nl-NL"/>
              </w:rPr>
            </w:pPr>
            <w:r w:rsidRPr="004C168B">
              <w:rPr>
                <w:rFonts w:eastAsia="Times New Roman" w:cs="Times New Roman"/>
                <w:szCs w:val="19"/>
                <w:lang w:eastAsia="nl-NL"/>
              </w:rPr>
              <w:t xml:space="preserve">In de brief is Shell tevens opgedragen om de </w:t>
            </w:r>
            <w:r w:rsidRPr="004C168B">
              <w:rPr>
                <w:rFonts w:eastAsia="Times New Roman" w:cs="Times New Roman"/>
                <w:b/>
                <w:szCs w:val="19"/>
                <w:lang w:eastAsia="nl-NL"/>
              </w:rPr>
              <w:t>door hen geïdentificeerde maatregelen uit te voeren binnen de in de rapportage gestelde termijnen</w:t>
            </w:r>
            <w:r w:rsidRPr="004C168B">
              <w:rPr>
                <w:rFonts w:eastAsia="Times New Roman" w:cs="Times New Roman"/>
                <w:szCs w:val="19"/>
                <w:lang w:eastAsia="nl-NL"/>
              </w:rPr>
              <w:t>. Indien bij een nacontrole blijkt dat Shell niet dan wel niet tijdig de maatregelen heeft getroffen, zal een last onder dwangsom worden opgelegd.</w:t>
            </w:r>
            <w:r w:rsidR="00C578A1">
              <w:rPr>
                <w:rFonts w:eastAsia="Times New Roman" w:cs="Times New Roman"/>
                <w:szCs w:val="19"/>
                <w:lang w:eastAsia="nl-NL"/>
              </w:rPr>
              <w:t xml:space="preserve"> </w:t>
            </w:r>
            <w:r w:rsidRPr="004C168B">
              <w:rPr>
                <w:rFonts w:eastAsia="Times New Roman" w:cs="Times New Roman"/>
                <w:szCs w:val="19"/>
                <w:lang w:eastAsia="nl-NL"/>
              </w:rPr>
              <w:t xml:space="preserve">Daarnaast geldt voor Shell Pernis op basis van deze incidenten een </w:t>
            </w:r>
            <w:r w:rsidRPr="004C168B">
              <w:rPr>
                <w:rFonts w:eastAsia="Times New Roman" w:cs="Times New Roman"/>
                <w:b/>
                <w:szCs w:val="19"/>
                <w:lang w:eastAsia="nl-NL"/>
              </w:rPr>
              <w:t xml:space="preserve">verscherpt </w:t>
            </w:r>
            <w:proofErr w:type="spellStart"/>
            <w:r w:rsidRPr="004C168B">
              <w:rPr>
                <w:rFonts w:eastAsia="Times New Roman" w:cs="Times New Roman"/>
                <w:b/>
                <w:szCs w:val="19"/>
                <w:lang w:eastAsia="nl-NL"/>
              </w:rPr>
              <w:t>toezicht</w:t>
            </w:r>
            <w:r w:rsidR="00CB4B09">
              <w:rPr>
                <w:rFonts w:eastAsia="Times New Roman" w:cs="Times New Roman"/>
                <w:b/>
                <w:szCs w:val="19"/>
                <w:lang w:eastAsia="nl-NL"/>
              </w:rPr>
              <w:t>s</w:t>
            </w:r>
            <w:r w:rsidRPr="004C168B">
              <w:rPr>
                <w:rFonts w:eastAsia="Times New Roman" w:cs="Times New Roman"/>
                <w:b/>
                <w:szCs w:val="19"/>
                <w:lang w:eastAsia="nl-NL"/>
              </w:rPr>
              <w:t>regime</w:t>
            </w:r>
            <w:proofErr w:type="spellEnd"/>
            <w:r w:rsidRPr="004C168B">
              <w:rPr>
                <w:rFonts w:eastAsia="Times New Roman" w:cs="Times New Roman"/>
                <w:szCs w:val="19"/>
                <w:lang w:eastAsia="nl-NL"/>
              </w:rPr>
              <w:t xml:space="preserve">. Dit houdt onder meer in dat Shell een </w:t>
            </w:r>
            <w:r w:rsidRPr="004C168B">
              <w:rPr>
                <w:rFonts w:eastAsia="Times New Roman" w:cs="Times New Roman"/>
                <w:b/>
                <w:szCs w:val="19"/>
                <w:lang w:eastAsia="nl-NL"/>
              </w:rPr>
              <w:t>rapportageverplichting</w:t>
            </w:r>
            <w:r w:rsidRPr="004C168B">
              <w:rPr>
                <w:rFonts w:eastAsia="Times New Roman" w:cs="Times New Roman"/>
                <w:szCs w:val="19"/>
                <w:lang w:eastAsia="nl-NL"/>
              </w:rPr>
              <w:t xml:space="preserve"> wordt opgelegd over </w:t>
            </w:r>
            <w:r w:rsidRPr="004C168B">
              <w:rPr>
                <w:rFonts w:eastAsia="Times New Roman" w:cs="Times New Roman"/>
                <w:b/>
                <w:szCs w:val="19"/>
                <w:lang w:eastAsia="nl-NL"/>
              </w:rPr>
              <w:t xml:space="preserve">alle </w:t>
            </w:r>
            <w:proofErr w:type="spellStart"/>
            <w:r w:rsidRPr="004C168B">
              <w:rPr>
                <w:rFonts w:eastAsia="Times New Roman" w:cs="Times New Roman"/>
                <w:b/>
                <w:i/>
                <w:szCs w:val="19"/>
                <w:lang w:eastAsia="nl-NL"/>
              </w:rPr>
              <w:t>near</w:t>
            </w:r>
            <w:proofErr w:type="spellEnd"/>
            <w:r w:rsidRPr="004C168B">
              <w:rPr>
                <w:rFonts w:eastAsia="Times New Roman" w:cs="Times New Roman"/>
                <w:b/>
                <w:i/>
                <w:szCs w:val="19"/>
                <w:lang w:eastAsia="nl-NL"/>
              </w:rPr>
              <w:t xml:space="preserve"> misses</w:t>
            </w:r>
            <w:r w:rsidR="00936748">
              <w:rPr>
                <w:rFonts w:eastAsia="Times New Roman" w:cs="Times New Roman"/>
                <w:b/>
                <w:i/>
                <w:szCs w:val="19"/>
                <w:lang w:eastAsia="nl-NL"/>
              </w:rPr>
              <w:t xml:space="preserve"> </w:t>
            </w:r>
            <w:r w:rsidR="00936748">
              <w:rPr>
                <w:rFonts w:eastAsia="Times New Roman" w:cs="Times New Roman"/>
                <w:b/>
                <w:i/>
                <w:sz w:val="20"/>
                <w:szCs w:val="20"/>
                <w:lang w:eastAsia="nl-NL"/>
              </w:rPr>
              <w:t>(bijna ongevallen)</w:t>
            </w:r>
            <w:r w:rsidR="00936748" w:rsidRPr="002878FC">
              <w:rPr>
                <w:rFonts w:eastAsia="Times New Roman" w:cs="Times New Roman"/>
                <w:b/>
                <w:sz w:val="20"/>
                <w:szCs w:val="20"/>
                <w:lang w:eastAsia="nl-NL"/>
              </w:rPr>
              <w:t>.</w:t>
            </w:r>
            <w:r w:rsidRPr="004C168B">
              <w:rPr>
                <w:rFonts w:eastAsia="Times New Roman" w:cs="Times New Roman"/>
                <w:szCs w:val="19"/>
                <w:lang w:eastAsia="nl-NL"/>
              </w:rPr>
              <w:t xml:space="preserve"> Deze informatie zal bijdragen aan het beter voorkomen van incidenten in de toekomst en gerichter toezicht.</w:t>
            </w:r>
            <w:r w:rsidR="00A05D26">
              <w:t xml:space="preserve"> Shell is daarnaast onderdeel van het toezicht project voor </w:t>
            </w:r>
            <w:proofErr w:type="spellStart"/>
            <w:r w:rsidR="00A05D26">
              <w:t>onderhoudsstops</w:t>
            </w:r>
            <w:proofErr w:type="spellEnd"/>
            <w:r w:rsidR="00A05D26">
              <w:t>. Ook wordt bij Shell de veiligheidscultuur onder de loep genomen</w:t>
            </w:r>
            <w:r w:rsidR="00A05D26">
              <w:rPr>
                <w:rFonts w:eastAsia="Times New Roman" w:cs="Times New Roman"/>
                <w:b/>
                <w:szCs w:val="19"/>
                <w:lang w:eastAsia="nl-NL"/>
              </w:rPr>
              <w:t xml:space="preserve">. </w:t>
            </w:r>
          </w:p>
        </w:tc>
      </w:tr>
      <w:tr w:rsidR="00EC28C4" w:rsidTr="00EC28C4">
        <w:tc>
          <w:tcPr>
            <w:tcW w:w="1325" w:type="dxa"/>
          </w:tcPr>
          <w:p w:rsidR="00EC28C4" w:rsidRDefault="00EC28C4" w:rsidP="00EC28C4">
            <w:pPr>
              <w:rPr>
                <w:b/>
              </w:rPr>
            </w:pPr>
            <w:r>
              <w:rPr>
                <w:b/>
              </w:rPr>
              <w:t>Lopend onderzoek</w:t>
            </w:r>
          </w:p>
        </w:tc>
        <w:tc>
          <w:tcPr>
            <w:tcW w:w="7963" w:type="dxa"/>
          </w:tcPr>
          <w:p w:rsidR="00EC28C4" w:rsidRPr="009A293F" w:rsidRDefault="00EC28C4" w:rsidP="009A293F">
            <w:pPr>
              <w:spacing w:line="284" w:lineRule="exact"/>
              <w:rPr>
                <w:rFonts w:cs="Times New Roman"/>
                <w:szCs w:val="19"/>
                <w:lang w:eastAsia="nl-NL"/>
              </w:rPr>
            </w:pPr>
            <w:r w:rsidRPr="004C168B">
              <w:rPr>
                <w:rFonts w:cs="Times New Roman"/>
                <w:szCs w:val="19"/>
                <w:lang w:eastAsia="nl-NL"/>
              </w:rPr>
              <w:t>Zeehavenpolitie en i</w:t>
            </w:r>
            <w:r w:rsidR="00936748">
              <w:rPr>
                <w:rFonts w:cs="Times New Roman"/>
                <w:szCs w:val="19"/>
                <w:lang w:eastAsia="nl-NL"/>
              </w:rPr>
              <w:t xml:space="preserve">nspectie </w:t>
            </w:r>
            <w:r w:rsidRPr="004C168B">
              <w:rPr>
                <w:rFonts w:cs="Times New Roman"/>
                <w:szCs w:val="19"/>
                <w:lang w:eastAsia="nl-NL"/>
              </w:rPr>
              <w:t>S</w:t>
            </w:r>
            <w:r w:rsidR="009A293F">
              <w:rPr>
                <w:rFonts w:cs="Times New Roman"/>
                <w:szCs w:val="19"/>
                <w:lang w:eastAsia="nl-NL"/>
              </w:rPr>
              <w:t xml:space="preserve">ociale </w:t>
            </w:r>
            <w:r w:rsidRPr="004C168B">
              <w:rPr>
                <w:rFonts w:cs="Times New Roman"/>
                <w:szCs w:val="19"/>
                <w:lang w:eastAsia="nl-NL"/>
              </w:rPr>
              <w:t>Z</w:t>
            </w:r>
            <w:r w:rsidR="009A293F">
              <w:rPr>
                <w:rFonts w:cs="Times New Roman"/>
                <w:szCs w:val="19"/>
                <w:lang w:eastAsia="nl-NL"/>
              </w:rPr>
              <w:t xml:space="preserve">aken en </w:t>
            </w:r>
            <w:r w:rsidRPr="004C168B">
              <w:rPr>
                <w:rFonts w:cs="Times New Roman"/>
                <w:szCs w:val="19"/>
                <w:lang w:eastAsia="nl-NL"/>
              </w:rPr>
              <w:t>W</w:t>
            </w:r>
            <w:r w:rsidR="009A293F">
              <w:rPr>
                <w:rFonts w:cs="Times New Roman"/>
                <w:szCs w:val="19"/>
                <w:lang w:eastAsia="nl-NL"/>
              </w:rPr>
              <w:t>erkgelegenheid</w:t>
            </w:r>
            <w:r w:rsidRPr="004C168B">
              <w:rPr>
                <w:rFonts w:cs="Times New Roman"/>
                <w:szCs w:val="19"/>
                <w:lang w:eastAsia="nl-NL"/>
              </w:rPr>
              <w:t xml:space="preserve"> </w:t>
            </w:r>
            <w:r>
              <w:rPr>
                <w:rFonts w:cs="Times New Roman"/>
                <w:szCs w:val="19"/>
                <w:lang w:eastAsia="nl-NL"/>
              </w:rPr>
              <w:t xml:space="preserve">zijn </w:t>
            </w:r>
            <w:r w:rsidRPr="004C168B">
              <w:rPr>
                <w:rFonts w:cs="Times New Roman"/>
                <w:szCs w:val="19"/>
                <w:lang w:eastAsia="nl-NL"/>
              </w:rPr>
              <w:t>een strafrechtelijk onderzoek gestart.</w:t>
            </w:r>
          </w:p>
        </w:tc>
      </w:tr>
    </w:tbl>
    <w:p w:rsidR="004C168B" w:rsidRDefault="004C168B" w:rsidP="00DA59AB">
      <w:pPr>
        <w:rPr>
          <w:b/>
        </w:rPr>
      </w:pPr>
      <w:bookmarkStart w:id="0" w:name="_GoBack"/>
      <w:bookmarkEnd w:id="0"/>
    </w:p>
    <w:sectPr w:rsidR="004C16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A3" w:rsidRDefault="00F16AA3" w:rsidP="00A34264">
      <w:pPr>
        <w:spacing w:line="240" w:lineRule="auto"/>
      </w:pPr>
      <w:r>
        <w:separator/>
      </w:r>
    </w:p>
  </w:endnote>
  <w:endnote w:type="continuationSeparator" w:id="0">
    <w:p w:rsidR="00F16AA3" w:rsidRDefault="00F16AA3" w:rsidP="00A34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13947"/>
      <w:docPartObj>
        <w:docPartGallery w:val="Page Numbers (Bottom of Page)"/>
        <w:docPartUnique/>
      </w:docPartObj>
    </w:sdtPr>
    <w:sdtEndPr/>
    <w:sdtContent>
      <w:p w:rsidR="00FE3D04" w:rsidRDefault="00FE3D04">
        <w:pPr>
          <w:pStyle w:val="Voettekst"/>
          <w:jc w:val="right"/>
        </w:pPr>
        <w:r>
          <w:fldChar w:fldCharType="begin"/>
        </w:r>
        <w:r>
          <w:instrText>PAGE   \* MERGEFORMAT</w:instrText>
        </w:r>
        <w:r>
          <w:fldChar w:fldCharType="separate"/>
        </w:r>
        <w:r w:rsidR="009A293F">
          <w:rPr>
            <w:noProof/>
          </w:rPr>
          <w:t>4</w:t>
        </w:r>
        <w:r>
          <w:fldChar w:fldCharType="end"/>
        </w:r>
      </w:p>
    </w:sdtContent>
  </w:sdt>
  <w:p w:rsidR="00FE3D04" w:rsidRDefault="00FE3D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A3" w:rsidRDefault="00F16AA3" w:rsidP="00A34264">
      <w:pPr>
        <w:spacing w:line="240" w:lineRule="auto"/>
      </w:pPr>
      <w:r>
        <w:separator/>
      </w:r>
    </w:p>
  </w:footnote>
  <w:footnote w:type="continuationSeparator" w:id="0">
    <w:p w:rsidR="00F16AA3" w:rsidRDefault="00F16AA3" w:rsidP="00A342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C50"/>
    <w:multiLevelType w:val="hybridMultilevel"/>
    <w:tmpl w:val="6528211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A8720C6"/>
    <w:multiLevelType w:val="hybridMultilevel"/>
    <w:tmpl w:val="D1F64E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A9C46FB"/>
    <w:multiLevelType w:val="hybridMultilevel"/>
    <w:tmpl w:val="B12C8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911540"/>
    <w:multiLevelType w:val="hybridMultilevel"/>
    <w:tmpl w:val="D1F64E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F4B3935"/>
    <w:multiLevelType w:val="hybridMultilevel"/>
    <w:tmpl w:val="EA08D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E61064"/>
    <w:multiLevelType w:val="hybridMultilevel"/>
    <w:tmpl w:val="6B0ABD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9200DC2"/>
    <w:multiLevelType w:val="hybridMultilevel"/>
    <w:tmpl w:val="CED423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633C49A2"/>
    <w:multiLevelType w:val="hybridMultilevel"/>
    <w:tmpl w:val="24FADD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6DF81897"/>
    <w:multiLevelType w:val="hybridMultilevel"/>
    <w:tmpl w:val="2118D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BBE70CA"/>
    <w:multiLevelType w:val="hybridMultilevel"/>
    <w:tmpl w:val="60EA5E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7"/>
  </w:num>
  <w:num w:numId="6">
    <w:abstractNumId w:val="6"/>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64"/>
    <w:rsid w:val="000037DF"/>
    <w:rsid w:val="00007BF0"/>
    <w:rsid w:val="00007C36"/>
    <w:rsid w:val="000131D7"/>
    <w:rsid w:val="00020B10"/>
    <w:rsid w:val="00022629"/>
    <w:rsid w:val="000245C3"/>
    <w:rsid w:val="000369BA"/>
    <w:rsid w:val="00036D4B"/>
    <w:rsid w:val="00041C37"/>
    <w:rsid w:val="00043DF6"/>
    <w:rsid w:val="00054A17"/>
    <w:rsid w:val="000553A7"/>
    <w:rsid w:val="00061DA9"/>
    <w:rsid w:val="00067034"/>
    <w:rsid w:val="00074A03"/>
    <w:rsid w:val="000753AB"/>
    <w:rsid w:val="000879BE"/>
    <w:rsid w:val="00096F3A"/>
    <w:rsid w:val="000A17BE"/>
    <w:rsid w:val="000B0D41"/>
    <w:rsid w:val="000B6E6D"/>
    <w:rsid w:val="000C5B55"/>
    <w:rsid w:val="000C7B9D"/>
    <w:rsid w:val="000D3130"/>
    <w:rsid w:val="000E38E7"/>
    <w:rsid w:val="000E4E7A"/>
    <w:rsid w:val="000E52A6"/>
    <w:rsid w:val="000E5516"/>
    <w:rsid w:val="000F054C"/>
    <w:rsid w:val="000F1B4A"/>
    <w:rsid w:val="000F2C4B"/>
    <w:rsid w:val="000F491A"/>
    <w:rsid w:val="00100179"/>
    <w:rsid w:val="00121765"/>
    <w:rsid w:val="00121AB2"/>
    <w:rsid w:val="00126015"/>
    <w:rsid w:val="001261B9"/>
    <w:rsid w:val="0013048E"/>
    <w:rsid w:val="0013621E"/>
    <w:rsid w:val="00137F34"/>
    <w:rsid w:val="00141766"/>
    <w:rsid w:val="00144D07"/>
    <w:rsid w:val="00152B2B"/>
    <w:rsid w:val="0015309E"/>
    <w:rsid w:val="0016159D"/>
    <w:rsid w:val="00166549"/>
    <w:rsid w:val="001676E5"/>
    <w:rsid w:val="001706C2"/>
    <w:rsid w:val="00170721"/>
    <w:rsid w:val="00176010"/>
    <w:rsid w:val="0017730A"/>
    <w:rsid w:val="00191397"/>
    <w:rsid w:val="001916B9"/>
    <w:rsid w:val="001A1EBE"/>
    <w:rsid w:val="001A2803"/>
    <w:rsid w:val="001A3D23"/>
    <w:rsid w:val="001A4219"/>
    <w:rsid w:val="001A64FB"/>
    <w:rsid w:val="001C27F4"/>
    <w:rsid w:val="001C2FA5"/>
    <w:rsid w:val="001C5F41"/>
    <w:rsid w:val="001D31A7"/>
    <w:rsid w:val="001D609E"/>
    <w:rsid w:val="001D65F9"/>
    <w:rsid w:val="001E44D2"/>
    <w:rsid w:val="001E5F8B"/>
    <w:rsid w:val="001E7411"/>
    <w:rsid w:val="001F7206"/>
    <w:rsid w:val="0020211E"/>
    <w:rsid w:val="00207140"/>
    <w:rsid w:val="0020795D"/>
    <w:rsid w:val="00216EB5"/>
    <w:rsid w:val="00217128"/>
    <w:rsid w:val="00230679"/>
    <w:rsid w:val="002369E3"/>
    <w:rsid w:val="00236B19"/>
    <w:rsid w:val="00241845"/>
    <w:rsid w:val="002425F0"/>
    <w:rsid w:val="00247243"/>
    <w:rsid w:val="00247E4F"/>
    <w:rsid w:val="002512AE"/>
    <w:rsid w:val="002572F4"/>
    <w:rsid w:val="00260DE3"/>
    <w:rsid w:val="002644DE"/>
    <w:rsid w:val="002656E6"/>
    <w:rsid w:val="00276246"/>
    <w:rsid w:val="00281232"/>
    <w:rsid w:val="0028423C"/>
    <w:rsid w:val="00284ACF"/>
    <w:rsid w:val="002863FD"/>
    <w:rsid w:val="002878FC"/>
    <w:rsid w:val="002A21C9"/>
    <w:rsid w:val="002A2C13"/>
    <w:rsid w:val="002A2EFA"/>
    <w:rsid w:val="002B10B4"/>
    <w:rsid w:val="002C030F"/>
    <w:rsid w:val="002E11A5"/>
    <w:rsid w:val="002E78D8"/>
    <w:rsid w:val="002F4A9E"/>
    <w:rsid w:val="0030103D"/>
    <w:rsid w:val="00305D52"/>
    <w:rsid w:val="003205BF"/>
    <w:rsid w:val="00322FDD"/>
    <w:rsid w:val="003315F7"/>
    <w:rsid w:val="003424F2"/>
    <w:rsid w:val="003504E1"/>
    <w:rsid w:val="003536E0"/>
    <w:rsid w:val="003559A1"/>
    <w:rsid w:val="0036399D"/>
    <w:rsid w:val="00364877"/>
    <w:rsid w:val="00372A8B"/>
    <w:rsid w:val="00380063"/>
    <w:rsid w:val="00384E93"/>
    <w:rsid w:val="00391383"/>
    <w:rsid w:val="00391589"/>
    <w:rsid w:val="003935DF"/>
    <w:rsid w:val="003A13AC"/>
    <w:rsid w:val="003A2A75"/>
    <w:rsid w:val="003A4DB5"/>
    <w:rsid w:val="003A67B9"/>
    <w:rsid w:val="003B7566"/>
    <w:rsid w:val="003B7F50"/>
    <w:rsid w:val="003C33C9"/>
    <w:rsid w:val="003C38E7"/>
    <w:rsid w:val="003C620B"/>
    <w:rsid w:val="003D0199"/>
    <w:rsid w:val="003D3F0D"/>
    <w:rsid w:val="003D473A"/>
    <w:rsid w:val="003D4BCD"/>
    <w:rsid w:val="003E2E93"/>
    <w:rsid w:val="003E3B3E"/>
    <w:rsid w:val="003E5DE9"/>
    <w:rsid w:val="003F0D8C"/>
    <w:rsid w:val="003F1461"/>
    <w:rsid w:val="003F2D70"/>
    <w:rsid w:val="003F7604"/>
    <w:rsid w:val="00414996"/>
    <w:rsid w:val="0041521F"/>
    <w:rsid w:val="0041691A"/>
    <w:rsid w:val="00416B48"/>
    <w:rsid w:val="00425AE2"/>
    <w:rsid w:val="0043059A"/>
    <w:rsid w:val="00435772"/>
    <w:rsid w:val="004421A0"/>
    <w:rsid w:val="0044309B"/>
    <w:rsid w:val="00451D71"/>
    <w:rsid w:val="00453216"/>
    <w:rsid w:val="004537C5"/>
    <w:rsid w:val="004613CE"/>
    <w:rsid w:val="004744F5"/>
    <w:rsid w:val="00475AE2"/>
    <w:rsid w:val="00475F03"/>
    <w:rsid w:val="004832EE"/>
    <w:rsid w:val="004835B2"/>
    <w:rsid w:val="0049655E"/>
    <w:rsid w:val="004A6713"/>
    <w:rsid w:val="004A6741"/>
    <w:rsid w:val="004A7B31"/>
    <w:rsid w:val="004C0772"/>
    <w:rsid w:val="004C168B"/>
    <w:rsid w:val="004C223C"/>
    <w:rsid w:val="004D3A01"/>
    <w:rsid w:val="004D43AB"/>
    <w:rsid w:val="004D4DF7"/>
    <w:rsid w:val="004D6F7A"/>
    <w:rsid w:val="004E2300"/>
    <w:rsid w:val="004F0359"/>
    <w:rsid w:val="004F04CC"/>
    <w:rsid w:val="004F20E4"/>
    <w:rsid w:val="00500D4D"/>
    <w:rsid w:val="00501834"/>
    <w:rsid w:val="00503497"/>
    <w:rsid w:val="0051273F"/>
    <w:rsid w:val="005163C7"/>
    <w:rsid w:val="0052616A"/>
    <w:rsid w:val="00527129"/>
    <w:rsid w:val="00541265"/>
    <w:rsid w:val="00541489"/>
    <w:rsid w:val="005423FC"/>
    <w:rsid w:val="0054246E"/>
    <w:rsid w:val="00544C4F"/>
    <w:rsid w:val="00545F10"/>
    <w:rsid w:val="00556782"/>
    <w:rsid w:val="00556EB3"/>
    <w:rsid w:val="00560EC5"/>
    <w:rsid w:val="00563DD9"/>
    <w:rsid w:val="00566021"/>
    <w:rsid w:val="005672D2"/>
    <w:rsid w:val="00572726"/>
    <w:rsid w:val="0058349F"/>
    <w:rsid w:val="005860C5"/>
    <w:rsid w:val="00587098"/>
    <w:rsid w:val="00590FBD"/>
    <w:rsid w:val="005953BA"/>
    <w:rsid w:val="00595D6A"/>
    <w:rsid w:val="005A18C3"/>
    <w:rsid w:val="005A2F66"/>
    <w:rsid w:val="005B28B0"/>
    <w:rsid w:val="005B2A93"/>
    <w:rsid w:val="005B4F9A"/>
    <w:rsid w:val="005B73ED"/>
    <w:rsid w:val="005C5BAF"/>
    <w:rsid w:val="005C755E"/>
    <w:rsid w:val="005D0E78"/>
    <w:rsid w:val="005D25C3"/>
    <w:rsid w:val="005D615C"/>
    <w:rsid w:val="005F20C8"/>
    <w:rsid w:val="005F5BEC"/>
    <w:rsid w:val="00601C61"/>
    <w:rsid w:val="00605FFC"/>
    <w:rsid w:val="0061283D"/>
    <w:rsid w:val="00612F4B"/>
    <w:rsid w:val="0062531D"/>
    <w:rsid w:val="00627C62"/>
    <w:rsid w:val="00631D29"/>
    <w:rsid w:val="0063203E"/>
    <w:rsid w:val="00634629"/>
    <w:rsid w:val="006369D9"/>
    <w:rsid w:val="0064548C"/>
    <w:rsid w:val="00656E31"/>
    <w:rsid w:val="00657717"/>
    <w:rsid w:val="006625B8"/>
    <w:rsid w:val="00673BE5"/>
    <w:rsid w:val="00681882"/>
    <w:rsid w:val="00683A12"/>
    <w:rsid w:val="00683E9E"/>
    <w:rsid w:val="00695F35"/>
    <w:rsid w:val="00697549"/>
    <w:rsid w:val="006A762A"/>
    <w:rsid w:val="006B2BC8"/>
    <w:rsid w:val="006B31DE"/>
    <w:rsid w:val="006B6F7D"/>
    <w:rsid w:val="006C2E34"/>
    <w:rsid w:val="006C3D40"/>
    <w:rsid w:val="006D2AF7"/>
    <w:rsid w:val="006D4633"/>
    <w:rsid w:val="006E1FA3"/>
    <w:rsid w:val="006E582B"/>
    <w:rsid w:val="006E7490"/>
    <w:rsid w:val="007030F5"/>
    <w:rsid w:val="00705535"/>
    <w:rsid w:val="00706025"/>
    <w:rsid w:val="00707011"/>
    <w:rsid w:val="00707D2F"/>
    <w:rsid w:val="007155DA"/>
    <w:rsid w:val="007174FD"/>
    <w:rsid w:val="00725B1C"/>
    <w:rsid w:val="00726262"/>
    <w:rsid w:val="00731316"/>
    <w:rsid w:val="00732696"/>
    <w:rsid w:val="00740188"/>
    <w:rsid w:val="00743CAF"/>
    <w:rsid w:val="00750946"/>
    <w:rsid w:val="00752CED"/>
    <w:rsid w:val="00754F1B"/>
    <w:rsid w:val="00772F8C"/>
    <w:rsid w:val="00775824"/>
    <w:rsid w:val="00782EC4"/>
    <w:rsid w:val="00784DE3"/>
    <w:rsid w:val="007A10A7"/>
    <w:rsid w:val="007A1F92"/>
    <w:rsid w:val="007A6264"/>
    <w:rsid w:val="007B08BF"/>
    <w:rsid w:val="007C0704"/>
    <w:rsid w:val="007D26B8"/>
    <w:rsid w:val="007D5909"/>
    <w:rsid w:val="007E4D8C"/>
    <w:rsid w:val="007E5044"/>
    <w:rsid w:val="00805AB5"/>
    <w:rsid w:val="00812EAC"/>
    <w:rsid w:val="00817220"/>
    <w:rsid w:val="00822117"/>
    <w:rsid w:val="00833260"/>
    <w:rsid w:val="00833E7D"/>
    <w:rsid w:val="008563EA"/>
    <w:rsid w:val="00860D8A"/>
    <w:rsid w:val="00880424"/>
    <w:rsid w:val="00880632"/>
    <w:rsid w:val="0088127B"/>
    <w:rsid w:val="00885BA1"/>
    <w:rsid w:val="008A79CD"/>
    <w:rsid w:val="008C5427"/>
    <w:rsid w:val="008C6E76"/>
    <w:rsid w:val="008D1548"/>
    <w:rsid w:val="008D1DCA"/>
    <w:rsid w:val="008D6A78"/>
    <w:rsid w:val="008E1328"/>
    <w:rsid w:val="008E3DD1"/>
    <w:rsid w:val="008E4BFE"/>
    <w:rsid w:val="008E7F75"/>
    <w:rsid w:val="008F4C41"/>
    <w:rsid w:val="008F7225"/>
    <w:rsid w:val="009042CE"/>
    <w:rsid w:val="0090619D"/>
    <w:rsid w:val="00913E76"/>
    <w:rsid w:val="0091476E"/>
    <w:rsid w:val="00922635"/>
    <w:rsid w:val="0092647F"/>
    <w:rsid w:val="00933FAA"/>
    <w:rsid w:val="00936748"/>
    <w:rsid w:val="00940210"/>
    <w:rsid w:val="009503E2"/>
    <w:rsid w:val="00953E19"/>
    <w:rsid w:val="00955BF6"/>
    <w:rsid w:val="00960303"/>
    <w:rsid w:val="00961556"/>
    <w:rsid w:val="00962476"/>
    <w:rsid w:val="0096269E"/>
    <w:rsid w:val="00963119"/>
    <w:rsid w:val="00963182"/>
    <w:rsid w:val="00966F48"/>
    <w:rsid w:val="0096791D"/>
    <w:rsid w:val="0097311F"/>
    <w:rsid w:val="009840E6"/>
    <w:rsid w:val="009856B5"/>
    <w:rsid w:val="009A1B9C"/>
    <w:rsid w:val="009A293F"/>
    <w:rsid w:val="009B0DA2"/>
    <w:rsid w:val="009B1A0C"/>
    <w:rsid w:val="009B3359"/>
    <w:rsid w:val="009B4307"/>
    <w:rsid w:val="009B7F44"/>
    <w:rsid w:val="009C089E"/>
    <w:rsid w:val="009C1B11"/>
    <w:rsid w:val="009D1121"/>
    <w:rsid w:val="009D1A4D"/>
    <w:rsid w:val="009D1E62"/>
    <w:rsid w:val="009E2373"/>
    <w:rsid w:val="009F165A"/>
    <w:rsid w:val="009F2442"/>
    <w:rsid w:val="009F5129"/>
    <w:rsid w:val="00A039BB"/>
    <w:rsid w:val="00A03C3F"/>
    <w:rsid w:val="00A05D26"/>
    <w:rsid w:val="00A06B9D"/>
    <w:rsid w:val="00A10815"/>
    <w:rsid w:val="00A126B4"/>
    <w:rsid w:val="00A24BF6"/>
    <w:rsid w:val="00A34264"/>
    <w:rsid w:val="00A34C9B"/>
    <w:rsid w:val="00A40F91"/>
    <w:rsid w:val="00A43364"/>
    <w:rsid w:val="00A456CC"/>
    <w:rsid w:val="00A472BC"/>
    <w:rsid w:val="00A511C3"/>
    <w:rsid w:val="00A53D7E"/>
    <w:rsid w:val="00A6220B"/>
    <w:rsid w:val="00A6349A"/>
    <w:rsid w:val="00A6396F"/>
    <w:rsid w:val="00A63D54"/>
    <w:rsid w:val="00A74066"/>
    <w:rsid w:val="00A7569A"/>
    <w:rsid w:val="00A8242B"/>
    <w:rsid w:val="00A907DC"/>
    <w:rsid w:val="00A96840"/>
    <w:rsid w:val="00A97858"/>
    <w:rsid w:val="00A97B4C"/>
    <w:rsid w:val="00AA07CD"/>
    <w:rsid w:val="00AB19A9"/>
    <w:rsid w:val="00AB31F2"/>
    <w:rsid w:val="00AB5E83"/>
    <w:rsid w:val="00AD23D0"/>
    <w:rsid w:val="00AD6CA1"/>
    <w:rsid w:val="00AD6FEB"/>
    <w:rsid w:val="00AE2DEF"/>
    <w:rsid w:val="00AE58B4"/>
    <w:rsid w:val="00AF2B8A"/>
    <w:rsid w:val="00AF4FE8"/>
    <w:rsid w:val="00B01B5A"/>
    <w:rsid w:val="00B02998"/>
    <w:rsid w:val="00B140F3"/>
    <w:rsid w:val="00B17EC7"/>
    <w:rsid w:val="00B23021"/>
    <w:rsid w:val="00B25FB7"/>
    <w:rsid w:val="00B27C78"/>
    <w:rsid w:val="00B3258C"/>
    <w:rsid w:val="00B332E3"/>
    <w:rsid w:val="00B33A0F"/>
    <w:rsid w:val="00B436D7"/>
    <w:rsid w:val="00B44719"/>
    <w:rsid w:val="00B4499F"/>
    <w:rsid w:val="00B45F53"/>
    <w:rsid w:val="00B473E7"/>
    <w:rsid w:val="00B54F37"/>
    <w:rsid w:val="00B56B49"/>
    <w:rsid w:val="00B628E2"/>
    <w:rsid w:val="00B64363"/>
    <w:rsid w:val="00B6452B"/>
    <w:rsid w:val="00B715FF"/>
    <w:rsid w:val="00B75061"/>
    <w:rsid w:val="00B75E01"/>
    <w:rsid w:val="00B76B36"/>
    <w:rsid w:val="00B76EB1"/>
    <w:rsid w:val="00B77CE2"/>
    <w:rsid w:val="00B82269"/>
    <w:rsid w:val="00B91812"/>
    <w:rsid w:val="00BB0E16"/>
    <w:rsid w:val="00BB20C4"/>
    <w:rsid w:val="00BC3038"/>
    <w:rsid w:val="00BC536A"/>
    <w:rsid w:val="00BC7699"/>
    <w:rsid w:val="00BC7AA7"/>
    <w:rsid w:val="00BD13A5"/>
    <w:rsid w:val="00BD3F28"/>
    <w:rsid w:val="00BD5EF8"/>
    <w:rsid w:val="00BD626B"/>
    <w:rsid w:val="00BF2422"/>
    <w:rsid w:val="00BF406A"/>
    <w:rsid w:val="00C0685A"/>
    <w:rsid w:val="00C22FEB"/>
    <w:rsid w:val="00C2537C"/>
    <w:rsid w:val="00C35241"/>
    <w:rsid w:val="00C36199"/>
    <w:rsid w:val="00C40B62"/>
    <w:rsid w:val="00C55A47"/>
    <w:rsid w:val="00C56B81"/>
    <w:rsid w:val="00C578A1"/>
    <w:rsid w:val="00C605FC"/>
    <w:rsid w:val="00C70CD3"/>
    <w:rsid w:val="00C70F64"/>
    <w:rsid w:val="00C7478E"/>
    <w:rsid w:val="00C77F9A"/>
    <w:rsid w:val="00C837C2"/>
    <w:rsid w:val="00C87C5E"/>
    <w:rsid w:val="00C9456B"/>
    <w:rsid w:val="00CA11D9"/>
    <w:rsid w:val="00CB2081"/>
    <w:rsid w:val="00CB4B09"/>
    <w:rsid w:val="00CC47DB"/>
    <w:rsid w:val="00CD1B7A"/>
    <w:rsid w:val="00CD34F1"/>
    <w:rsid w:val="00CF68F8"/>
    <w:rsid w:val="00D0460D"/>
    <w:rsid w:val="00D06ED9"/>
    <w:rsid w:val="00D07572"/>
    <w:rsid w:val="00D116AD"/>
    <w:rsid w:val="00D16C3E"/>
    <w:rsid w:val="00D266C4"/>
    <w:rsid w:val="00D26D4B"/>
    <w:rsid w:val="00D30234"/>
    <w:rsid w:val="00D36382"/>
    <w:rsid w:val="00D36AC8"/>
    <w:rsid w:val="00D37550"/>
    <w:rsid w:val="00D3788E"/>
    <w:rsid w:val="00D542D5"/>
    <w:rsid w:val="00D54C41"/>
    <w:rsid w:val="00D55042"/>
    <w:rsid w:val="00D72B53"/>
    <w:rsid w:val="00D7701B"/>
    <w:rsid w:val="00D83D3E"/>
    <w:rsid w:val="00D90221"/>
    <w:rsid w:val="00D90876"/>
    <w:rsid w:val="00D965B8"/>
    <w:rsid w:val="00DA39A9"/>
    <w:rsid w:val="00DA59AB"/>
    <w:rsid w:val="00DB3F6C"/>
    <w:rsid w:val="00DC0047"/>
    <w:rsid w:val="00DD45D2"/>
    <w:rsid w:val="00DD6C1F"/>
    <w:rsid w:val="00DD78D8"/>
    <w:rsid w:val="00DE0E6A"/>
    <w:rsid w:val="00DE5FFF"/>
    <w:rsid w:val="00DF3DA2"/>
    <w:rsid w:val="00E00425"/>
    <w:rsid w:val="00E006C7"/>
    <w:rsid w:val="00E01585"/>
    <w:rsid w:val="00E047A9"/>
    <w:rsid w:val="00E05847"/>
    <w:rsid w:val="00E073B1"/>
    <w:rsid w:val="00E10555"/>
    <w:rsid w:val="00E1258B"/>
    <w:rsid w:val="00E36857"/>
    <w:rsid w:val="00E57ACD"/>
    <w:rsid w:val="00E73F7F"/>
    <w:rsid w:val="00E8425F"/>
    <w:rsid w:val="00E8505C"/>
    <w:rsid w:val="00E86E72"/>
    <w:rsid w:val="00E87B07"/>
    <w:rsid w:val="00E91CDB"/>
    <w:rsid w:val="00E936DD"/>
    <w:rsid w:val="00EA1E65"/>
    <w:rsid w:val="00EA26DB"/>
    <w:rsid w:val="00EA4011"/>
    <w:rsid w:val="00EB4923"/>
    <w:rsid w:val="00EB63B6"/>
    <w:rsid w:val="00EC28C4"/>
    <w:rsid w:val="00ED0F58"/>
    <w:rsid w:val="00ED1FD2"/>
    <w:rsid w:val="00ED79C0"/>
    <w:rsid w:val="00EE2A8B"/>
    <w:rsid w:val="00EF4412"/>
    <w:rsid w:val="00EF465D"/>
    <w:rsid w:val="00F033B2"/>
    <w:rsid w:val="00F05BD4"/>
    <w:rsid w:val="00F07D47"/>
    <w:rsid w:val="00F11A14"/>
    <w:rsid w:val="00F13F29"/>
    <w:rsid w:val="00F14560"/>
    <w:rsid w:val="00F16AA3"/>
    <w:rsid w:val="00F17DC7"/>
    <w:rsid w:val="00F21BF2"/>
    <w:rsid w:val="00F22D44"/>
    <w:rsid w:val="00F327F2"/>
    <w:rsid w:val="00F35192"/>
    <w:rsid w:val="00F4440F"/>
    <w:rsid w:val="00F6598F"/>
    <w:rsid w:val="00F66F90"/>
    <w:rsid w:val="00F8138F"/>
    <w:rsid w:val="00F84C30"/>
    <w:rsid w:val="00F87C55"/>
    <w:rsid w:val="00F929A9"/>
    <w:rsid w:val="00F961FF"/>
    <w:rsid w:val="00FA70C8"/>
    <w:rsid w:val="00FB47A8"/>
    <w:rsid w:val="00FB5765"/>
    <w:rsid w:val="00FC0DBB"/>
    <w:rsid w:val="00FD342D"/>
    <w:rsid w:val="00FD3432"/>
    <w:rsid w:val="00FD41B4"/>
    <w:rsid w:val="00FD5A4F"/>
    <w:rsid w:val="00FE3D04"/>
    <w:rsid w:val="00FF0524"/>
    <w:rsid w:val="00FF1DE1"/>
    <w:rsid w:val="00FF3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342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4264"/>
    <w:rPr>
      <w:rFonts w:ascii="Arial" w:hAnsi="Arial" w:cs="Arial"/>
      <w:sz w:val="20"/>
      <w:szCs w:val="20"/>
    </w:rPr>
  </w:style>
  <w:style w:type="character" w:styleId="Voetnootmarkering">
    <w:name w:val="footnote reference"/>
    <w:uiPriority w:val="99"/>
    <w:rsid w:val="00A34264"/>
    <w:rPr>
      <w:vertAlign w:val="superscript"/>
    </w:rPr>
  </w:style>
  <w:style w:type="paragraph" w:styleId="Lijstalinea">
    <w:name w:val="List Paragraph"/>
    <w:basedOn w:val="Standaard"/>
    <w:uiPriority w:val="34"/>
    <w:qFormat/>
    <w:rsid w:val="00A34264"/>
    <w:pPr>
      <w:ind w:left="720"/>
      <w:contextualSpacing/>
    </w:pPr>
  </w:style>
  <w:style w:type="table" w:styleId="Tabelraster">
    <w:name w:val="Table Grid"/>
    <w:basedOn w:val="Standaardtabel"/>
    <w:uiPriority w:val="59"/>
    <w:rsid w:val="00A3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E3D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3D04"/>
    <w:rPr>
      <w:rFonts w:ascii="Arial" w:hAnsi="Arial" w:cs="Arial"/>
      <w:sz w:val="19"/>
    </w:rPr>
  </w:style>
  <w:style w:type="paragraph" w:styleId="Voettekst">
    <w:name w:val="footer"/>
    <w:basedOn w:val="Standaard"/>
    <w:link w:val="VoettekstChar"/>
    <w:uiPriority w:val="99"/>
    <w:unhideWhenUsed/>
    <w:rsid w:val="00FE3D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3D04"/>
    <w:rPr>
      <w:rFonts w:ascii="Arial" w:hAnsi="Arial" w:cs="Arial"/>
      <w:sz w:val="19"/>
    </w:rPr>
  </w:style>
  <w:style w:type="paragraph" w:styleId="Ballontekst">
    <w:name w:val="Balloon Text"/>
    <w:basedOn w:val="Standaard"/>
    <w:link w:val="BallontekstChar"/>
    <w:uiPriority w:val="99"/>
    <w:semiHidden/>
    <w:unhideWhenUsed/>
    <w:rsid w:val="002A21C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21C9"/>
    <w:rPr>
      <w:rFonts w:ascii="Tahoma" w:hAnsi="Tahoma" w:cs="Tahoma"/>
      <w:sz w:val="16"/>
      <w:szCs w:val="16"/>
    </w:rPr>
  </w:style>
  <w:style w:type="character" w:styleId="Verwijzingopmerking">
    <w:name w:val="annotation reference"/>
    <w:basedOn w:val="Standaardalinea-lettertype"/>
    <w:uiPriority w:val="99"/>
    <w:semiHidden/>
    <w:unhideWhenUsed/>
    <w:rsid w:val="002A21C9"/>
    <w:rPr>
      <w:sz w:val="16"/>
      <w:szCs w:val="16"/>
    </w:rPr>
  </w:style>
  <w:style w:type="paragraph" w:styleId="Tekstopmerking">
    <w:name w:val="annotation text"/>
    <w:basedOn w:val="Standaard"/>
    <w:link w:val="TekstopmerkingChar"/>
    <w:uiPriority w:val="99"/>
    <w:semiHidden/>
    <w:unhideWhenUsed/>
    <w:rsid w:val="002A21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21C9"/>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2A21C9"/>
    <w:rPr>
      <w:b/>
      <w:bCs/>
    </w:rPr>
  </w:style>
  <w:style w:type="character" w:customStyle="1" w:styleId="OnderwerpvanopmerkingChar">
    <w:name w:val="Onderwerp van opmerking Char"/>
    <w:basedOn w:val="TekstopmerkingChar"/>
    <w:link w:val="Onderwerpvanopmerking"/>
    <w:uiPriority w:val="99"/>
    <w:semiHidden/>
    <w:rsid w:val="002A21C9"/>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342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4264"/>
    <w:rPr>
      <w:rFonts w:ascii="Arial" w:hAnsi="Arial" w:cs="Arial"/>
      <w:sz w:val="20"/>
      <w:szCs w:val="20"/>
    </w:rPr>
  </w:style>
  <w:style w:type="character" w:styleId="Voetnootmarkering">
    <w:name w:val="footnote reference"/>
    <w:uiPriority w:val="99"/>
    <w:rsid w:val="00A34264"/>
    <w:rPr>
      <w:vertAlign w:val="superscript"/>
    </w:rPr>
  </w:style>
  <w:style w:type="paragraph" w:styleId="Lijstalinea">
    <w:name w:val="List Paragraph"/>
    <w:basedOn w:val="Standaard"/>
    <w:uiPriority w:val="34"/>
    <w:qFormat/>
    <w:rsid w:val="00A34264"/>
    <w:pPr>
      <w:ind w:left="720"/>
      <w:contextualSpacing/>
    </w:pPr>
  </w:style>
  <w:style w:type="table" w:styleId="Tabelraster">
    <w:name w:val="Table Grid"/>
    <w:basedOn w:val="Standaardtabel"/>
    <w:uiPriority w:val="59"/>
    <w:rsid w:val="00A3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E3D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3D04"/>
    <w:rPr>
      <w:rFonts w:ascii="Arial" w:hAnsi="Arial" w:cs="Arial"/>
      <w:sz w:val="19"/>
    </w:rPr>
  </w:style>
  <w:style w:type="paragraph" w:styleId="Voettekst">
    <w:name w:val="footer"/>
    <w:basedOn w:val="Standaard"/>
    <w:link w:val="VoettekstChar"/>
    <w:uiPriority w:val="99"/>
    <w:unhideWhenUsed/>
    <w:rsid w:val="00FE3D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3D04"/>
    <w:rPr>
      <w:rFonts w:ascii="Arial" w:hAnsi="Arial" w:cs="Arial"/>
      <w:sz w:val="19"/>
    </w:rPr>
  </w:style>
  <w:style w:type="paragraph" w:styleId="Ballontekst">
    <w:name w:val="Balloon Text"/>
    <w:basedOn w:val="Standaard"/>
    <w:link w:val="BallontekstChar"/>
    <w:uiPriority w:val="99"/>
    <w:semiHidden/>
    <w:unhideWhenUsed/>
    <w:rsid w:val="002A21C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21C9"/>
    <w:rPr>
      <w:rFonts w:ascii="Tahoma" w:hAnsi="Tahoma" w:cs="Tahoma"/>
      <w:sz w:val="16"/>
      <w:szCs w:val="16"/>
    </w:rPr>
  </w:style>
  <w:style w:type="character" w:styleId="Verwijzingopmerking">
    <w:name w:val="annotation reference"/>
    <w:basedOn w:val="Standaardalinea-lettertype"/>
    <w:uiPriority w:val="99"/>
    <w:semiHidden/>
    <w:unhideWhenUsed/>
    <w:rsid w:val="002A21C9"/>
    <w:rPr>
      <w:sz w:val="16"/>
      <w:szCs w:val="16"/>
    </w:rPr>
  </w:style>
  <w:style w:type="paragraph" w:styleId="Tekstopmerking">
    <w:name w:val="annotation text"/>
    <w:basedOn w:val="Standaard"/>
    <w:link w:val="TekstopmerkingChar"/>
    <w:uiPriority w:val="99"/>
    <w:semiHidden/>
    <w:unhideWhenUsed/>
    <w:rsid w:val="002A21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21C9"/>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2A21C9"/>
    <w:rPr>
      <w:b/>
      <w:bCs/>
    </w:rPr>
  </w:style>
  <w:style w:type="character" w:customStyle="1" w:styleId="OnderwerpvanopmerkingChar">
    <w:name w:val="Onderwerp van opmerking Char"/>
    <w:basedOn w:val="TekstopmerkingChar"/>
    <w:link w:val="Onderwerpvanopmerking"/>
    <w:uiPriority w:val="99"/>
    <w:semiHidden/>
    <w:rsid w:val="002A21C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11314">
      <w:bodyDiv w:val="1"/>
      <w:marLeft w:val="0"/>
      <w:marRight w:val="0"/>
      <w:marTop w:val="0"/>
      <w:marBottom w:val="0"/>
      <w:divBdr>
        <w:top w:val="none" w:sz="0" w:space="0" w:color="auto"/>
        <w:left w:val="none" w:sz="0" w:space="0" w:color="auto"/>
        <w:bottom w:val="none" w:sz="0" w:space="0" w:color="auto"/>
        <w:right w:val="none" w:sz="0" w:space="0" w:color="auto"/>
      </w:divBdr>
    </w:div>
    <w:div w:id="9159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F943-63E3-4EA3-A586-B58DD3BF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8905</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Harden</dc:creator>
  <cp:lastModifiedBy>Miriam van Kuppenveld</cp:lastModifiedBy>
  <cp:revision>2</cp:revision>
  <cp:lastPrinted>2018-01-31T09:27:00Z</cp:lastPrinted>
  <dcterms:created xsi:type="dcterms:W3CDTF">2018-01-31T20:16:00Z</dcterms:created>
  <dcterms:modified xsi:type="dcterms:W3CDTF">2018-01-31T20:16:00Z</dcterms:modified>
</cp:coreProperties>
</file>