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2F177" w14:textId="15B5BA7D" w:rsidR="008D438E" w:rsidRDefault="006C3E11" w:rsidP="006C3E11">
      <w:pPr>
        <w:pStyle w:val="KeinLeerraum"/>
        <w:rPr>
          <w:rFonts w:ascii="Arial" w:hAnsi="Arial" w:cs="Arial"/>
          <w:b/>
          <w:color w:val="002060"/>
          <w:sz w:val="44"/>
          <w:szCs w:val="44"/>
        </w:rPr>
      </w:pPr>
      <w:r w:rsidRPr="00AD0E70">
        <w:rPr>
          <w:rFonts w:ascii="Arial" w:hAnsi="Arial" w:cs="Arial"/>
          <w:b/>
          <w:color w:val="002060"/>
          <w:sz w:val="44"/>
          <w:szCs w:val="44"/>
        </w:rPr>
        <w:t>Dunkelfeld</w:t>
      </w:r>
      <w:r w:rsidR="00AD0E70" w:rsidRPr="00AD0E70">
        <w:rPr>
          <w:rFonts w:ascii="Arial" w:hAnsi="Arial" w:cs="Arial"/>
          <w:b/>
          <w:color w:val="002060"/>
          <w:sz w:val="44"/>
          <w:szCs w:val="44"/>
        </w:rPr>
        <w:t>-</w:t>
      </w:r>
      <w:r w:rsidRPr="00AD0E70">
        <w:rPr>
          <w:rFonts w:ascii="Arial" w:hAnsi="Arial" w:cs="Arial"/>
          <w:b/>
          <w:color w:val="002060"/>
          <w:sz w:val="44"/>
          <w:szCs w:val="44"/>
        </w:rPr>
        <w:t>Diagnostik</w:t>
      </w:r>
      <w:r w:rsidR="00AD0E70" w:rsidRPr="00AD0E70">
        <w:rPr>
          <w:rFonts w:ascii="Arial" w:hAnsi="Arial" w:cs="Arial"/>
          <w:b/>
          <w:color w:val="002060"/>
          <w:sz w:val="44"/>
          <w:szCs w:val="44"/>
        </w:rPr>
        <w:t xml:space="preserve"> nach Enderlein</w:t>
      </w:r>
    </w:p>
    <w:p w14:paraId="77C009E0" w14:textId="5BE76B8E" w:rsidR="00AD0E70" w:rsidRDefault="00AD0E70" w:rsidP="006C3E11">
      <w:pPr>
        <w:pStyle w:val="KeinLeerraum"/>
        <w:rPr>
          <w:rFonts w:ascii="Arial" w:hAnsi="Arial" w:cs="Arial"/>
          <w:color w:val="000000" w:themeColor="text1"/>
          <w:sz w:val="24"/>
          <w:szCs w:val="24"/>
        </w:rPr>
      </w:pPr>
    </w:p>
    <w:p w14:paraId="5816163A" w14:textId="589057FF" w:rsidR="00827241" w:rsidRDefault="00827241" w:rsidP="00AD74AA">
      <w:pPr>
        <w:pStyle w:val="KeinLeerraum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Die Dunkelfeldmikroskopie wurde von Günther Enderlein entwickelt und stellt eine Möglichkeit dar, den Zustand </w:t>
      </w:r>
      <w:r w:rsidR="00632579">
        <w:rPr>
          <w:rFonts w:ascii="Arial" w:hAnsi="Arial" w:cs="Arial"/>
          <w:color w:val="000000" w:themeColor="text1"/>
          <w:sz w:val="24"/>
          <w:szCs w:val="24"/>
        </w:rPr>
        <w:t xml:space="preserve">unseres Blute und seiner Bestandteile, </w:t>
      </w:r>
      <w:proofErr w:type="gramStart"/>
      <w:r w:rsidR="00632579">
        <w:rPr>
          <w:rFonts w:ascii="Arial" w:hAnsi="Arial" w:cs="Arial"/>
          <w:color w:val="000000" w:themeColor="text1"/>
          <w:sz w:val="24"/>
          <w:szCs w:val="24"/>
        </w:rPr>
        <w:t>den  Blutkörper</w:t>
      </w:r>
      <w:r w:rsidR="00AD74AA">
        <w:rPr>
          <w:rFonts w:ascii="Arial" w:hAnsi="Arial" w:cs="Arial"/>
          <w:color w:val="000000" w:themeColor="text1"/>
          <w:sz w:val="24"/>
          <w:szCs w:val="24"/>
        </w:rPr>
        <w:t>chen</w:t>
      </w:r>
      <w:proofErr w:type="gramEnd"/>
      <w:r w:rsidR="00AD74AA">
        <w:rPr>
          <w:rFonts w:ascii="Arial" w:hAnsi="Arial" w:cs="Arial"/>
          <w:color w:val="000000" w:themeColor="text1"/>
          <w:sz w:val="24"/>
          <w:szCs w:val="24"/>
        </w:rPr>
        <w:t>, bildlich darzustellen.</w:t>
      </w:r>
    </w:p>
    <w:p w14:paraId="348CAD47" w14:textId="28AA04C2" w:rsidR="00AD74AA" w:rsidRDefault="00AE5419" w:rsidP="00AD74AA">
      <w:pPr>
        <w:pStyle w:val="KeinLeerraum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Beweglichkeit und Form der roten Blutkörperchen</w:t>
      </w:r>
      <w:r w:rsidR="00040842">
        <w:rPr>
          <w:rFonts w:ascii="Arial" w:hAnsi="Arial" w:cs="Arial"/>
          <w:color w:val="000000" w:themeColor="text1"/>
          <w:sz w:val="24"/>
          <w:szCs w:val="24"/>
        </w:rPr>
        <w:t>, Säurebelastungen und andere Erscheinungen sind unter dem Mikroskop zu erkenn</w:t>
      </w:r>
      <w:r w:rsidR="006810EC">
        <w:rPr>
          <w:rFonts w:ascii="Arial" w:hAnsi="Arial" w:cs="Arial"/>
          <w:color w:val="000000" w:themeColor="text1"/>
          <w:sz w:val="24"/>
          <w:szCs w:val="24"/>
        </w:rPr>
        <w:t>en und können für die weiteren Therapie-Ansätze genutzt werden.</w:t>
      </w:r>
    </w:p>
    <w:p w14:paraId="1D85493D" w14:textId="651EF23F" w:rsidR="006810EC" w:rsidRDefault="006810EC" w:rsidP="00AD74AA">
      <w:pPr>
        <w:pStyle w:val="KeinLeerraum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Wir haben eine </w:t>
      </w:r>
      <w:r w:rsidR="00003623">
        <w:rPr>
          <w:rFonts w:ascii="Arial" w:hAnsi="Arial" w:cs="Arial"/>
          <w:color w:val="000000" w:themeColor="text1"/>
          <w:sz w:val="24"/>
          <w:szCs w:val="24"/>
        </w:rPr>
        <w:t>1250fache Vergrößerung eines Tropfen Blutes aus Ihrer Fingerbeere</w:t>
      </w:r>
      <w:r w:rsidR="00BE4691">
        <w:rPr>
          <w:rFonts w:ascii="Arial" w:hAnsi="Arial" w:cs="Arial"/>
          <w:color w:val="000000" w:themeColor="text1"/>
          <w:sz w:val="24"/>
          <w:szCs w:val="24"/>
        </w:rPr>
        <w:t xml:space="preserve"> und Sie werden erstaunt sein, was </w:t>
      </w:r>
      <w:r w:rsidR="00111C7B">
        <w:rPr>
          <w:rFonts w:ascii="Arial" w:hAnsi="Arial" w:cs="Arial"/>
          <w:color w:val="000000" w:themeColor="text1"/>
          <w:sz w:val="24"/>
          <w:szCs w:val="24"/>
        </w:rPr>
        <w:t>wir daraus alles lesen können.</w:t>
      </w:r>
    </w:p>
    <w:p w14:paraId="6F4045E2" w14:textId="0FC5D7A1" w:rsidR="00111C7B" w:rsidRDefault="00111C7B" w:rsidP="00AD74AA">
      <w:pPr>
        <w:pStyle w:val="KeinLeerraum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3EDFDF3" w14:textId="4EA09B44" w:rsidR="00111C7B" w:rsidRDefault="00111C7B" w:rsidP="00AD74AA">
      <w:pPr>
        <w:pStyle w:val="KeinLeerraum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Was können wir erkennen?</w:t>
      </w:r>
    </w:p>
    <w:p w14:paraId="02715799" w14:textId="77777777" w:rsidR="00A32E54" w:rsidRDefault="00A32E54" w:rsidP="00AD74AA">
      <w:pPr>
        <w:pStyle w:val="KeinLeerraum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921E01E" w14:textId="34A25D67" w:rsidR="00111C7B" w:rsidRDefault="00335DFB" w:rsidP="00335DFB">
      <w:pPr>
        <w:pStyle w:val="KeinLeerraum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Zustand der roten und weißen Blutkörperchen</w:t>
      </w:r>
    </w:p>
    <w:p w14:paraId="53E5F7CE" w14:textId="7AA98284" w:rsidR="00335DFB" w:rsidRDefault="00335DFB" w:rsidP="00335DFB">
      <w:pPr>
        <w:pStyle w:val="KeinLeerraum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Säurebelastungen</w:t>
      </w:r>
    </w:p>
    <w:p w14:paraId="5400FAF6" w14:textId="66DC8F12" w:rsidR="00335DFB" w:rsidRDefault="00335DFB" w:rsidP="00335DFB">
      <w:pPr>
        <w:pStyle w:val="KeinLeerraum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Stoffwechselsituation</w:t>
      </w:r>
    </w:p>
    <w:p w14:paraId="36698BAB" w14:textId="009B0276" w:rsidR="00335DFB" w:rsidRDefault="0095725E" w:rsidP="00335DFB">
      <w:pPr>
        <w:pStyle w:val="KeinLeerraum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Immunstatus</w:t>
      </w:r>
    </w:p>
    <w:p w14:paraId="55BA167F" w14:textId="54F86B26" w:rsidR="0095725E" w:rsidRDefault="0095725E" w:rsidP="00335DFB">
      <w:pPr>
        <w:pStyle w:val="KeinLeerraum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Seelisch-psychische Verfassung, Erschöpfungszustände</w:t>
      </w:r>
    </w:p>
    <w:p w14:paraId="593383D2" w14:textId="2408450E" w:rsidR="0095725E" w:rsidRDefault="00A77570" w:rsidP="00335DFB">
      <w:pPr>
        <w:pStyle w:val="KeinLeerraum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Mangelzustände von Eisen und Vitamin B12</w:t>
      </w:r>
    </w:p>
    <w:p w14:paraId="6C4E0173" w14:textId="7FB5E3C5" w:rsidR="00A77570" w:rsidRDefault="00A77570" w:rsidP="00335DFB">
      <w:pPr>
        <w:pStyle w:val="KeinLeerraum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Erkrankungen des rh</w:t>
      </w:r>
      <w:r w:rsidR="00A32E54">
        <w:rPr>
          <w:rFonts w:ascii="Arial" w:hAnsi="Arial" w:cs="Arial"/>
          <w:color w:val="000000" w:themeColor="text1"/>
          <w:sz w:val="28"/>
          <w:szCs w:val="28"/>
        </w:rPr>
        <w:t>eumatischen Formenkreises</w:t>
      </w:r>
    </w:p>
    <w:p w14:paraId="7FEFF007" w14:textId="513A3E88" w:rsidR="00A32E54" w:rsidRDefault="00A32E54" w:rsidP="00335DFB">
      <w:pPr>
        <w:pStyle w:val="KeinLeerraum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Belastungen mit Toxinen und Schwermetallen</w:t>
      </w:r>
    </w:p>
    <w:p w14:paraId="427DB8DB" w14:textId="6C29850B" w:rsidR="00A32E54" w:rsidRDefault="00A32E54" w:rsidP="00A32E54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0FE1EEE2" w14:textId="1B356657" w:rsidR="00A32E54" w:rsidRDefault="00A86A66" w:rsidP="00A32E54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Neben der Feststellung der gesundheitlichen Schwachstellen erhalten Sie einen Therapieplan für zu Hause</w:t>
      </w:r>
      <w:r w:rsidR="00AF6C9E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6AA3D14C" w14:textId="29A14B92" w:rsidR="00AF6C9E" w:rsidRDefault="00AF6C9E" w:rsidP="00A32E54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2BDCD64A" w14:textId="78D14EDA" w:rsidR="00AF6C9E" w:rsidRDefault="00AF6C9E" w:rsidP="00A32E54">
      <w:pPr>
        <w:pStyle w:val="KeinLeerraum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Dauer ca. 60 Minuten – Diagnostik/Beratung und Therapieplan </w:t>
      </w:r>
      <w:r w:rsidR="00D75872">
        <w:rPr>
          <w:rFonts w:ascii="Arial" w:hAnsi="Arial" w:cs="Arial"/>
          <w:b/>
          <w:color w:val="000000" w:themeColor="text1"/>
          <w:sz w:val="28"/>
          <w:szCs w:val="28"/>
        </w:rPr>
        <w:t>90,- €</w:t>
      </w:r>
    </w:p>
    <w:p w14:paraId="10CAEE25" w14:textId="541EB91D" w:rsidR="00D75872" w:rsidRDefault="00D75872" w:rsidP="00A32E54">
      <w:pPr>
        <w:pStyle w:val="KeinLeerraum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9B065CD" w14:textId="3F3E4243" w:rsidR="00D75872" w:rsidRDefault="00D75872" w:rsidP="00A32E54">
      <w:pPr>
        <w:pStyle w:val="KeinLeerraum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280E78B" w14:textId="194EF3DD" w:rsidR="00D75872" w:rsidRDefault="00D75872" w:rsidP="00D75872">
      <w:pPr>
        <w:pStyle w:val="KeinLeerraum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inline distT="0" distB="0" distL="0" distR="0" wp14:anchorId="0472ABD9" wp14:editId="12C1365B">
            <wp:extent cx="4124325" cy="30932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174" cy="309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1E9C" w14:textId="3E18F86D" w:rsidR="00FF19CA" w:rsidRDefault="00FF19CA" w:rsidP="00D75872">
      <w:pPr>
        <w:pStyle w:val="KeinLeerraum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EFF3873" w14:textId="00257F3B" w:rsidR="00FF19CA" w:rsidRDefault="00FF19CA" w:rsidP="00D75872">
      <w:pPr>
        <w:pStyle w:val="KeinLeerraum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98E99AE" w14:textId="2EAA783D" w:rsidR="00FF19CA" w:rsidRDefault="00FF19CA" w:rsidP="00D75872">
      <w:pPr>
        <w:pStyle w:val="KeinLeerraum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CD37DB9" w14:textId="78CABB38" w:rsidR="00FF19CA" w:rsidRDefault="00FF19CA" w:rsidP="00D75872">
      <w:pPr>
        <w:pStyle w:val="KeinLeerraum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inline distT="0" distB="0" distL="0" distR="0" wp14:anchorId="68E9A7E7" wp14:editId="42BEA053">
            <wp:extent cx="5760720" cy="43205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3C65" w14:textId="3E7BC11F" w:rsidR="00E806A8" w:rsidRPr="00E806A8" w:rsidRDefault="00E806A8" w:rsidP="00D75872">
      <w:pPr>
        <w:pStyle w:val="KeinLeerraum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Typische Geldrollenbildung bei Stre</w:t>
      </w:r>
      <w:r w:rsidR="000710A1">
        <w:rPr>
          <w:rFonts w:ascii="Arial" w:hAnsi="Arial" w:cs="Arial"/>
          <w:color w:val="000000" w:themeColor="text1"/>
          <w:sz w:val="28"/>
          <w:szCs w:val="28"/>
        </w:rPr>
        <w:t>ss und Verdauungsstörungen</w:t>
      </w:r>
    </w:p>
    <w:p w14:paraId="7D15F4D3" w14:textId="4E5E4CE5" w:rsidR="00411CE9" w:rsidRDefault="00411CE9" w:rsidP="00D75872">
      <w:pPr>
        <w:pStyle w:val="KeinLeerraum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2B8CBFB" w14:textId="5676070B" w:rsidR="00411CE9" w:rsidRDefault="00411CE9" w:rsidP="00D75872">
      <w:pPr>
        <w:pStyle w:val="KeinLeerraum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8F906F1" w14:textId="173B797E" w:rsidR="00411CE9" w:rsidRDefault="00411CE9" w:rsidP="00D75872">
      <w:pPr>
        <w:pStyle w:val="KeinLeerraum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inline distT="0" distB="0" distL="0" distR="0" wp14:anchorId="5E63573C" wp14:editId="22DF4864">
            <wp:extent cx="4933950" cy="370046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5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62" cy="370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8514" w14:textId="509CAD9C" w:rsidR="00FF39E4" w:rsidRPr="00FF39E4" w:rsidRDefault="00FF39E4" w:rsidP="00D75872">
      <w:pPr>
        <w:pStyle w:val="KeinLeerraum"/>
        <w:jc w:val="center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FF39E4">
        <w:rPr>
          <w:rFonts w:ascii="Arial" w:hAnsi="Arial" w:cs="Arial"/>
          <w:color w:val="000000" w:themeColor="text1"/>
          <w:sz w:val="28"/>
          <w:szCs w:val="28"/>
        </w:rPr>
        <w:t>Apergillus-Symplast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3D3AA7">
        <w:rPr>
          <w:rFonts w:ascii="Arial" w:hAnsi="Arial" w:cs="Arial"/>
          <w:color w:val="000000" w:themeColor="text1"/>
          <w:sz w:val="28"/>
          <w:szCs w:val="28"/>
        </w:rPr>
        <w:t xml:space="preserve">Säurebelastung </w:t>
      </w:r>
      <w:bookmarkStart w:id="0" w:name="_GoBack"/>
      <w:bookmarkEnd w:id="0"/>
    </w:p>
    <w:sectPr w:rsidR="00FF39E4" w:rsidRPr="00FF39E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193E"/>
    <w:multiLevelType w:val="hybridMultilevel"/>
    <w:tmpl w:val="18DAD40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B0C"/>
    <w:rsid w:val="00003623"/>
    <w:rsid w:val="00040842"/>
    <w:rsid w:val="000710A1"/>
    <w:rsid w:val="00111C7B"/>
    <w:rsid w:val="00335DFB"/>
    <w:rsid w:val="003D3AA7"/>
    <w:rsid w:val="00411CE9"/>
    <w:rsid w:val="00632579"/>
    <w:rsid w:val="006810EC"/>
    <w:rsid w:val="006C3E11"/>
    <w:rsid w:val="00827241"/>
    <w:rsid w:val="008D438E"/>
    <w:rsid w:val="0095725E"/>
    <w:rsid w:val="00A32E54"/>
    <w:rsid w:val="00A77570"/>
    <w:rsid w:val="00A86A66"/>
    <w:rsid w:val="00AD0E70"/>
    <w:rsid w:val="00AD74AA"/>
    <w:rsid w:val="00AE5419"/>
    <w:rsid w:val="00AF6C9E"/>
    <w:rsid w:val="00BE4691"/>
    <w:rsid w:val="00C62B0C"/>
    <w:rsid w:val="00D75872"/>
    <w:rsid w:val="00E806A8"/>
    <w:rsid w:val="00FF19CA"/>
    <w:rsid w:val="00FF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0C3C4"/>
  <w15:chartTrackingRefBased/>
  <w15:docId w15:val="{D9C16FE8-495D-49E1-9EF0-6CF7C1052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C3E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997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Vohs</dc:creator>
  <cp:keywords/>
  <dc:description/>
  <cp:lastModifiedBy>Cornelia Vohs</cp:lastModifiedBy>
  <cp:revision>25</cp:revision>
  <dcterms:created xsi:type="dcterms:W3CDTF">2019-01-14T18:49:00Z</dcterms:created>
  <dcterms:modified xsi:type="dcterms:W3CDTF">2019-01-14T19:06:00Z</dcterms:modified>
</cp:coreProperties>
</file>