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29" w:rsidRDefault="006F0396">
      <w:pPr>
        <w:pStyle w:val="Standard"/>
        <w:widowControl w:val="0"/>
        <w:tabs>
          <w:tab w:val="center" w:pos="5052"/>
        </w:tabs>
        <w:jc w:val="center"/>
        <w:rPr>
          <w:rFonts w:ascii="Arial" w:hAnsi="Arial" w:cs="Calibri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Calibri"/>
          <w:b/>
          <w:sz w:val="24"/>
          <w:szCs w:val="24"/>
        </w:rPr>
        <w:t>MINUTES OF BOARD OF OFFICERS MEETING</w:t>
      </w:r>
    </w:p>
    <w:p w:rsidR="003A6229" w:rsidRDefault="003A6229">
      <w:pPr>
        <w:pStyle w:val="Standard"/>
        <w:widowControl w:val="0"/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jc w:val="both"/>
      </w:pPr>
      <w:r>
        <w:rPr>
          <w:rFonts w:ascii="Arial" w:hAnsi="Arial" w:cs="Calibri"/>
          <w:sz w:val="24"/>
          <w:szCs w:val="24"/>
        </w:rPr>
        <w:t xml:space="preserve">The Governing Board of the Yucca Fire District met in regular session </w:t>
      </w:r>
      <w:r>
        <w:rPr>
          <w:rFonts w:ascii="Arial" w:hAnsi="Arial" w:cs="Calibri"/>
          <w:b/>
          <w:sz w:val="24"/>
          <w:szCs w:val="24"/>
          <w:u w:val="single"/>
        </w:rPr>
        <w:t>ON Tuesday May 15, 2018 at 4:30 p.m.</w:t>
      </w:r>
      <w:r>
        <w:rPr>
          <w:rFonts w:ascii="Arial" w:hAnsi="Arial" w:cs="Calibri"/>
          <w:sz w:val="24"/>
          <w:szCs w:val="24"/>
        </w:rPr>
        <w:t xml:space="preserve">  The meeting was held at the Fire District Headquarters Annex at 12349 Frontage Road, Yucca, AZ 86438.  </w:t>
      </w:r>
    </w:p>
    <w:p w:rsidR="003A6229" w:rsidRDefault="003A6229">
      <w:pPr>
        <w:pStyle w:val="Standard"/>
        <w:jc w:val="both"/>
      </w:pPr>
    </w:p>
    <w:p w:rsidR="003A6229" w:rsidRDefault="003A6229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widowControl w:val="0"/>
        <w:tabs>
          <w:tab w:val="center" w:pos="5052"/>
        </w:tabs>
        <w:jc w:val="center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AGENDA</w:t>
      </w:r>
    </w:p>
    <w:p w:rsidR="003A6229" w:rsidRDefault="006F0396">
      <w:pPr>
        <w:pStyle w:val="Standard"/>
        <w:widowControl w:val="0"/>
        <w:numPr>
          <w:ilvl w:val="0"/>
          <w:numId w:val="20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CALL TO ORDER 1631</w:t>
      </w:r>
    </w:p>
    <w:p w:rsidR="003A6229" w:rsidRDefault="006F0396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ROLL CALL OF THE BOARD MEMBERS All Board Members Present</w:t>
      </w:r>
    </w:p>
    <w:p w:rsidR="003A6229" w:rsidRDefault="006F0396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 xml:space="preserve">PLEDGE OF ALLEGIANCE – Led by Wayne </w:t>
      </w:r>
      <w:proofErr w:type="spellStart"/>
      <w:r>
        <w:rPr>
          <w:rFonts w:ascii="Arial" w:hAnsi="Arial" w:cs="Calibri"/>
          <w:b/>
          <w:sz w:val="24"/>
          <w:szCs w:val="24"/>
        </w:rPr>
        <w:t>Kudrna</w:t>
      </w:r>
      <w:proofErr w:type="spellEnd"/>
    </w:p>
    <w:p w:rsidR="003A6229" w:rsidRDefault="006F0396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 xml:space="preserve">APPROVAL OF MINUTES – </w:t>
      </w:r>
      <w:r>
        <w:rPr>
          <w:rFonts w:ascii="Arial" w:hAnsi="Arial" w:cs="Calibri"/>
          <w:b/>
          <w:sz w:val="24"/>
          <w:szCs w:val="24"/>
        </w:rPr>
        <w:t>Motion Bob Mayo - 2</w:t>
      </w:r>
      <w:r>
        <w:rPr>
          <w:rFonts w:ascii="Arial" w:hAnsi="Arial" w:cs="Calibri"/>
          <w:b/>
          <w:sz w:val="24"/>
          <w:szCs w:val="24"/>
          <w:vertAlign w:val="superscript"/>
        </w:rPr>
        <w:t>nd</w:t>
      </w:r>
      <w:r>
        <w:rPr>
          <w:rFonts w:ascii="Arial" w:hAnsi="Arial" w:cs="Calibri"/>
          <w:b/>
          <w:sz w:val="24"/>
          <w:szCs w:val="24"/>
        </w:rPr>
        <w:t xml:space="preserve"> Ronnie Robbins M/Cx3</w:t>
      </w:r>
    </w:p>
    <w:p w:rsidR="003A6229" w:rsidRDefault="003A6229">
      <w:pPr>
        <w:pStyle w:val="ListParagraph"/>
        <w:ind w:left="1080"/>
        <w:jc w:val="both"/>
        <w:rPr>
          <w:rFonts w:ascii="Arial" w:hAnsi="Arial" w:cs="Calibri"/>
          <w:b/>
          <w:sz w:val="24"/>
          <w:szCs w:val="24"/>
        </w:rPr>
      </w:pPr>
    </w:p>
    <w:p w:rsidR="003A6229" w:rsidRDefault="006F0396">
      <w:pPr>
        <w:pStyle w:val="ListParagraph"/>
        <w:numPr>
          <w:ilvl w:val="0"/>
          <w:numId w:val="21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REPORTS AND CORRESPONDENCE</w:t>
      </w: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</w:p>
    <w:p w:rsidR="003A6229" w:rsidRDefault="006F0396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 xml:space="preserve">Financial Review:  </w:t>
      </w:r>
      <w:r>
        <w:rPr>
          <w:rFonts w:ascii="Arial" w:hAnsi="Arial" w:cs="Calibri"/>
          <w:b/>
          <w:color w:val="FF0000"/>
          <w:sz w:val="24"/>
          <w:szCs w:val="24"/>
        </w:rPr>
        <w:t xml:space="preserve"> </w:t>
      </w: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</w:p>
    <w:p w:rsidR="003A6229" w:rsidRDefault="006F0396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Fire Chief’s Report:</w:t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Calls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Medical – 24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Structure Fire – 0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Vehicle Fire - 3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Brush Fire - 2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MVA – 4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Unfounded/Canceled/False Alarm – 3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Public Assist – 3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Other - 4</w:t>
      </w: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Training</w:t>
      </w:r>
    </w:p>
    <w:p w:rsidR="003A6229" w:rsidRDefault="006F0396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  <w:t>V.b.ii.1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</w:p>
    <w:p w:rsidR="003A6229" w:rsidRDefault="006F0396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Operations</w:t>
      </w:r>
    </w:p>
    <w:p w:rsidR="003A6229" w:rsidRDefault="003A6229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3A6229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Projects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proofErr w:type="spellStart"/>
      <w:r>
        <w:rPr>
          <w:rFonts w:ascii="Arial" w:hAnsi="Arial" w:cs="Calibri"/>
          <w:sz w:val="24"/>
          <w:szCs w:val="24"/>
        </w:rPr>
        <w:t>Brownsfield</w:t>
      </w:r>
      <w:proofErr w:type="spellEnd"/>
      <w:r>
        <w:rPr>
          <w:rFonts w:ascii="Arial" w:hAnsi="Arial" w:cs="Calibri"/>
          <w:sz w:val="24"/>
          <w:szCs w:val="24"/>
        </w:rPr>
        <w:t xml:space="preserve"> is still ongoing. Building has been torn down and cement slab is exposed. Will be meeting with </w:t>
      </w:r>
      <w:proofErr w:type="spellStart"/>
      <w:r>
        <w:rPr>
          <w:rFonts w:ascii="Arial" w:hAnsi="Arial" w:cs="Calibri"/>
          <w:sz w:val="24"/>
          <w:szCs w:val="24"/>
        </w:rPr>
        <w:t>Brownsfield</w:t>
      </w:r>
      <w:proofErr w:type="spellEnd"/>
      <w:r>
        <w:rPr>
          <w:rFonts w:ascii="Arial" w:hAnsi="Arial" w:cs="Calibri"/>
          <w:sz w:val="24"/>
          <w:szCs w:val="24"/>
        </w:rPr>
        <w:t xml:space="preserve"> and CDBG regarding phase three. Update to be given.</w:t>
      </w:r>
    </w:p>
    <w:p w:rsidR="003A6229" w:rsidRDefault="003A6229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Staff</w:t>
      </w:r>
    </w:p>
    <w:p w:rsidR="003A6229" w:rsidRDefault="006F0396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Activities</w:t>
      </w: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Volunteers</w:t>
      </w:r>
    </w:p>
    <w:p w:rsidR="003A6229" w:rsidRDefault="003A6229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New Applications</w:t>
      </w: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Billing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Wildland Billing</w:t>
      </w:r>
    </w:p>
    <w:p w:rsidR="003A6229" w:rsidRDefault="006F039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lastRenderedPageBreak/>
        <w:t>Medical Billing</w:t>
      </w:r>
    </w:p>
    <w:p w:rsidR="003A6229" w:rsidRDefault="003A6229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3A6229"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Grants</w:t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AFG Grant – Vehicle – Update and current status</w:t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AFG Grant – Fire Prevention – Update and current status</w:t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Homeland Security – Terrorist Attack Grant Communication – Update and current status</w:t>
      </w:r>
    </w:p>
    <w:p w:rsidR="003A6229" w:rsidRDefault="003A6229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3A6229" w:rsidRDefault="006F0396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Correspondence:</w:t>
      </w:r>
      <w:r>
        <w:rPr>
          <w:rFonts w:ascii="Arial" w:hAnsi="Arial" w:cs="Calibri"/>
          <w:b/>
          <w:sz w:val="24"/>
          <w:szCs w:val="24"/>
        </w:rPr>
        <w:tab/>
      </w:r>
    </w:p>
    <w:p w:rsidR="003A6229" w:rsidRDefault="003A6229">
      <w:pPr>
        <w:pStyle w:val="Standard"/>
        <w:numPr>
          <w:ilvl w:val="2"/>
          <w:numId w:val="6"/>
        </w:numPr>
        <w:jc w:val="both"/>
      </w:pPr>
    </w:p>
    <w:p w:rsidR="003A6229" w:rsidRDefault="006F0396">
      <w:pPr>
        <w:pStyle w:val="Standard"/>
        <w:jc w:val="both"/>
      </w:pPr>
      <w:r>
        <w:rPr>
          <w:rFonts w:ascii="Arial" w:hAnsi="Arial" w:cs="Calibri"/>
          <w:b/>
          <w:sz w:val="24"/>
          <w:szCs w:val="24"/>
        </w:rPr>
        <w:tab/>
      </w:r>
    </w:p>
    <w:p w:rsidR="003A6229" w:rsidRDefault="006F0396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Board Chairman’s Report</w:t>
      </w:r>
    </w:p>
    <w:p w:rsidR="003A6229" w:rsidRDefault="006F039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None</w:t>
      </w:r>
    </w:p>
    <w:p w:rsidR="003A6229" w:rsidRDefault="003A6229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</w:p>
    <w:p w:rsidR="003A6229" w:rsidRDefault="006F0396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>NEW BUSINESS:</w:t>
      </w:r>
    </w:p>
    <w:p w:rsidR="003A6229" w:rsidRDefault="006F039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ab/>
      </w:r>
    </w:p>
    <w:p w:rsidR="003A6229" w:rsidRDefault="003A6229">
      <w:pPr>
        <w:pStyle w:val="Standard"/>
        <w:jc w:val="both"/>
      </w:pPr>
    </w:p>
    <w:p w:rsidR="003A6229" w:rsidRDefault="003A6229">
      <w:pPr>
        <w:pStyle w:val="Standard"/>
        <w:jc w:val="both"/>
      </w:pPr>
    </w:p>
    <w:p w:rsidR="003A6229" w:rsidRDefault="006F0396">
      <w:pPr>
        <w:pStyle w:val="ListParagraph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OLD BUSINESS:</w:t>
      </w:r>
    </w:p>
    <w:p w:rsidR="003A6229" w:rsidRDefault="006F039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         Incident Involving 1313 - Update   </w:t>
      </w:r>
    </w:p>
    <w:p w:rsidR="003A6229" w:rsidRDefault="006F0396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  <w:r>
        <w:t xml:space="preserve">           </w:t>
      </w:r>
    </w:p>
    <w:p w:rsidR="003A6229" w:rsidRDefault="006F0396">
      <w:pPr>
        <w:pStyle w:val="Standard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ADJOURNMENT:  1732</w:t>
      </w:r>
    </w:p>
    <w:p w:rsidR="003A6229" w:rsidRDefault="003A6229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</w:p>
    <w:p w:rsidR="003A6229" w:rsidRDefault="003A6229">
      <w:pPr>
        <w:pStyle w:val="NoSpacing"/>
        <w:jc w:val="center"/>
      </w:pPr>
    </w:p>
    <w:sectPr w:rsidR="003A6229">
      <w:footerReference w:type="default" r:id="rId7"/>
      <w:headerReference w:type="first" r:id="rId8"/>
      <w:endnotePr>
        <w:numFmt w:val="decimal"/>
      </w:endnotePr>
      <w:pgSz w:w="12240" w:h="15840"/>
      <w:pgMar w:top="720" w:right="720" w:bottom="72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96" w:rsidRDefault="006F0396">
      <w:r>
        <w:separator/>
      </w:r>
    </w:p>
  </w:endnote>
  <w:endnote w:type="continuationSeparator" w:id="0">
    <w:p w:rsidR="006F0396" w:rsidRDefault="006F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EA" w:rsidRDefault="006F03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96" w:rsidRDefault="006F0396">
      <w:r>
        <w:rPr>
          <w:color w:val="000000"/>
        </w:rPr>
        <w:separator/>
      </w:r>
    </w:p>
  </w:footnote>
  <w:footnote w:type="continuationSeparator" w:id="0">
    <w:p w:rsidR="006F0396" w:rsidRDefault="006F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EA" w:rsidRDefault="006F03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E11"/>
    <w:multiLevelType w:val="multilevel"/>
    <w:tmpl w:val="61D0F692"/>
    <w:styleLink w:val="WWNum19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abstractNum w:abstractNumId="1" w15:restartNumberingAfterBreak="0">
    <w:nsid w:val="10222990"/>
    <w:multiLevelType w:val="multilevel"/>
    <w:tmpl w:val="869C881A"/>
    <w:styleLink w:val="WWNum17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2" w15:restartNumberingAfterBreak="0">
    <w:nsid w:val="148B4D68"/>
    <w:multiLevelType w:val="multilevel"/>
    <w:tmpl w:val="CAD26444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71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1C8D76A4"/>
    <w:multiLevelType w:val="multilevel"/>
    <w:tmpl w:val="9BFC9BFA"/>
    <w:styleLink w:val="WWNum1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68014C"/>
    <w:multiLevelType w:val="multilevel"/>
    <w:tmpl w:val="D590AC08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317542F"/>
    <w:multiLevelType w:val="multilevel"/>
    <w:tmpl w:val="B2167F16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86021A5"/>
    <w:multiLevelType w:val="multilevel"/>
    <w:tmpl w:val="F00CAE46"/>
    <w:styleLink w:val="WWNum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4014A71"/>
    <w:multiLevelType w:val="multilevel"/>
    <w:tmpl w:val="0C1E496A"/>
    <w:styleLink w:val="WWNum12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D30EA5"/>
    <w:multiLevelType w:val="multilevel"/>
    <w:tmpl w:val="25B4B3BE"/>
    <w:styleLink w:val="WWNum5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9" w15:restartNumberingAfterBreak="0">
    <w:nsid w:val="462D76BD"/>
    <w:multiLevelType w:val="multilevel"/>
    <w:tmpl w:val="1BDE906A"/>
    <w:styleLink w:val="WWNum3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575941AE"/>
    <w:multiLevelType w:val="multilevel"/>
    <w:tmpl w:val="E684FBEA"/>
    <w:styleLink w:val="WWNum1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1" w15:restartNumberingAfterBreak="0">
    <w:nsid w:val="59B25847"/>
    <w:multiLevelType w:val="multilevel"/>
    <w:tmpl w:val="E6F6E722"/>
    <w:styleLink w:val="WW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2" w15:restartNumberingAfterBreak="0">
    <w:nsid w:val="5F9362B8"/>
    <w:multiLevelType w:val="multilevel"/>
    <w:tmpl w:val="FB36CE18"/>
    <w:styleLink w:val="WWNum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3" w15:restartNumberingAfterBreak="0">
    <w:nsid w:val="66452D39"/>
    <w:multiLevelType w:val="multilevel"/>
    <w:tmpl w:val="5FA249C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ACC7007"/>
    <w:multiLevelType w:val="multilevel"/>
    <w:tmpl w:val="28EE8EA2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707F0EDC"/>
    <w:multiLevelType w:val="multilevel"/>
    <w:tmpl w:val="785CC33C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1D96989"/>
    <w:multiLevelType w:val="multilevel"/>
    <w:tmpl w:val="EE4442D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72E21568"/>
    <w:multiLevelType w:val="multilevel"/>
    <w:tmpl w:val="FC18C00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790912E5"/>
    <w:multiLevelType w:val="multilevel"/>
    <w:tmpl w:val="2062A67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8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16"/>
  </w:num>
  <w:num w:numId="17">
    <w:abstractNumId w:val="1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3A6229"/>
    <w:rsid w:val="003A6229"/>
    <w:rsid w:val="006F0396"/>
    <w:rsid w:val="008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1F7B8-C21C-4C43-999A-B3B23C0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NoSpacing">
    <w:name w:val="No Spacing"/>
    <w:pPr>
      <w:suppressAutoHyphens/>
    </w:pPr>
  </w:style>
  <w:style w:type="character" w:styleId="FootnoteReference">
    <w:name w:val="footnote referen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FootnoteSymbol">
    <w:name w:val="Foot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09-19-17%20Agenda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Cimpress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Whittington</dc:creator>
  <cp:lastModifiedBy>Khushalkumar Patel</cp:lastModifiedBy>
  <cp:revision>2</cp:revision>
  <cp:lastPrinted>2018-05-14T18:32:00Z</cp:lastPrinted>
  <dcterms:created xsi:type="dcterms:W3CDTF">2021-05-27T03:34:00Z</dcterms:created>
  <dcterms:modified xsi:type="dcterms:W3CDTF">2021-05-27T03:34:00Z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Boyle, Pecharich, Cline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