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center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>Little Lanes</w:t>
      </w:r>
    </w:p>
    <w:p>
      <w:pPr>
        <w:pStyle w:val="No Spacing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Aggressive Behaviour Policy</w:t>
      </w:r>
    </w:p>
    <w:p>
      <w:pPr>
        <w:pStyle w:val="Body A"/>
        <w:rPr>
          <w:sz w:val="22"/>
          <w:szCs w:val="22"/>
          <w:lang w:val="en-US"/>
        </w:rPr>
      </w:pPr>
    </w:p>
    <w:p>
      <w:pPr>
        <w:pStyle w:val="HB body"/>
      </w:pP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Little Lanes</w:t>
      </w:r>
      <w:r>
        <w:rPr>
          <w:rtl w:val="0"/>
          <w:lang w:val="en-US"/>
        </w:rPr>
        <w:t xml:space="preserve"> does not tolerate from any person, whether a parent, carer or visitor: bullying; aggressive, confrontational or threatening behaviour; or behaviour intended to result in conflict. Our Club is a place of safety and security for the children who attend and for the staff who work here. </w:t>
      </w:r>
    </w:p>
    <w:p>
      <w:pPr>
        <w:pStyle w:val="Body A"/>
        <w:spacing w:before="240" w:after="120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Unacceptable behaviour</w:t>
      </w:r>
    </w:p>
    <w:p>
      <w:pPr>
        <w:pStyle w:val="Body A"/>
        <w:spacing w:after="120"/>
        <w:rPr>
          <w:rFonts w:ascii="Trebuchet MS" w:cs="Trebuchet MS" w:hAnsi="Trebuchet MS" w:eastAsia="Trebuchet MS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Unacceptable behaviour includes, but is not limited to, the following: 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Shouting at members of staff, whether in person or over the telephone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Physically intimidating a member of staff, eg standing too close or blocking their exit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Using aggressive or abusive hand gestures, eg shaking a fist towards another person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Any other threatening behaviour, both physical and verbal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Swearing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Physical violence: pushing, hitting, slapping, punching or kicking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Spitting</w:t>
      </w:r>
    </w:p>
    <w:p>
      <w:pPr>
        <w:pStyle w:val="Body A"/>
        <w:numPr>
          <w:ilvl w:val="0"/>
          <w:numId w:val="2"/>
        </w:numPr>
        <w:bidi w:val="0"/>
        <w:spacing w:after="4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Racist or sexist or otherwise abusive comments.</w:t>
      </w:r>
    </w:p>
    <w:p>
      <w:pPr>
        <w:pStyle w:val="No Spacing"/>
        <w:spacing w:before="120" w:after="120"/>
        <w:rPr>
          <w:rFonts w:ascii="Trebuchet MS" w:cs="Trebuchet MS" w:hAnsi="Trebuchet MS" w:eastAsia="Trebuchet MS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At </w:t>
      </w:r>
      <w:r>
        <w:rPr>
          <w:rFonts w:ascii="Trebuchet MS" w:hAnsi="Trebuchet MS"/>
          <w:outline w:val="0"/>
          <w:color w:val="0000ff"/>
          <w:sz w:val="22"/>
          <w:szCs w:val="22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Little Lanes</w:t>
      </w:r>
      <w:r>
        <w:rPr>
          <w:rFonts w:ascii="Trebuchet MS" w:hAnsi="Trebuchet MS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we do not tolerate such behaviour whether it is directed at the staff or at any of the children in our care.</w:t>
      </w:r>
    </w:p>
    <w:p>
      <w:pPr>
        <w:pStyle w:val="Body A"/>
        <w:spacing w:before="240" w:after="12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Procedure</w:t>
      </w:r>
    </w:p>
    <w:p>
      <w:pPr>
        <w:pStyle w:val="Body A"/>
        <w:spacing w:after="1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If a parent, carer or member of the public behaves in an unacceptable way towards a member of staff or a child attending the Club, we will take the following steps:</w:t>
      </w:r>
    </w:p>
    <w:p>
      <w:pPr>
        <w:pStyle w:val="Body A"/>
        <w:numPr>
          <w:ilvl w:val="0"/>
          <w:numId w:val="4"/>
        </w:numPr>
        <w:bidi w:val="0"/>
        <w:spacing w:after="4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 xml:space="preserve">In order to ensure the safety of the children and to limit possible distress, we will remove them from the vicinity of the incident. </w:t>
      </w:r>
    </w:p>
    <w:p>
      <w:pPr>
        <w:pStyle w:val="Body A"/>
        <w:numPr>
          <w:ilvl w:val="0"/>
          <w:numId w:val="4"/>
        </w:numPr>
        <w:bidi w:val="0"/>
        <w:spacing w:after="4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 xml:space="preserve">The manager or senior member of staff will seek to resolve the situation through calm discussion. </w:t>
      </w:r>
    </w:p>
    <w:p>
      <w:pPr>
        <w:pStyle w:val="Body A"/>
        <w:numPr>
          <w:ilvl w:val="0"/>
          <w:numId w:val="4"/>
        </w:numPr>
        <w:bidi w:val="0"/>
        <w:spacing w:after="4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If the individual wishes to make a complaint we will encourage them to follow the Club</w:t>
      </w:r>
      <w:r>
        <w:rPr>
          <w:rFonts w:ascii="Trebuchet MS" w:hAnsi="Trebuchet MS" w:hint="default"/>
          <w:sz w:val="22"/>
          <w:szCs w:val="22"/>
          <w:rtl w:val="0"/>
          <w:lang w:val="en-US"/>
        </w:rPr>
        <w:t>’</w:t>
      </w:r>
      <w:r>
        <w:rPr>
          <w:rFonts w:ascii="Trebuchet MS" w:hAnsi="Trebuchet MS"/>
          <w:sz w:val="22"/>
          <w:szCs w:val="22"/>
          <w:rtl w:val="0"/>
          <w:lang w:val="en-US"/>
        </w:rPr>
        <w:t>s Complaints procedure, or to complain directly to Ofsted if they so choose.</w:t>
      </w:r>
    </w:p>
    <w:p>
      <w:pPr>
        <w:pStyle w:val="Body A"/>
        <w:numPr>
          <w:ilvl w:val="0"/>
          <w:numId w:val="4"/>
        </w:numPr>
        <w:bidi w:val="0"/>
        <w:spacing w:after="4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If the individual continues to behave in an aggressive and intimidating manner, we will insist that they calm down or leave the premises immediately.</w:t>
      </w:r>
    </w:p>
    <w:p>
      <w:pPr>
        <w:pStyle w:val="Body A"/>
        <w:numPr>
          <w:ilvl w:val="0"/>
          <w:numId w:val="4"/>
        </w:numPr>
        <w:bidi w:val="0"/>
        <w:spacing w:after="40"/>
        <w:ind w:right="0"/>
        <w:jc w:val="left"/>
        <w:rPr>
          <w:rFonts w:ascii="Trebuchet MS" w:hAnsi="Trebuchet MS"/>
          <w:sz w:val="22"/>
          <w:szCs w:val="22"/>
          <w:rtl w:val="0"/>
          <w:lang w:val="en-US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If the individual refuses to calm down or leave the premises, the manager will contact the police without delay.</w:t>
      </w:r>
    </w:p>
    <w:p>
      <w:pPr>
        <w:pStyle w:val="Body A"/>
        <w:spacing w:before="120" w:after="1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 xml:space="preserve">When the immediate incident has been resolved, the manager and staff will reflect on the incident, and decide whether it is appropriate to ban the individual from the premises for a period of time. The decision will take into account both the seriousness of the incident and whether the individual has behaved aggressively before. </w:t>
      </w:r>
    </w:p>
    <w:p>
      <w:pPr>
        <w:pStyle w:val="Body A"/>
        <w:spacing w:before="120" w:after="1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If we decide that a ban is appropriate, we will write to the individual concerned to inform them of the reasons for the ban and its duration.</w:t>
      </w:r>
    </w:p>
    <w:p>
      <w:pPr>
        <w:pStyle w:val="No Spacing"/>
        <w:spacing w:before="240" w:after="12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Related policies</w:t>
      </w:r>
    </w:p>
    <w:p>
      <w:pPr>
        <w:pStyle w:val="No Spacing"/>
        <w:spacing w:after="1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 xml:space="preserve">See also: </w:t>
      </w:r>
      <w:r>
        <w:rPr>
          <w:rFonts w:ascii="Trebuchet MS" w:hAnsi="Trebuchet MS"/>
          <w:b w:val="1"/>
          <w:bCs w:val="1"/>
          <w:sz w:val="22"/>
          <w:szCs w:val="22"/>
          <w:rtl w:val="0"/>
          <w:lang w:val="en-US"/>
        </w:rPr>
        <w:t>Equalities policy, Complaints policy, Safeguarding policy</w:t>
      </w:r>
      <w:r>
        <w:rPr>
          <w:rFonts w:ascii="Trebuchet MS" w:hAnsi="Trebuchet MS"/>
          <w:sz w:val="22"/>
          <w:szCs w:val="22"/>
          <w:rtl w:val="0"/>
          <w:lang w:val="en-US"/>
        </w:rPr>
        <w:t>.</w:t>
      </w:r>
    </w:p>
    <w:p>
      <w:pPr>
        <w:pStyle w:val="Body A"/>
        <w:rPr>
          <w:rFonts w:ascii="Trebuchet MS" w:cs="Trebuchet MS" w:hAnsi="Trebuchet MS" w:eastAsia="Trebuchet MS"/>
          <w:sz w:val="16"/>
          <w:szCs w:val="16"/>
        </w:rPr>
      </w:pPr>
    </w:p>
    <w:tbl>
      <w:tblPr>
        <w:tblW w:w="1019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056"/>
        <w:gridCol w:w="4139"/>
      </w:tblGrid>
      <w:tr>
        <w:tblPrEx>
          <w:shd w:val="clear" w:color="auto" w:fill="cdd4e9"/>
        </w:tblPrEx>
        <w:trPr>
          <w:trHeight w:val="316" w:hRule="atLeast"/>
        </w:trPr>
        <w:tc>
          <w:tcPr>
            <w:tcW w:type="dxa" w:w="6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This policy was adopted by: </w:t>
            </w:r>
            <w:r>
              <w:rPr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en-US"/>
              </w:rPr>
              <w:t>Cheri Garratt</w:t>
            </w:r>
          </w:p>
        </w:tc>
        <w:tc>
          <w:tcPr>
            <w:tcW w:type="dxa" w:w="4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en-US"/>
              </w:rPr>
              <w:t>Date:</w:t>
            </w:r>
            <w:r>
              <w:rPr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February 2022</w:t>
            </w:r>
          </w:p>
        </w:tc>
      </w:tr>
      <w:tr>
        <w:tblPrEx>
          <w:shd w:val="clear" w:color="auto" w:fill="cdd4e9"/>
        </w:tblPrEx>
        <w:trPr>
          <w:trHeight w:val="3038" w:hRule="atLeast"/>
        </w:trPr>
        <w:tc>
          <w:tcPr>
            <w:tcW w:type="dxa" w:w="6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To be reviewed: </w:t>
            </w:r>
            <w:r>
              <w:rPr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en-US"/>
              </w:rPr>
              <w:t>February 2023</w:t>
            </w:r>
          </w:p>
        </w:tc>
        <w:tc>
          <w:tcPr>
            <w:tcW w:type="dxa" w:w="4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rebuchet MS" w:cs="Trebuchet MS" w:hAnsi="Trebuchet MS" w:eastAsia="Trebuchet MS"/>
                <w:outline w:val="0"/>
                <w:color w:val="0000ff"/>
                <w:sz w:val="22"/>
                <w:szCs w:val="22"/>
                <w:u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</w:pPr>
            <w:r>
              <w:rPr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en-US"/>
              </w:rPr>
              <w:t>Signed:</w:t>
            </w:r>
            <w:r>
              <w:rPr>
                <w:rFonts w:ascii="Trebuchet MS" w:hAnsi="Trebuchet MS"/>
                <w:outline w:val="0"/>
                <w:color w:val="0000ff"/>
                <w:sz w:val="22"/>
                <w:szCs w:val="22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 xml:space="preserve"> </w:t>
            </w:r>
          </w:p>
          <w:p>
            <w:pPr>
              <w:pStyle w:val="Body A"/>
            </w:pPr>
            <w:r>
              <w:rPr>
                <w:rFonts w:ascii="Trebuchet MS" w:cs="Trebuchet MS" w:hAnsi="Trebuchet MS" w:eastAsia="Trebuchet MS"/>
                <w:outline w:val="0"/>
                <w:color w:val="0000ff"/>
                <w:sz w:val="22"/>
                <w:szCs w:val="22"/>
                <w:u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drawing xmlns:a="http://schemas.openxmlformats.org/drawingml/2006/main">
                <wp:inline distT="0" distB="0" distL="0" distR="0">
                  <wp:extent cx="2490542" cy="1739625"/>
                  <wp:effectExtent l="0" t="0" r="0" b="0"/>
                  <wp:docPr id="1073741825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542" cy="17396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 A"/>
        <w:widowControl w:val="0"/>
        <w:ind w:left="108" w:hanging="108"/>
        <w:rPr>
          <w:rFonts w:ascii="Trebuchet MS" w:cs="Trebuchet MS" w:hAnsi="Trebuchet MS" w:eastAsia="Trebuchet MS"/>
          <w:sz w:val="16"/>
          <w:szCs w:val="16"/>
        </w:rPr>
      </w:pPr>
    </w:p>
    <w:p>
      <w:pPr>
        <w:pStyle w:val="Body A"/>
        <w:widowControl w:val="0"/>
        <w:rPr>
          <w:rFonts w:ascii="Trebuchet MS" w:cs="Trebuchet MS" w:hAnsi="Trebuchet MS" w:eastAsia="Trebuchet MS"/>
          <w:sz w:val="16"/>
          <w:szCs w:val="16"/>
        </w:rPr>
      </w:pPr>
    </w:p>
    <w:p>
      <w:pPr>
        <w:pStyle w:val="Body A"/>
        <w:rPr>
          <w:sz w:val="16"/>
          <w:szCs w:val="16"/>
        </w:rPr>
      </w:pPr>
    </w:p>
    <w:p>
      <w:pPr>
        <w:pStyle w:val="Body A"/>
      </w:pPr>
      <w:r>
        <w:rPr>
          <w:rFonts w:ascii="Trebuchet MS" w:hAnsi="Trebuchet MS"/>
          <w:sz w:val="20"/>
          <w:szCs w:val="20"/>
          <w:rtl w:val="0"/>
          <w:lang w:val="en-US"/>
        </w:rPr>
        <w:t xml:space="preserve">Written in accordance with the </w:t>
      </w:r>
      <w:r>
        <w:rPr>
          <w:rFonts w:ascii="Trebuchet MS" w:hAnsi="Trebuchet MS"/>
          <w:i w:val="1"/>
          <w:iCs w:val="1"/>
          <w:sz w:val="20"/>
          <w:szCs w:val="20"/>
          <w:rtl w:val="0"/>
          <w:lang w:val="en-US"/>
        </w:rPr>
        <w:t xml:space="preserve">Statutory Framework for the Early Years Foundation Stage (2021): Safeguarding and Welfare requirements: Introduction [3.2] </w:t>
      </w:r>
      <w:r>
        <w:rPr>
          <w:rFonts w:ascii="Trebuchet MS" w:hAnsi="Trebuchet MS"/>
          <w:sz w:val="20"/>
          <w:szCs w:val="20"/>
          <w:rtl w:val="0"/>
        </w:rPr>
        <w:t>and</w:t>
      </w:r>
      <w:r>
        <w:rPr>
          <w:rFonts w:ascii="Trebuchet MS" w:hAnsi="Trebuchet MS"/>
          <w:i w:val="1"/>
          <w:iCs w:val="1"/>
          <w:sz w:val="20"/>
          <w:szCs w:val="20"/>
          <w:rtl w:val="0"/>
          <w:lang w:val="en-US"/>
        </w:rPr>
        <w:t xml:space="preserve"> Child protection [3.7].</w:t>
      </w:r>
    </w:p>
    <w:sectPr>
      <w:headerReference w:type="default" r:id="rId5"/>
      <w:footerReference w:type="default" r:id="rId6"/>
      <w:pgSz w:w="11900" w:h="16840" w:orient="portrait"/>
      <w:pgMar w:top="851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35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35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B body">
    <w:name w:val="HB body"/>
    <w:next w:val="HB 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60" w:lineRule="atLeast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