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520" w:type="dxa"/>
        <w:jc w:val="left"/>
        <w:tblInd w:w="0" w:type="dxa"/>
        <w:tblCellMar>
          <w:top w:w="0" w:type="dxa"/>
          <w:left w:w="108" w:type="dxa"/>
          <w:bottom w:w="0" w:type="dxa"/>
          <w:right w:w="108" w:type="dxa"/>
        </w:tblCellMar>
        <w:tblLook w:firstRow="1" w:noVBand="1" w:lastRow="0" w:firstColumn="1" w:lastColumn="0" w:noHBand="0" w:val="04a0"/>
      </w:tblPr>
      <w:tblGrid>
        <w:gridCol w:w="11520"/>
      </w:tblGrid>
      <w:tr>
        <w:trPr>
          <w:trHeight w:val="360" w:hRule="atLeast"/>
        </w:trPr>
        <w:tc>
          <w:tcPr>
            <w:tcW w:w="11520" w:type="dxa"/>
            <w:tcBorders/>
            <w:shd w:color="auto" w:fill="auto" w:val="clear"/>
            <w:vAlign w:val="bottom"/>
          </w:tcPr>
          <w:p>
            <w:pPr>
              <w:pStyle w:val="Normal"/>
              <w:spacing w:lineRule="auto" w:line="240" w:before="0" w:after="0"/>
              <w:jc w:val="center"/>
              <w:rPr>
                <w:rFonts w:ascii="Arial" w:hAnsi="Arial" w:eastAsia="Times New Roman" w:cs="Arial"/>
                <w:b/>
                <w:b/>
                <w:bCs/>
                <w:sz w:val="28"/>
                <w:szCs w:val="28"/>
                <w:lang w:eastAsia="en-CA"/>
              </w:rPr>
            </w:pPr>
            <w:r>
              <w:rPr>
                <w:rFonts w:eastAsia="Times New Roman" w:cs="Arial" w:ascii="Arial" w:hAnsi="Arial"/>
                <w:b/>
                <w:bCs/>
                <w:sz w:val="28"/>
                <w:szCs w:val="28"/>
                <w:lang w:eastAsia="en-CA"/>
              </w:rPr>
            </w:r>
          </w:p>
          <w:p>
            <w:pPr>
              <w:pStyle w:val="Normal"/>
              <w:spacing w:lineRule="auto" w:line="240" w:before="0" w:after="0"/>
              <w:jc w:val="center"/>
              <w:rPr>
                <w:rFonts w:ascii="Arial" w:hAnsi="Arial" w:eastAsia="Times New Roman" w:cs="Arial"/>
                <w:b/>
                <w:b/>
                <w:bCs/>
                <w:sz w:val="28"/>
                <w:szCs w:val="28"/>
                <w:lang w:eastAsia="en-CA"/>
              </w:rPr>
            </w:pPr>
            <w:r>
              <w:rPr>
                <w:rFonts w:eastAsia="Times New Roman" w:cs="Arial" w:ascii="Arial" w:hAnsi="Arial"/>
                <w:b/>
                <w:bCs/>
                <w:sz w:val="28"/>
                <w:szCs w:val="28"/>
                <w:lang w:eastAsia="en-CA"/>
              </w:rPr>
              <w:t xml:space="preserve">PROSPECT HILL CAMPING GROUNDS LTD.  </w:t>
            </w:r>
          </w:p>
        </w:tc>
      </w:tr>
      <w:tr>
        <w:trPr>
          <w:trHeight w:val="255" w:hRule="atLeast"/>
        </w:trPr>
        <w:tc>
          <w:tcPr>
            <w:tcW w:w="11520" w:type="dxa"/>
            <w:tcBorders/>
            <w:shd w:color="auto" w:fill="auto" w:val="clear"/>
            <w:vAlign w:val="bottom"/>
          </w:tcPr>
          <w:p>
            <w:pPr>
              <w:pStyle w:val="Normal"/>
              <w:spacing w:lineRule="auto" w:line="240" w:before="0" w:after="0"/>
              <w:jc w:val="center"/>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  </w:t>
            </w:r>
            <w:r>
              <w:rPr>
                <w:rFonts w:eastAsia="Times New Roman" w:cs="Arial" w:ascii="Arial" w:hAnsi="Arial"/>
                <w:b/>
                <w:bCs/>
                <w:sz w:val="20"/>
                <w:szCs w:val="20"/>
                <w:lang w:eastAsia="en-CA"/>
              </w:rPr>
              <w:t>Seasonal Rules, Regulations, Code of Conduct, and Waivers “SCHEDULE "A"</w:t>
            </w:r>
          </w:p>
        </w:tc>
      </w:tr>
      <w:tr>
        <w:trPr>
          <w:trHeight w:val="315" w:hRule="atLeast"/>
        </w:trPr>
        <w:tc>
          <w:tcPr>
            <w:tcW w:w="11520" w:type="dxa"/>
            <w:tcBorders/>
            <w:shd w:color="auto" w:fill="auto" w:val="clear"/>
            <w:vAlign w:val="bottom"/>
          </w:tcPr>
          <w:p>
            <w:pPr>
              <w:pStyle w:val="Normal"/>
              <w:spacing w:lineRule="auto" w:line="276" w:before="0" w:after="0"/>
              <w:jc w:val="center"/>
              <w:rPr>
                <w:rFonts w:ascii="Arial" w:hAnsi="Arial" w:eastAsia="Times New Roman" w:cs="Arial"/>
                <w:sz w:val="32"/>
                <w:szCs w:val="32"/>
                <w:lang w:eastAsia="en-CA"/>
              </w:rPr>
            </w:pPr>
            <w:r>
              <w:rPr>
                <w:rFonts w:eastAsia="Times New Roman" w:cs="Arial" w:ascii="Arial" w:hAnsi="Arial"/>
                <w:sz w:val="20"/>
                <w:szCs w:val="20"/>
                <w:lang w:eastAsia="en-CA"/>
              </w:rPr>
              <w:t xml:space="preserve">Speed Limit throughout the park </w:t>
            </w:r>
            <w:r>
              <w:rPr>
                <w:rFonts w:eastAsia="Times New Roman" w:cs="Arial" w:ascii="Arial" w:hAnsi="Arial"/>
                <w:b/>
                <w:bCs/>
                <w:sz w:val="32"/>
                <w:szCs w:val="32"/>
                <w:u w:val="single"/>
                <w:lang w:eastAsia="en-CA"/>
              </w:rPr>
              <w:t>10 km/hr</w:t>
            </w:r>
            <w:r>
              <w:rPr>
                <w:rFonts w:eastAsia="Times New Roman" w:cs="Arial" w:ascii="Arial" w:hAnsi="Arial"/>
                <w:sz w:val="32"/>
                <w:szCs w:val="32"/>
                <w:lang w:eastAsia="en-CA"/>
              </w:rPr>
              <w:t xml:space="preserve"> </w:t>
            </w:r>
          </w:p>
          <w:p>
            <w:pPr>
              <w:pStyle w:val="Normal"/>
              <w:spacing w:lineRule="auto" w:line="276" w:before="0" w:after="0"/>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 xml:space="preserve">A SEASON: </w:t>
            </w:r>
            <w:r>
              <w:rPr>
                <w:rFonts w:eastAsia="Times New Roman" w:cs="Arial" w:ascii="Arial" w:hAnsi="Arial"/>
                <w:sz w:val="20"/>
                <w:szCs w:val="20"/>
                <w:lang w:eastAsia="en-CA"/>
              </w:rPr>
              <w:t xml:space="preserve">Sites are accessible from May to October each year or as indicated on The License of Occupation. If you sign up for the upcoming season, then winter storage is included in your site fees. </w:t>
            </w:r>
          </w:p>
          <w:p>
            <w:pPr>
              <w:pStyle w:val="Normal"/>
              <w:spacing w:lineRule="auto" w:line="276" w:before="0" w:after="0"/>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76"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VISITORS:</w:t>
            </w:r>
            <w:r>
              <w:rPr>
                <w:rFonts w:eastAsia="Times New Roman" w:cs="Arial" w:ascii="Arial" w:hAnsi="Arial"/>
                <w:sz w:val="20"/>
                <w:szCs w:val="20"/>
                <w:lang w:eastAsia="en-CA"/>
              </w:rPr>
              <w:t xml:space="preserve"> All campers are responsible for their visitors and their visitor's fees. Visitors will not be allowed entry if you are absent from the park, and that includes any visitor with a Season’s Guest Pass.  All visitors must stop at the office and register by signing a Visitor’s slip and pay the appropriate visitor’s fees. Visitor’s will not be allowed entry after 9:00pm.  If the office is closed when your visitor arrives, they must ring the bell as there will always be someone available to register your visitor during the day between 9:00am and 9:00pm. If in the event someone is not available, the gate will be left open, and it will be your responsibility to collect the visitor’s fees and submit them to the office the next morning.  </w:t>
            </w:r>
            <w:r>
              <w:rPr>
                <w:rFonts w:eastAsia="Times New Roman" w:cs="Arial" w:ascii="Arial" w:hAnsi="Arial"/>
                <w:b/>
                <w:bCs/>
                <w:sz w:val="20"/>
                <w:szCs w:val="20"/>
                <w:lang w:eastAsia="en-CA"/>
              </w:rPr>
              <w:t xml:space="preserve">Do not open the gate with your gate card for your visitors/vendors for any reason! They must ring the bell! </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 xml:space="preserve">SECOND FAMILY USAGE: </w:t>
            </w:r>
            <w:r>
              <w:rPr>
                <w:rFonts w:eastAsia="Times New Roman" w:cs="Arial" w:ascii="Arial" w:hAnsi="Arial"/>
                <w:sz w:val="20"/>
                <w:szCs w:val="20"/>
                <w:lang w:eastAsia="en-CA"/>
              </w:rPr>
              <w:t xml:space="preserve">Is per Person/Season and must be pre-arranged in advance. (Maximum of one extra family) See office for forms and fees. This option allows the Second Family Usage Person the ability to use the site/trailer without the Seasonal Contracted Camper present. A Second Family Usage form must be filled out and signed by the Seasonal Contracted Camper prior to use. The Second Family Usage person can purchase a Gate Card with this option. </w:t>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SEASONS GUEST PASS</w:t>
            </w:r>
            <w:r>
              <w:rPr>
                <w:rFonts w:eastAsia="Times New Roman" w:cs="Arial" w:ascii="Arial" w:hAnsi="Arial"/>
                <w:sz w:val="20"/>
                <w:szCs w:val="20"/>
                <w:lang w:eastAsia="en-CA"/>
              </w:rPr>
              <w:t xml:space="preserve">: (non-transferable) is per Person/Season and must be pre-arranged in advance. See office for forms and fees. This option allows the Guest to use the park all season, including overnight stays however the Seasonal Contracted Camper must be present at all times. A Red Guest Pass Tag will need to be displayed in their vehicle while at the park. Gate Cards are not available to Guest’s with a Seasons Guest Pass. They will be required to show the Red Tag upon each entry into the park, and the same rules apply as they do for visitors. If the office is closed when they arrive, they must ring the bell as there will always be someone available to let them in during the day between 9:00am and 9:00pm. If in the event someone is not available, the gate will be left open. Season’s guests will not be allowed entry after 9:00pm unless pre-arranged in advance. </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SUBLETTING is Prohibited</w:t>
            </w:r>
            <w:r>
              <w:rPr>
                <w:rFonts w:eastAsia="Times New Roman" w:cs="Arial" w:ascii="Arial" w:hAnsi="Arial"/>
                <w:sz w:val="20"/>
                <w:szCs w:val="20"/>
                <w:lang w:eastAsia="en-CA"/>
              </w:rPr>
              <w:t xml:space="preserve"> – Contracted Camping is available at Regular camping rates less 10%. This option must be pre-arranged in advance and will only be allowed twice per season. A Regular Camping Permit will be required, and all Transient Camping Rules will apply.</w:t>
            </w:r>
          </w:p>
          <w:p>
            <w:pPr>
              <w:pStyle w:val="ListParagraph"/>
              <w:spacing w:lineRule="auto" w:line="276" w:before="0" w:after="0"/>
              <w:ind w:left="360" w:hanging="0"/>
              <w:contextualSpacing/>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 xml:space="preserve">CHILDREN: </w:t>
            </w:r>
            <w:r>
              <w:rPr>
                <w:rFonts w:eastAsia="Times New Roman" w:cs="Arial" w:ascii="Arial" w:hAnsi="Arial"/>
                <w:sz w:val="20"/>
                <w:szCs w:val="20"/>
                <w:lang w:eastAsia="en-CA"/>
              </w:rPr>
              <w:t xml:space="preserve">You are responsible for the actions and/or damages caused by your children so please be sure to watch them at all times. Children under the age 16 are not allowed unattended in the campground at any time day or night. No children, 18 years of age and under, are to stay in the campground overnight without the Signed Contracted License of Occupation person or a person who has a signed camping permit – All children under the age of 16 must return to their site by 11:00pm and no bikes allowed after dark. </w:t>
            </w:r>
          </w:p>
          <w:p>
            <w:pPr>
              <w:pStyle w:val="ListParagraph"/>
              <w:spacing w:lineRule="auto" w:line="276" w:before="0" w:after="0"/>
              <w:ind w:left="360" w:hanging="0"/>
              <w:contextualSpacing/>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76"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 xml:space="preserve">ADDITIONS to your site </w:t>
            </w:r>
            <w:r>
              <w:rPr>
                <w:rFonts w:eastAsia="Times New Roman" w:cs="Arial" w:ascii="Arial" w:hAnsi="Arial"/>
                <w:sz w:val="20"/>
                <w:szCs w:val="20"/>
                <w:lang w:eastAsia="en-CA"/>
              </w:rPr>
              <w:t xml:space="preserve">– Any additions to your site must be approved in advance. (See office to fill out a Change Request form) All sheds, add-a-rooms, hard top awnings must be manufactured and not made from wood. You can contact H&amp;H Patio Enclosures for a Quote 1-800-265-9170 </w:t>
            </w:r>
          </w:p>
          <w:p>
            <w:pPr>
              <w:pStyle w:val="ListParagraph"/>
              <w:spacing w:lineRule="auto" w:line="276" w:before="0" w:after="0"/>
              <w:ind w:left="360" w:hanging="0"/>
              <w:contextualSpacing/>
              <w:rPr>
                <w:lang w:eastAsia="en-CA"/>
              </w:rPr>
            </w:pPr>
            <w:r>
              <w:rPr>
                <w:rFonts w:eastAsia="Times New Roman" w:cs="Arial" w:ascii="Arial" w:hAnsi="Arial"/>
                <w:sz w:val="20"/>
                <w:szCs w:val="20"/>
                <w:lang w:eastAsia="en-CA"/>
              </w:rPr>
              <w:t>Please see the office for approval on any of the above items. Do not begin any type of change to your trailer or site without prior approval. Some Park Models and some additions to your trailer may cause your unit to become MPAC assessable and therefore you will be required to pay property taxes which are billed to you each spring.</w:t>
            </w:r>
            <w:r>
              <w:rPr>
                <w:lang w:eastAsia="en-CA"/>
              </w:rPr>
              <w:t xml:space="preserve"> </w:t>
            </w:r>
          </w:p>
        </w:tc>
      </w:tr>
      <w:tr>
        <w:trPr>
          <w:trHeight w:val="1575" w:hRule="atLeast"/>
        </w:trPr>
        <w:tc>
          <w:tcPr>
            <w:tcW w:w="11520" w:type="dxa"/>
            <w:tcBorders/>
            <w:shd w:color="auto" w:fill="auto" w:val="clear"/>
          </w:tcPr>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SITE RESPONSIBILITY: </w:t>
            </w:r>
            <w:r>
              <w:rPr>
                <w:rFonts w:eastAsia="Times New Roman" w:cs="Arial" w:ascii="Arial" w:hAnsi="Arial"/>
                <w:sz w:val="20"/>
                <w:szCs w:val="20"/>
                <w:lang w:eastAsia="en-CA"/>
              </w:rPr>
              <w:t>You are allowed one unit/trailer and 2 vehicles per site</w:t>
            </w:r>
            <w:r>
              <w:rPr>
                <w:rFonts w:eastAsia="Times New Roman" w:cs="Arial" w:ascii="Arial" w:hAnsi="Arial"/>
                <w:b/>
                <w:bCs/>
                <w:sz w:val="20"/>
                <w:szCs w:val="20"/>
                <w:lang w:eastAsia="en-CA"/>
              </w:rPr>
              <w:t xml:space="preserve">. </w:t>
            </w:r>
            <w:r>
              <w:rPr>
                <w:rFonts w:eastAsia="Times New Roman" w:cs="Arial" w:ascii="Arial" w:hAnsi="Arial"/>
                <w:sz w:val="20"/>
                <w:szCs w:val="20"/>
                <w:lang w:eastAsia="en-CA"/>
              </w:rPr>
              <w:t>It is your responsibility to keep your site clean and clear from clutter and to keep your grass cut and trimmed at all times. There is a fee if Prospect Hill must clean up and/or cut and trim your grass. Please ensure all wood etc. is kept maintained and put away, if you have an extra fridge then it must be contained in a small shed and not visible on your site, no storage of any kind, ie: boats, utility trailer’s etc. is allowed at your site – See office for Storage availability.</w:t>
            </w:r>
          </w:p>
          <w:p>
            <w:pPr>
              <w:pStyle w:val="Normal"/>
              <w:spacing w:lineRule="auto" w:line="240" w:before="0" w:after="0"/>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Normal"/>
              <w:spacing w:lineRule="auto" w:line="240" w:before="0" w:after="0"/>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INSURANCE </w:t>
            </w:r>
            <w:r>
              <w:rPr>
                <w:rFonts w:eastAsia="Times New Roman" w:cs="Arial" w:ascii="Arial" w:hAnsi="Arial"/>
                <w:sz w:val="20"/>
                <w:szCs w:val="20"/>
                <w:lang w:eastAsia="en-CA"/>
              </w:rPr>
              <w:t>is your responsibility, and your policy number must be listed on our License of Occupation</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GOLF CARTS </w:t>
            </w:r>
            <w:r>
              <w:rPr>
                <w:rFonts w:eastAsia="Times New Roman" w:cs="Arial" w:ascii="Arial" w:hAnsi="Arial"/>
                <w:sz w:val="20"/>
                <w:szCs w:val="20"/>
                <w:lang w:eastAsia="en-CA"/>
              </w:rPr>
              <w:t xml:space="preserve">Are not permitted in the park unless they have a disability sticker, they must be electric golf carts only and must be pre-approved in advance. Proof of insurance and a valid driver’s license must be provided.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PETS</w:t>
            </w:r>
            <w:r>
              <w:rPr>
                <w:rFonts w:eastAsia="Times New Roman" w:cs="Arial" w:ascii="Arial" w:hAnsi="Arial"/>
                <w:sz w:val="20"/>
                <w:szCs w:val="20"/>
                <w:lang w:eastAsia="en-CA"/>
              </w:rPr>
              <w:t xml:space="preserve"> are to be on a leash at all times. Do not leave your pet unattended at anytime in the park. Please pick up after your pet. Barking and Aggressive Dogs are not allowed! No Pets allowed in any of the Campground buildings or pool enclosure. Please see web site for Pet Policies!!!</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WATER: </w:t>
            </w:r>
            <w:r>
              <w:rPr>
                <w:rFonts w:eastAsia="Times New Roman" w:cs="Arial" w:ascii="Arial" w:hAnsi="Arial"/>
                <w:sz w:val="20"/>
                <w:szCs w:val="20"/>
                <w:lang w:eastAsia="en-CA"/>
              </w:rPr>
              <w:t>No washing of cars, watering of lawn, unless approved, or any type of vehicle repair work is permitted in the park. Washing of clothes or any other laundry must be done in the park's laundry facilities.</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CLOTHES LINES </w:t>
            </w:r>
            <w:r>
              <w:rPr>
                <w:rFonts w:eastAsia="Times New Roman" w:cs="Arial" w:ascii="Arial" w:hAnsi="Arial"/>
                <w:sz w:val="20"/>
                <w:szCs w:val="20"/>
                <w:lang w:eastAsia="en-CA"/>
              </w:rPr>
              <w:t>are not permitted in the park, you may hang towels and bathing suits only.</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PUMP OUTS </w:t>
            </w:r>
            <w:r>
              <w:rPr>
                <w:rFonts w:eastAsia="Times New Roman" w:cs="Arial" w:ascii="Arial" w:hAnsi="Arial"/>
                <w:sz w:val="20"/>
                <w:szCs w:val="20"/>
                <w:lang w:eastAsia="en-CA"/>
              </w:rPr>
              <w:t xml:space="preserve">are completed once per week and is included in your seasonal fees. There is a fee for an extra pump out on Thursdays only and must be pre-arranged by Wednesday at 9:00pm (pump outs on weekends are emergencies only) – See office for fees.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 </w:t>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CAMPFIRES</w:t>
            </w:r>
            <w:r>
              <w:rPr>
                <w:rFonts w:eastAsia="Times New Roman" w:cs="Arial" w:ascii="Arial" w:hAnsi="Arial"/>
                <w:sz w:val="20"/>
                <w:szCs w:val="20"/>
                <w:lang w:eastAsia="en-CA"/>
              </w:rPr>
              <w:t xml:space="preserve"> are allowed in approved firepits only (Bonfires are prohibited) All campfires are to be kept small and extinguished before retiring.</w:t>
            </w:r>
            <w:r>
              <w:rPr>
                <w:rFonts w:eastAsia="Times New Roman" w:cs="Arial" w:ascii="Arial" w:hAnsi="Arial"/>
                <w:b/>
                <w:bCs/>
                <w:sz w:val="20"/>
                <w:szCs w:val="20"/>
                <w:lang w:eastAsia="en-CA"/>
              </w:rPr>
              <w:t xml:space="preserve"> DO NOT LEAVE UNATTENDED! </w:t>
            </w:r>
            <w:r>
              <w:rPr>
                <w:rFonts w:eastAsia="Times New Roman" w:cs="Arial" w:ascii="Arial" w:hAnsi="Arial"/>
                <w:sz w:val="20"/>
                <w:szCs w:val="20"/>
                <w:lang w:eastAsia="en-CA"/>
              </w:rPr>
              <w:t xml:space="preserve">Any breach of By-law resulting in a fine will be your responsibility to pay (Those fees begin at $380/hour for each responding emergency vehicle) Only clean wood is to be used for campfires (Anyone under the age of 16 cannot be left unsupervised at a campfire)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NO FIREWORKS </w:t>
            </w:r>
            <w:r>
              <w:rPr>
                <w:rFonts w:eastAsia="Times New Roman" w:cs="Arial" w:ascii="Arial" w:hAnsi="Arial"/>
                <w:sz w:val="20"/>
                <w:szCs w:val="20"/>
                <w:lang w:eastAsia="en-CA"/>
              </w:rPr>
              <w:t>of any kind are allowed on the property except for</w:t>
            </w:r>
            <w:r>
              <w:rPr>
                <w:rFonts w:eastAsia="Times New Roman" w:cs="Arial" w:ascii="Arial" w:hAnsi="Arial"/>
                <w:b/>
                <w:bCs/>
                <w:sz w:val="20"/>
                <w:szCs w:val="20"/>
                <w:lang w:eastAsia="en-CA"/>
              </w:rPr>
              <w:t xml:space="preserve"> </w:t>
            </w:r>
            <w:r>
              <w:rPr>
                <w:rFonts w:eastAsia="Times New Roman" w:cs="Arial" w:ascii="Arial" w:hAnsi="Arial"/>
                <w:sz w:val="20"/>
                <w:szCs w:val="20"/>
                <w:lang w:eastAsia="en-CA"/>
              </w:rPr>
              <w:t>the Prospect Hill’s Fireworks Display!</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NO</w:t>
            </w:r>
            <w:r>
              <w:rPr>
                <w:rFonts w:eastAsia="Times New Roman" w:cs="Arial" w:ascii="Arial" w:hAnsi="Arial"/>
                <w:sz w:val="20"/>
                <w:szCs w:val="20"/>
                <w:lang w:eastAsia="en-CA"/>
              </w:rPr>
              <w:t xml:space="preserve"> weapons of any kind allowed in the park, </w:t>
            </w:r>
            <w:r>
              <w:rPr>
                <w:rFonts w:eastAsia="Times New Roman" w:cs="Arial" w:ascii="Arial" w:hAnsi="Arial"/>
                <w:b/>
                <w:bCs/>
                <w:sz w:val="20"/>
                <w:szCs w:val="20"/>
                <w:lang w:eastAsia="en-CA"/>
              </w:rPr>
              <w:t>NO</w:t>
            </w:r>
            <w:r>
              <w:rPr>
                <w:rFonts w:eastAsia="Times New Roman" w:cs="Arial" w:ascii="Arial" w:hAnsi="Arial"/>
                <w:sz w:val="20"/>
                <w:szCs w:val="20"/>
                <w:lang w:eastAsia="en-CA"/>
              </w:rPr>
              <w:t xml:space="preserve"> Dirt Bikes, Mini-Bikes, Motorized Trail Bikes allowed in the park. </w:t>
            </w:r>
            <w:r>
              <w:rPr>
                <w:rFonts w:eastAsia="Times New Roman" w:cs="Arial" w:ascii="Arial" w:hAnsi="Arial"/>
                <w:b/>
                <w:bCs/>
                <w:sz w:val="20"/>
                <w:szCs w:val="20"/>
                <w:lang w:eastAsia="en-CA"/>
              </w:rPr>
              <w:t>No</w:t>
            </w:r>
            <w:r>
              <w:rPr>
                <w:rFonts w:eastAsia="Times New Roman" w:cs="Arial" w:ascii="Arial" w:hAnsi="Arial"/>
                <w:sz w:val="20"/>
                <w:szCs w:val="20"/>
                <w:lang w:eastAsia="en-CA"/>
              </w:rPr>
              <w:t xml:space="preserve"> Commercial Vehicles allowed in the park without prior approval.</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TREES/BRUSH: </w:t>
            </w:r>
            <w:r>
              <w:rPr>
                <w:rFonts w:eastAsia="Times New Roman" w:cs="Arial" w:ascii="Arial" w:hAnsi="Arial"/>
                <w:sz w:val="20"/>
                <w:szCs w:val="20"/>
                <w:lang w:eastAsia="en-CA"/>
              </w:rPr>
              <w:t xml:space="preserve">No cutting or burning of any trees or bush in the park or surrounding areas! Parents will be held responsible for any child caught performing such acts or any other acts of damage.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ALCOHOLIC BEVERAGES</w:t>
            </w:r>
            <w:r>
              <w:rPr>
                <w:rFonts w:eastAsia="Times New Roman" w:cs="Arial" w:ascii="Arial" w:hAnsi="Arial"/>
                <w:sz w:val="20"/>
                <w:szCs w:val="20"/>
                <w:lang w:eastAsia="en-CA"/>
              </w:rPr>
              <w:t xml:space="preserve"> may be consumed on your campsite only. Unless approved by management, i.e., special events, etc. Loud parties and music as well as immoral conduct, drunkenness, and offensive language etc...</w:t>
            </w:r>
            <w:r>
              <w:rPr>
                <w:rFonts w:eastAsia="Times New Roman" w:cs="Arial" w:ascii="Arial" w:hAnsi="Arial"/>
                <w:b/>
                <w:bCs/>
                <w:sz w:val="20"/>
                <w:szCs w:val="20"/>
                <w:lang w:eastAsia="en-CA"/>
              </w:rPr>
              <w:t xml:space="preserve"> WILL NOT BE TOLERATED!</w:t>
            </w:r>
            <w:r>
              <w:rPr>
                <w:rFonts w:eastAsia="Times New Roman" w:cs="Arial" w:ascii="Arial" w:hAnsi="Arial"/>
                <w:sz w:val="20"/>
                <w:szCs w:val="20"/>
                <w:lang w:eastAsia="en-CA"/>
              </w:rPr>
              <w:t xml:space="preserve"> You will be asked to leave the park without refund!  </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GLASS CONTAINERS </w:t>
            </w:r>
            <w:r>
              <w:rPr>
                <w:rFonts w:eastAsia="Times New Roman" w:cs="Arial" w:ascii="Arial" w:hAnsi="Arial"/>
                <w:sz w:val="20"/>
                <w:szCs w:val="20"/>
                <w:lang w:eastAsia="en-CA"/>
              </w:rPr>
              <w:t>are not allowed off your site, in the pool area, in the playground or any other campground building or area – all beverages must be in a non-breakable container.</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COMPLAINTS:</w:t>
            </w:r>
            <w:r>
              <w:rPr>
                <w:rFonts w:eastAsia="Times New Roman" w:cs="Arial" w:ascii="Arial" w:hAnsi="Arial"/>
                <w:sz w:val="20"/>
                <w:szCs w:val="20"/>
                <w:lang w:eastAsia="en-CA"/>
              </w:rPr>
              <w:t xml:space="preserve"> If you are disturbed by an unruly camper or animal, please contact the office immediately! </w:t>
            </w:r>
            <w:r>
              <w:rPr>
                <w:rFonts w:eastAsia="Times New Roman" w:cs="Arial" w:ascii="Arial" w:hAnsi="Arial"/>
                <w:b/>
                <w:bCs/>
                <w:sz w:val="20"/>
                <w:szCs w:val="20"/>
                <w:u w:val="single"/>
                <w:lang w:eastAsia="en-CA"/>
              </w:rPr>
              <w:t>DO NOT</w:t>
            </w:r>
            <w:r>
              <w:rPr>
                <w:rFonts w:eastAsia="Times New Roman" w:cs="Arial" w:ascii="Arial" w:hAnsi="Arial"/>
                <w:sz w:val="20"/>
                <w:szCs w:val="20"/>
                <w:lang w:eastAsia="en-CA"/>
              </w:rPr>
              <w:t xml:space="preserve"> wait until the next morning to address your complaint as it will be to late for us to address the issue.</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SMOKING, VAPING, OR USE OF E-CIGARETTES, TOBACCO, OR CANNABIS, </w:t>
            </w:r>
            <w:r>
              <w:rPr>
                <w:rFonts w:eastAsia="Times New Roman" w:cs="Arial" w:ascii="Arial" w:hAnsi="Arial"/>
                <w:sz w:val="20"/>
                <w:szCs w:val="20"/>
                <w:lang w:eastAsia="en-CA"/>
              </w:rPr>
              <w:t>(medical or recreational) is</w:t>
            </w:r>
            <w:r>
              <w:rPr>
                <w:rFonts w:eastAsia="Times New Roman" w:cs="Arial" w:ascii="Arial" w:hAnsi="Arial"/>
                <w:b/>
                <w:bCs/>
                <w:sz w:val="20"/>
                <w:szCs w:val="20"/>
                <w:lang w:eastAsia="en-CA"/>
              </w:rPr>
              <w:t xml:space="preserve"> NOT </w:t>
            </w:r>
            <w:r>
              <w:rPr>
                <w:rFonts w:eastAsia="Times New Roman" w:cs="Arial" w:ascii="Arial" w:hAnsi="Arial"/>
                <w:sz w:val="20"/>
                <w:szCs w:val="20"/>
                <w:lang w:eastAsia="en-CA"/>
              </w:rPr>
              <w:t>permitted in any of the campground buildings or within 33 meters of any building, playground area, or any other public area.</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Waiver and Release of Claims Assumption of Risk and Consent to Medical Treatment: </w:t>
            </w:r>
            <w:r>
              <w:rPr>
                <w:rFonts w:eastAsia="Times New Roman" w:cs="Arial" w:ascii="Arial" w:hAnsi="Arial"/>
                <w:sz w:val="20"/>
                <w:szCs w:val="20"/>
                <w:lang w:eastAsia="en-CA"/>
              </w:rPr>
              <w:t xml:space="preserve">During your stay at Prospect Hill Campground, if you participate in any of our activities, you agree that you are in good physical health and are able to safely participate in the activities of the Campground and have no medical condition that would make your participation in the activities of the Campground more hazardous. You also agree to receive medical care and transportation as required without any liability to Prospect Hill Campground’s owners or employees.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GARBAGE (KITCHEN ONLY)</w:t>
            </w:r>
            <w:r>
              <w:rPr>
                <w:rFonts w:eastAsia="Times New Roman" w:cs="Arial" w:ascii="Arial" w:hAnsi="Arial"/>
                <w:sz w:val="20"/>
                <w:szCs w:val="20"/>
                <w:lang w:eastAsia="en-CA"/>
              </w:rPr>
              <w:t xml:space="preserve"> must be tied in a plastic bag and deposited in the park container. Depositing of large items lawn chairs, BBQs, mattresses, refrigerators etc.is</w:t>
            </w:r>
            <w:r>
              <w:rPr>
                <w:rFonts w:eastAsia="Times New Roman" w:cs="Arial" w:ascii="Arial" w:hAnsi="Arial"/>
                <w:b/>
                <w:bCs/>
                <w:sz w:val="20"/>
                <w:szCs w:val="20"/>
                <w:lang w:eastAsia="en-CA"/>
              </w:rPr>
              <w:t xml:space="preserve"> PROHIBITED</w:t>
            </w:r>
            <w:r>
              <w:rPr>
                <w:rFonts w:eastAsia="Times New Roman" w:cs="Arial" w:ascii="Arial" w:hAnsi="Arial"/>
                <w:sz w:val="20"/>
                <w:szCs w:val="20"/>
                <w:lang w:eastAsia="en-CA"/>
              </w:rPr>
              <w:t>. It is your responsibility to remove these items from the park. You will be charged a $100.00 dumping fee if caught dropping off any of these types of items.</w:t>
            </w:r>
          </w:p>
          <w:p>
            <w:pPr>
              <w:pStyle w:val="ListParagraph"/>
              <w:shd w:val="clear" w:color="auto" w:fill="FFFFFF"/>
              <w:spacing w:lineRule="auto" w:line="240" w:beforeAutospacing="1" w:afterAutospacing="1"/>
              <w:ind w:left="360" w:hanging="0"/>
              <w:contextualSpacing/>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r>
          </w:p>
          <w:p>
            <w:pPr>
              <w:pStyle w:val="ListParagraph"/>
              <w:numPr>
                <w:ilvl w:val="0"/>
                <w:numId w:val="1"/>
              </w:numPr>
              <w:shd w:val="clear" w:color="auto" w:fill="FFFFFF"/>
              <w:spacing w:lineRule="auto" w:line="240" w:beforeAutospacing="1" w:after="0"/>
              <w:contextualSpacing/>
              <w:rPr>
                <w:rFonts w:ascii="Verdana" w:hAnsi="Verdana" w:eastAsia="Times New Roman" w:cs="Times New Roman"/>
                <w:color w:val="2C363A"/>
                <w:sz w:val="20"/>
                <w:szCs w:val="20"/>
                <w:lang w:eastAsia="en-CA"/>
              </w:rPr>
            </w:pPr>
            <w:r>
              <w:rPr>
                <w:rFonts w:eastAsia="Times New Roman" w:cs="Arial" w:ascii="Arial" w:hAnsi="Arial"/>
                <w:b/>
                <w:bCs/>
                <w:sz w:val="20"/>
                <w:szCs w:val="20"/>
                <w:lang w:eastAsia="en-CA"/>
              </w:rPr>
              <w:t xml:space="preserve">RECYCLE: </w:t>
            </w:r>
          </w:p>
          <w:p>
            <w:pPr>
              <w:pStyle w:val="Normal"/>
              <w:numPr>
                <w:ilvl w:val="1"/>
                <w:numId w:val="1"/>
              </w:numPr>
              <w:shd w:val="clear" w:color="auto" w:fill="FFFFFF"/>
              <w:spacing w:lineRule="auto" w:line="240" w:before="0" w:after="0"/>
              <w:rPr>
                <w:rFonts w:ascii="Verdana" w:hAnsi="Verdana" w:eastAsia="Times New Roman" w:cs="Times New Roman"/>
                <w:sz w:val="20"/>
                <w:szCs w:val="20"/>
                <w:lang w:eastAsia="en-CA"/>
              </w:rPr>
            </w:pPr>
            <w:r>
              <w:rPr>
                <w:rFonts w:eastAsia="Times New Roman" w:cs="Times New Roman" w:ascii="Verdana" w:hAnsi="Verdana"/>
                <w:b/>
                <w:bCs/>
                <w:sz w:val="20"/>
                <w:szCs w:val="20"/>
                <w:lang w:eastAsia="en-CA"/>
              </w:rPr>
              <w:t>Glass, Plastic, Cans, Cartons, and Containers</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sz w:val="20"/>
                <w:szCs w:val="20"/>
                <w:lang w:eastAsia="en-CA"/>
              </w:rPr>
            </w:pPr>
            <w:r>
              <w:rPr>
                <w:rFonts w:eastAsia="Times New Roman" w:cs="Times New Roman" w:ascii="Verdana" w:hAnsi="Verdana"/>
                <w:sz w:val="20"/>
                <w:szCs w:val="20"/>
                <w:lang w:eastAsia="en-CA"/>
              </w:rPr>
              <w:t>All your bottles, cans, cartons and jars must be empty before you put them in the blue box.</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sz w:val="20"/>
                <w:szCs w:val="20"/>
                <w:lang w:eastAsia="en-CA"/>
              </w:rPr>
            </w:pPr>
            <w:r>
              <w:rPr>
                <w:rFonts w:eastAsia="Times New Roman" w:cs="Times New Roman" w:ascii="Verdana" w:hAnsi="Verdana"/>
                <w:sz w:val="20"/>
                <w:szCs w:val="20"/>
                <w:lang w:eastAsia="en-CA"/>
              </w:rPr>
              <w:t>Give your bottles, cans, cartons and jars a quick rinse before you put them in the blue box.</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sz w:val="20"/>
                <w:szCs w:val="20"/>
                <w:lang w:eastAsia="en-CA"/>
              </w:rPr>
            </w:pPr>
            <w:r>
              <w:rPr>
                <w:rFonts w:eastAsia="Times New Roman" w:cs="Times New Roman" w:ascii="Verdana" w:hAnsi="Verdana"/>
                <w:sz w:val="20"/>
                <w:szCs w:val="20"/>
                <w:lang w:eastAsia="en-CA"/>
              </w:rPr>
              <w:t>Throw all your metal lids into the blue box.</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sz w:val="20"/>
                <w:szCs w:val="20"/>
                <w:lang w:eastAsia="en-CA"/>
              </w:rPr>
            </w:pPr>
            <w:r>
              <w:rPr>
                <w:rFonts w:eastAsia="Times New Roman" w:cs="Times New Roman" w:ascii="Verdana" w:hAnsi="Verdana"/>
                <w:sz w:val="20"/>
                <w:szCs w:val="20"/>
                <w:lang w:eastAsia="en-CA"/>
              </w:rPr>
              <w:t>Plastic bags and plastic product outer wraps (must be bagged together and double tied)</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sz w:val="20"/>
                <w:szCs w:val="20"/>
                <w:lang w:eastAsia="en-CA"/>
              </w:rPr>
            </w:pPr>
            <w:r>
              <w:rPr>
                <w:rFonts w:eastAsia="Times New Roman" w:cs="Times New Roman" w:ascii="Verdana" w:hAnsi="Verdana"/>
                <w:sz w:val="20"/>
                <w:szCs w:val="20"/>
                <w:lang w:eastAsia="en-CA"/>
              </w:rPr>
              <w:t>Do not overfill the Bin – they will not pick it up if the lid cannot close.</w:t>
            </w:r>
          </w:p>
          <w:p>
            <w:pPr>
              <w:pStyle w:val="Normal"/>
              <w:numPr>
                <w:ilvl w:val="1"/>
                <w:numId w:val="1"/>
              </w:numPr>
              <w:shd w:val="clear" w:color="auto" w:fill="FFFFFF"/>
              <w:spacing w:lineRule="auto" w:line="240" w:before="0" w:after="0"/>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t>Please take the extra step to empty your tubs, containers, bottles, and jars.</w:t>
            </w:r>
          </w:p>
          <w:p>
            <w:pPr>
              <w:pStyle w:val="Normal"/>
              <w:numPr>
                <w:ilvl w:val="1"/>
                <w:numId w:val="1"/>
              </w:numPr>
              <w:shd w:val="clear" w:color="auto" w:fill="FFFFFF"/>
              <w:spacing w:lineRule="auto" w:line="240" w:before="0" w:after="0"/>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t>They cannot separate food from containers at their recycling facility. Full or partially full containers can't be recycled. They are considered garbage and must be sent to the landfill (Extra fees will be added to our invoice if they find these types of items in our garbage or not sorted properly)</w:t>
            </w:r>
          </w:p>
          <w:p>
            <w:pPr>
              <w:pStyle w:val="ListParagraph"/>
              <w:numPr>
                <w:ilvl w:val="1"/>
                <w:numId w:val="1"/>
              </w:numPr>
              <w:shd w:val="clear" w:color="auto" w:fill="FFFFFF"/>
              <w:spacing w:lineRule="auto" w:line="240" w:before="0" w:after="0"/>
              <w:contextualSpacing/>
              <w:rPr>
                <w:rFonts w:ascii="Verdana" w:hAnsi="Verdana" w:eastAsia="Times New Roman" w:cs="Times New Roman"/>
                <w:color w:val="2C363A"/>
                <w:sz w:val="20"/>
                <w:szCs w:val="20"/>
                <w:lang w:eastAsia="en-CA"/>
              </w:rPr>
            </w:pPr>
            <w:r>
              <w:rPr>
                <w:rFonts w:eastAsia="Times New Roman" w:cs="Times New Roman" w:ascii="Verdana" w:hAnsi="Verdana"/>
                <w:b/>
                <w:bCs/>
                <w:color w:val="2C363A"/>
                <w:sz w:val="20"/>
                <w:szCs w:val="20"/>
                <w:lang w:eastAsia="en-CA"/>
              </w:rPr>
              <w:t>Paper products that don't go in the paper and cardboard stream:</w:t>
            </w:r>
          </w:p>
          <w:p>
            <w:pPr>
              <w:pStyle w:val="ListParagraph"/>
              <w:numPr>
                <w:ilvl w:val="1"/>
                <w:numId w:val="1"/>
              </w:numPr>
              <w:shd w:val="clear" w:color="auto" w:fill="FFFFFF"/>
              <w:spacing w:lineRule="auto" w:line="240" w:before="0" w:after="0"/>
              <w:contextualSpacing/>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t>Paper coffee cups, paper plates and paper towels go in the garbage, not in the blue bins.</w:t>
            </w:r>
          </w:p>
          <w:p>
            <w:pPr>
              <w:pStyle w:val="Normal"/>
              <w:numPr>
                <w:ilvl w:val="1"/>
                <w:numId w:val="1"/>
              </w:numPr>
              <w:shd w:val="clear" w:color="auto" w:fill="FFFFFF"/>
              <w:tabs>
                <w:tab w:val="clear" w:pos="720"/>
                <w:tab w:val="left" w:pos="2160" w:leader="none"/>
              </w:tabs>
              <w:spacing w:lineRule="auto" w:line="240" w:before="0" w:after="0"/>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t>If the paper product is difficult to rip, or if there is visible plastic or metallic lining, it is garbage – do not put in the blue bins.</w:t>
            </w:r>
          </w:p>
          <w:p>
            <w:pPr>
              <w:pStyle w:val="Normal"/>
              <w:numPr>
                <w:ilvl w:val="1"/>
                <w:numId w:val="1"/>
              </w:numPr>
              <w:shd w:val="clear" w:color="auto" w:fill="FFFFFF"/>
              <w:spacing w:lineRule="auto" w:line="240" w:before="0" w:afterAutospacing="1"/>
              <w:rPr>
                <w:rFonts w:ascii="Verdana" w:hAnsi="Verdana" w:eastAsia="Times New Roman" w:cs="Times New Roman"/>
                <w:color w:val="2C363A"/>
                <w:sz w:val="20"/>
                <w:szCs w:val="20"/>
                <w:lang w:eastAsia="en-CA"/>
              </w:rPr>
            </w:pPr>
            <w:r>
              <w:rPr>
                <w:rFonts w:eastAsia="Times New Roman" w:cs="Times New Roman" w:ascii="Verdana" w:hAnsi="Verdana"/>
                <w:color w:val="2C363A"/>
                <w:sz w:val="20"/>
                <w:szCs w:val="20"/>
                <w:lang w:eastAsia="en-CA"/>
              </w:rPr>
              <w:t xml:space="preserve">Milk and juice cartons and juice boxes go in your blue box with glass, plastic, cans, cartons and containers. </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SWIMMING POOL: </w:t>
            </w:r>
            <w:r>
              <w:rPr>
                <w:rFonts w:eastAsia="Times New Roman" w:cs="Arial" w:ascii="Arial" w:hAnsi="Arial"/>
                <w:sz w:val="20"/>
                <w:szCs w:val="20"/>
                <w:lang w:eastAsia="en-CA"/>
              </w:rPr>
              <w:t>The rules and regulations MUST be followed, or you may be suspended from use. Children under the age of 14 must be accompanied by an adult. There is no lifeguard on duty.</w:t>
            </w:r>
            <w:r>
              <w:rPr>
                <w:rFonts w:eastAsia="Times New Roman" w:cs="Arial" w:ascii="Arial" w:hAnsi="Arial"/>
                <w:b/>
                <w:bCs/>
                <w:sz w:val="20"/>
                <w:szCs w:val="20"/>
                <w:lang w:eastAsia="en-CA"/>
              </w:rPr>
              <w:t xml:space="preserve"> USE AT YOUR OWN RISK! </w:t>
            </w:r>
            <w:r>
              <w:rPr>
                <w:rFonts w:eastAsia="Times New Roman" w:cs="Arial" w:ascii="Arial" w:hAnsi="Arial"/>
                <w:sz w:val="20"/>
                <w:szCs w:val="20"/>
                <w:lang w:eastAsia="en-CA"/>
              </w:rPr>
              <w:t>Prospect Hill, its managers, and employees, reserves the right to refuse pool admittance for health and safety concerns, or for any reason. Playing with any of the safety equipment and/or signs is prohibited. DO NOT stand on, pull on, hang on or sit on the rope or pool cover located along the fence. Bicycles are NOT allowed in any of the resort buildings or pool enclosure.</w:t>
            </w:r>
          </w:p>
          <w:p>
            <w:pPr>
              <w:pStyle w:val="ListParagraph"/>
              <w:spacing w:lineRule="auto" w:line="240" w:before="0" w:after="0"/>
              <w:ind w:left="360" w:hanging="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 xml:space="preserve">SELLING YOUR TRAILER: </w:t>
            </w:r>
            <w:r>
              <w:rPr>
                <w:rFonts w:eastAsia="Times New Roman" w:cs="Arial" w:ascii="Arial" w:hAnsi="Arial"/>
                <w:sz w:val="20"/>
                <w:szCs w:val="20"/>
                <w:lang w:eastAsia="en-CA"/>
              </w:rPr>
              <w:t>All trailer sales must go through Prospect Hill Campground, or it will not be allowed to be sold in the park. Prospect Hill reserves the right to not allow any unit to remain at Prospect Hill Campground. A 7% commission fee is required in the form of a deposit from the Purchaser which will be deducted from the agreed purchase price. All trailers listed must be priced to sell at a fair market evaluation and can only be listed for one full season and then taken off the market for another full season before relisting on site or can be pulled and sold off site privately. All new trailers coming into the park must be 10 years of age or newer and must be approved by park management to ensure all regulations are met. All trailers must have a holding tank and a marine flush toilet.</w:t>
            </w:r>
          </w:p>
          <w:p>
            <w:pPr>
              <w:pStyle w:val="ListParagraph"/>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numPr>
                <w:ilvl w:val="0"/>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 xml:space="preserve">WINTER STORAGE: </w:t>
            </w:r>
            <w:r>
              <w:rPr>
                <w:rFonts w:eastAsia="Times New Roman" w:cs="Arial" w:ascii="Arial" w:hAnsi="Arial"/>
                <w:sz w:val="20"/>
                <w:szCs w:val="20"/>
                <w:lang w:eastAsia="en-CA"/>
              </w:rPr>
              <w:t>A commitment/payment for an upcoming season allows you to keep your trailer on site (Unsupervised) at your own risk from the date of closing in October to the date of opening in May at no charge. Any trailer left on site, after the Canadian Thanksgiving weekend, with no commitment for the upcoming season, may be moved into our storage facility and the appropriate storage fees will apply, if your unit is not moved into our storage area and you choose to pull your trailer in May, then, site storage fees will apply, if you do not pull your trailer in May then the appropriate carrying and late fees will apply to your site rates.</w:t>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36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t>In case of emergency</w:t>
            </w:r>
            <w:r>
              <w:rPr>
                <w:rFonts w:eastAsia="Times New Roman" w:cs="Arial" w:ascii="Arial" w:hAnsi="Arial"/>
                <w:sz w:val="20"/>
                <w:szCs w:val="20"/>
                <w:lang w:eastAsia="en-CA"/>
              </w:rPr>
              <w:t>, the Management Team is authorized to move any vehicle without notice or liability.</w:t>
            </w:r>
          </w:p>
          <w:p>
            <w:pPr>
              <w:pStyle w:val="ListParagraph"/>
              <w:numPr>
                <w:ilvl w:val="0"/>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Hydro and Water</w:t>
            </w:r>
            <w:r>
              <w:rPr>
                <w:rFonts w:eastAsia="Times New Roman" w:cs="Arial" w:ascii="Arial" w:hAnsi="Arial"/>
                <w:sz w:val="20"/>
                <w:szCs w:val="20"/>
                <w:lang w:eastAsia="en-CA"/>
              </w:rPr>
              <w:t xml:space="preserve"> lines are turned off and disconnected the day after closing in October each year. </w:t>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CONTRACTS:</w:t>
            </w:r>
            <w:r>
              <w:rPr>
                <w:rFonts w:eastAsia="Times New Roman" w:cs="Arial" w:ascii="Arial" w:hAnsi="Arial"/>
                <w:sz w:val="20"/>
                <w:szCs w:val="20"/>
                <w:lang w:eastAsia="en-CA"/>
              </w:rPr>
              <w:t xml:space="preserve"> Site fees are non-refundable at any time during your contract. All late payments will be charged a late payment fee. All rates include your unmarried children living at home 18 years of age and under and must be listed on the License of Occupation. All site fees must be paid in full by the day of opening in May – Gate Cards will not work if there is an outstanding balance on your account.</w:t>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PAYMENT OPTIONS</w:t>
            </w:r>
            <w:r>
              <w:rPr>
                <w:rFonts w:eastAsia="Times New Roman" w:cs="Arial" w:ascii="Arial" w:hAnsi="Arial"/>
                <w:sz w:val="20"/>
                <w:szCs w:val="20"/>
                <w:lang w:eastAsia="en-CA"/>
              </w:rPr>
              <w:t xml:space="preserve">: We have three payment options available – see invoice for interest rates on payment options. </w:t>
            </w:r>
          </w:p>
          <w:p>
            <w:pPr>
              <w:pStyle w:val="ListParagraph"/>
              <w:numPr>
                <w:ilvl w:val="1"/>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OPTION ONE</w:t>
            </w:r>
            <w:r>
              <w:rPr>
                <w:rFonts w:eastAsia="Times New Roman" w:cs="Arial" w:ascii="Arial" w:hAnsi="Arial"/>
                <w:sz w:val="20"/>
                <w:szCs w:val="20"/>
                <w:lang w:eastAsia="en-CA"/>
              </w:rPr>
              <w:t xml:space="preserve"> – Payment is due in full by September 14</w:t>
            </w:r>
            <w:r>
              <w:rPr>
                <w:rFonts w:eastAsia="Times New Roman" w:cs="Arial" w:ascii="Arial" w:hAnsi="Arial"/>
                <w:sz w:val="20"/>
                <w:szCs w:val="20"/>
                <w:vertAlign w:val="superscript"/>
                <w:lang w:eastAsia="en-CA"/>
              </w:rPr>
              <w:t>th</w:t>
            </w:r>
            <w:r>
              <w:rPr>
                <w:rFonts w:eastAsia="Times New Roman" w:cs="Arial" w:ascii="Arial" w:hAnsi="Arial"/>
                <w:sz w:val="20"/>
                <w:szCs w:val="20"/>
                <w:lang w:eastAsia="en-CA"/>
              </w:rPr>
              <w:t xml:space="preserve"> each year. </w:t>
            </w:r>
          </w:p>
          <w:p>
            <w:pPr>
              <w:pStyle w:val="ListParagraph"/>
              <w:numPr>
                <w:ilvl w:val="1"/>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OPTION TWO</w:t>
            </w:r>
            <w:r>
              <w:rPr>
                <w:rFonts w:eastAsia="Times New Roman" w:cs="Arial" w:ascii="Arial" w:hAnsi="Arial"/>
                <w:sz w:val="20"/>
                <w:szCs w:val="20"/>
                <w:lang w:eastAsia="en-CA"/>
              </w:rPr>
              <w:t>- Payment is due in two installments, 50% by September 14</w:t>
            </w:r>
            <w:r>
              <w:rPr>
                <w:rFonts w:eastAsia="Times New Roman" w:cs="Arial" w:ascii="Arial" w:hAnsi="Arial"/>
                <w:sz w:val="20"/>
                <w:szCs w:val="20"/>
                <w:vertAlign w:val="superscript"/>
                <w:lang w:eastAsia="en-CA"/>
              </w:rPr>
              <w:t>th</w:t>
            </w:r>
            <w:r>
              <w:rPr>
                <w:rFonts w:eastAsia="Times New Roman" w:cs="Arial" w:ascii="Arial" w:hAnsi="Arial"/>
                <w:sz w:val="20"/>
                <w:szCs w:val="20"/>
                <w:lang w:eastAsia="en-CA"/>
              </w:rPr>
              <w:t>, Balance is due March 14</w:t>
            </w:r>
            <w:r>
              <w:rPr>
                <w:rFonts w:eastAsia="Times New Roman" w:cs="Arial" w:ascii="Arial" w:hAnsi="Arial"/>
                <w:sz w:val="20"/>
                <w:szCs w:val="20"/>
                <w:vertAlign w:val="superscript"/>
                <w:lang w:eastAsia="en-CA"/>
              </w:rPr>
              <w:t>th.</w:t>
            </w:r>
            <w:r>
              <w:rPr>
                <w:rFonts w:eastAsia="Times New Roman" w:cs="Arial" w:ascii="Arial" w:hAnsi="Arial"/>
                <w:sz w:val="20"/>
                <w:szCs w:val="20"/>
                <w:lang w:eastAsia="en-CA"/>
              </w:rPr>
              <w:t xml:space="preserve"> </w:t>
            </w:r>
          </w:p>
          <w:p>
            <w:pPr>
              <w:pStyle w:val="ListParagraph"/>
              <w:numPr>
                <w:ilvl w:val="1"/>
                <w:numId w:val="1"/>
              </w:numPr>
              <w:spacing w:lineRule="auto" w:line="24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OPTION THREE</w:t>
            </w:r>
            <w:r>
              <w:rPr>
                <w:rFonts w:eastAsia="Times New Roman" w:cs="Arial" w:ascii="Arial" w:hAnsi="Arial"/>
                <w:sz w:val="20"/>
                <w:szCs w:val="20"/>
                <w:lang w:eastAsia="en-CA"/>
              </w:rPr>
              <w:t xml:space="preserve"> – 8 Equal payments starting September 14</w:t>
            </w:r>
            <w:r>
              <w:rPr>
                <w:rFonts w:eastAsia="Times New Roman" w:cs="Arial" w:ascii="Arial" w:hAnsi="Arial"/>
                <w:sz w:val="20"/>
                <w:szCs w:val="20"/>
                <w:vertAlign w:val="superscript"/>
                <w:lang w:eastAsia="en-CA"/>
              </w:rPr>
              <w:t>th</w:t>
            </w:r>
            <w:r>
              <w:rPr>
                <w:rFonts w:eastAsia="Times New Roman" w:cs="Arial" w:ascii="Arial" w:hAnsi="Arial"/>
                <w:sz w:val="20"/>
                <w:szCs w:val="20"/>
                <w:lang w:eastAsia="en-CA"/>
              </w:rPr>
              <w:t xml:space="preserve"> to April 14</w:t>
            </w:r>
            <w:r>
              <w:rPr>
                <w:rFonts w:eastAsia="Times New Roman" w:cs="Arial" w:ascii="Arial" w:hAnsi="Arial"/>
                <w:sz w:val="20"/>
                <w:szCs w:val="20"/>
                <w:vertAlign w:val="superscript"/>
                <w:lang w:eastAsia="en-CA"/>
              </w:rPr>
              <w:t>th.</w:t>
            </w:r>
            <w:r>
              <w:rPr>
                <w:rFonts w:eastAsia="Times New Roman" w:cs="Arial" w:ascii="Arial" w:hAnsi="Arial"/>
                <w:sz w:val="20"/>
                <w:szCs w:val="20"/>
                <w:lang w:eastAsia="en-CA"/>
              </w:rPr>
              <w:t xml:space="preserve"> </w:t>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numPr>
                <w:ilvl w:val="0"/>
                <w:numId w:val="1"/>
              </w:numPr>
              <w:spacing w:lineRule="auto" w:line="360" w:before="0" w:after="0"/>
              <w:contextualSpacing/>
              <w:rPr>
                <w:rFonts w:ascii="Arial" w:hAnsi="Arial" w:eastAsia="Times New Roman" w:cs="Arial"/>
                <w:sz w:val="20"/>
                <w:szCs w:val="20"/>
                <w:lang w:eastAsia="en-CA"/>
              </w:rPr>
            </w:pPr>
            <w:r>
              <w:rPr>
                <w:rFonts w:eastAsia="Times New Roman" w:cs="Arial" w:ascii="Arial" w:hAnsi="Arial"/>
                <w:sz w:val="20"/>
                <w:szCs w:val="20"/>
                <w:lang w:eastAsia="en-CA"/>
              </w:rPr>
              <w:t xml:space="preserve">By signing </w:t>
            </w:r>
            <w:r>
              <w:rPr>
                <w:rFonts w:eastAsia="Times New Roman" w:cs="Arial" w:ascii="Arial" w:hAnsi="Arial"/>
                <w:b/>
                <w:bCs/>
                <w:sz w:val="20"/>
                <w:szCs w:val="20"/>
                <w:lang w:eastAsia="en-CA"/>
              </w:rPr>
              <w:t>the License of Occupation,</w:t>
            </w:r>
            <w:r>
              <w:rPr>
                <w:rFonts w:eastAsia="Times New Roman" w:cs="Arial" w:ascii="Arial" w:hAnsi="Arial"/>
                <w:sz w:val="20"/>
                <w:szCs w:val="20"/>
                <w:lang w:eastAsia="en-CA"/>
              </w:rPr>
              <w:t xml:space="preserve"> you agree to all the terms and conditions laid out in this document.</w:t>
            </w:r>
          </w:p>
          <w:p>
            <w:pPr>
              <w:pStyle w:val="ListParagraph"/>
              <w:numPr>
                <w:ilvl w:val="0"/>
                <w:numId w:val="1"/>
              </w:numPr>
              <w:spacing w:lineRule="auto" w:line="360" w:before="0" w:after="0"/>
              <w:contextualSpacing/>
              <w:rPr>
                <w:rFonts w:ascii="Arial" w:hAnsi="Arial" w:eastAsia="Times New Roman" w:cs="Arial"/>
                <w:sz w:val="20"/>
                <w:szCs w:val="20"/>
                <w:lang w:eastAsia="en-CA"/>
              </w:rPr>
            </w:pPr>
            <w:r>
              <w:rPr>
                <w:rFonts w:eastAsia="Times New Roman" w:cs="Arial" w:ascii="Arial" w:hAnsi="Arial"/>
                <w:b/>
                <w:bCs/>
                <w:sz w:val="20"/>
                <w:szCs w:val="20"/>
                <w:lang w:eastAsia="en-CA"/>
              </w:rPr>
              <w:t>QUIET HOURS</w:t>
            </w:r>
            <w:r>
              <w:rPr>
                <w:rFonts w:eastAsia="Times New Roman" w:cs="Arial" w:ascii="Arial" w:hAnsi="Arial"/>
                <w:sz w:val="20"/>
                <w:szCs w:val="20"/>
                <w:lang w:eastAsia="en-CA"/>
              </w:rPr>
              <w:t xml:space="preserve"> are </w:t>
            </w:r>
            <w:r>
              <w:rPr>
                <w:rFonts w:eastAsia="Times New Roman" w:cs="Arial" w:ascii="Arial" w:hAnsi="Arial"/>
                <w:b/>
                <w:bCs/>
                <w:sz w:val="20"/>
                <w:szCs w:val="20"/>
                <w:lang w:eastAsia="en-CA"/>
              </w:rPr>
              <w:t xml:space="preserve">11:00pm to 8:00am, </w:t>
            </w:r>
            <w:r>
              <w:rPr>
                <w:rFonts w:eastAsia="Times New Roman" w:cs="Arial" w:ascii="Arial" w:hAnsi="Arial"/>
                <w:sz w:val="20"/>
                <w:szCs w:val="20"/>
                <w:lang w:eastAsia="en-CA"/>
              </w:rPr>
              <w:t xml:space="preserve">Please keep noise and music low at ALL TIMES, Children must return to your site by 11:00pm </w:t>
            </w:r>
          </w:p>
          <w:tbl>
            <w:tblPr>
              <w:tblW w:w="11736" w:type="dxa"/>
              <w:jc w:val="left"/>
              <w:tblInd w:w="0" w:type="dxa"/>
              <w:tblCellMar>
                <w:top w:w="0" w:type="dxa"/>
                <w:left w:w="108" w:type="dxa"/>
                <w:bottom w:w="0" w:type="dxa"/>
                <w:right w:w="108" w:type="dxa"/>
              </w:tblCellMar>
              <w:tblLook w:firstRow="1" w:noVBand="1" w:lastRow="0" w:firstColumn="1" w:lastColumn="0" w:noHBand="0" w:val="04a0"/>
            </w:tblPr>
            <w:tblGrid>
              <w:gridCol w:w="11736"/>
            </w:tblGrid>
            <w:tr>
              <w:trPr>
                <w:trHeight w:val="300" w:hRule="atLeast"/>
              </w:trPr>
              <w:tc>
                <w:tcPr>
                  <w:tcW w:w="11736" w:type="dxa"/>
                  <w:tcBorders/>
                  <w:shd w:color="auto" w:fill="auto" w:val="clear"/>
                </w:tcPr>
                <w:p>
                  <w:pPr>
                    <w:pStyle w:val="Normal"/>
                    <w:rPr/>
                  </w:pPr>
                  <w:r>
                    <w:rPr/>
                  </w:r>
                </w:p>
                <w:tbl>
                  <w:tblPr>
                    <w:tblW w:w="11520" w:type="dxa"/>
                    <w:jc w:val="left"/>
                    <w:tblInd w:w="0" w:type="dxa"/>
                    <w:tblCellMar>
                      <w:top w:w="0" w:type="dxa"/>
                      <w:left w:w="108" w:type="dxa"/>
                      <w:bottom w:w="0" w:type="dxa"/>
                      <w:right w:w="108" w:type="dxa"/>
                    </w:tblCellMar>
                    <w:tblLook w:firstRow="1" w:noVBand="1" w:lastRow="0" w:firstColumn="1" w:lastColumn="0" w:noHBand="0" w:val="04a0"/>
                  </w:tblPr>
                  <w:tblGrid>
                    <w:gridCol w:w="11520"/>
                  </w:tblGrid>
                  <w:tr>
                    <w:trPr>
                      <w:trHeight w:val="300" w:hRule="atLeast"/>
                    </w:trPr>
                    <w:tc>
                      <w:tcPr>
                        <w:tcW w:w="11520" w:type="dxa"/>
                        <w:tcBorders/>
                        <w:shd w:color="auto" w:fill="auto" w:val="clear"/>
                      </w:tcPr>
                      <w:p>
                        <w:pPr>
                          <w:pStyle w:val="ListParagraph"/>
                          <w:spacing w:lineRule="auto" w:line="240" w:before="0" w:after="0"/>
                          <w:ind w:left="360" w:hanging="0"/>
                          <w:contextualSpacing/>
                          <w:jc w:val="center"/>
                          <w:rPr>
                            <w:rFonts w:ascii="Arial" w:hAnsi="Arial" w:eastAsia="Times New Roman" w:cs="Arial"/>
                            <w:b/>
                            <w:b/>
                            <w:bCs/>
                            <w:sz w:val="28"/>
                            <w:szCs w:val="28"/>
                            <w:lang w:eastAsia="en-CA"/>
                          </w:rPr>
                        </w:pPr>
                        <w:r>
                          <w:rPr>
                            <w:rFonts w:eastAsia="Times New Roman" w:cs="Arial" w:ascii="Arial" w:hAnsi="Arial"/>
                            <w:b/>
                            <w:bCs/>
                            <w:sz w:val="28"/>
                            <w:szCs w:val="28"/>
                            <w:lang w:eastAsia="en-CA"/>
                          </w:rPr>
                          <w:t>THANK YOU!</w:t>
                        </w:r>
                      </w:p>
                    </w:tc>
                  </w:tr>
                  <w:tr>
                    <w:trPr>
                      <w:trHeight w:val="300" w:hRule="atLeast"/>
                    </w:trPr>
                    <w:tc>
                      <w:tcPr>
                        <w:tcW w:w="11520" w:type="dxa"/>
                        <w:tcBorders/>
                        <w:shd w:color="auto" w:fill="auto" w:val="clear"/>
                      </w:tcPr>
                      <w:p>
                        <w:pPr>
                          <w:pStyle w:val="Normal"/>
                          <w:spacing w:lineRule="auto" w:line="240" w:before="0" w:after="0"/>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r>
                    <w:trPr>
                      <w:trHeight w:val="600" w:hRule="atLeast"/>
                    </w:trPr>
                    <w:tc>
                      <w:tcPr>
                        <w:tcW w:w="11520" w:type="dxa"/>
                        <w:tcBorders/>
                        <w:shd w:color="auto" w:fill="auto" w:val="clear"/>
                      </w:tcPr>
                      <w:p>
                        <w:pPr>
                          <w:pStyle w:val="ListParagraph"/>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r>
                    <w:trPr>
                      <w:trHeight w:val="409" w:hRule="atLeast"/>
                    </w:trPr>
                    <w:tc>
                      <w:tcPr>
                        <w:tcW w:w="11520" w:type="dxa"/>
                        <w:tcBorders/>
                        <w:shd w:color="auto" w:fill="auto" w:val="clear"/>
                      </w:tcPr>
                      <w:p>
                        <w:pPr>
                          <w:pStyle w:val="Normal"/>
                          <w:spacing w:lineRule="auto" w:line="240" w:before="0" w:after="0"/>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spacing w:lineRule="auto" w:line="240" w:before="0" w:after="0"/>
                          <w:ind w:left="360" w:hanging="0"/>
                          <w:contextualSpacing/>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spacing w:lineRule="auto" w:line="240" w:before="0" w:after="0"/>
                          <w:ind w:left="360" w:hanging="0"/>
                          <w:contextualSpacing/>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spacing w:lineRule="auto" w:line="240" w:before="0" w:after="0"/>
                          <w:ind w:left="360" w:hanging="0"/>
                          <w:contextualSpacing/>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rPr>
                            <w:rFonts w:ascii="Arial" w:hAnsi="Arial" w:eastAsia="Times New Roman" w:cs="Arial"/>
                            <w:sz w:val="20"/>
                            <w:szCs w:val="20"/>
                            <w:lang w:eastAsia="en-CA"/>
                          </w:rPr>
                        </w:pPr>
                        <w:r>
                          <w:rPr>
                            <w:rFonts w:eastAsia="Times New Roman" w:cs="Arial" w:ascii="Arial" w:hAnsi="Arial"/>
                            <w:sz w:val="20"/>
                            <w:szCs w:val="20"/>
                            <w:lang w:eastAsia="en-CA"/>
                          </w:rPr>
                        </w:r>
                      </w:p>
                      <w:p>
                        <w:pPr>
                          <w:pStyle w:val="ListParagraph"/>
                          <w:spacing w:lineRule="auto" w:line="240" w:before="0" w:after="0"/>
                          <w:ind w:left="360" w:hanging="0"/>
                          <w:contextualSpacing/>
                          <w:jc w:val="center"/>
                          <w:rPr>
                            <w:rFonts w:ascii="Arial" w:hAnsi="Arial" w:eastAsia="Times New Roman" w:cs="Arial"/>
                            <w:b/>
                            <w:b/>
                            <w:bCs/>
                            <w:sz w:val="20"/>
                            <w:szCs w:val="20"/>
                            <w:lang w:eastAsia="en-CA"/>
                          </w:rPr>
                        </w:pPr>
                        <w:r>
                          <w:rPr>
                            <w:rFonts w:eastAsia="Times New Roman" w:cs="Arial" w:ascii="Arial" w:hAnsi="Arial"/>
                            <w:b/>
                            <w:bCs/>
                            <w:sz w:val="20"/>
                            <w:szCs w:val="20"/>
                            <w:lang w:eastAsia="en-CA"/>
                          </w:rPr>
                        </w:r>
                      </w:p>
                      <w:p>
                        <w:pPr>
                          <w:pStyle w:val="ListParagraph"/>
                          <w:spacing w:lineRule="auto" w:line="240" w:before="0" w:after="0"/>
                          <w:ind w:left="360" w:hanging="0"/>
                          <w:contextualSpacing/>
                          <w:jc w:val="center"/>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bl>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r>
              <w:trPr>
                <w:trHeight w:val="300" w:hRule="atLeast"/>
              </w:trPr>
              <w:tc>
                <w:tcPr>
                  <w:tcW w:w="11736" w:type="dxa"/>
                  <w:tcBorders/>
                  <w:shd w:color="auto" w:fill="auto" w:val="clear"/>
                </w:tcPr>
                <w:p>
                  <w:pPr>
                    <w:pStyle w:val="Normal"/>
                    <w:spacing w:before="0" w:after="160"/>
                    <w:rPr>
                      <w:rFonts w:ascii="Arial" w:hAnsi="Arial" w:eastAsia="Times New Roman" w:cs="Arial"/>
                      <w:sz w:val="20"/>
                      <w:szCs w:val="20"/>
                      <w:lang w:eastAsia="en-CA"/>
                    </w:rPr>
                  </w:pPr>
                  <w:r>
                    <w:rPr>
                      <w:rFonts w:eastAsia="Times New Roman" w:cs="Arial" w:ascii="Arial" w:hAnsi="Arial"/>
                      <w:sz w:val="20"/>
                      <w:szCs w:val="20"/>
                      <w:lang w:eastAsia="en-CA"/>
                    </w:rPr>
                  </w:r>
                </w:p>
              </w:tc>
            </w:tr>
            <w:tr>
              <w:trPr>
                <w:trHeight w:val="585" w:hRule="atLeast"/>
              </w:trPr>
              <w:tc>
                <w:tcPr>
                  <w:tcW w:w="11736" w:type="dxa"/>
                  <w:tcBorders/>
                  <w:shd w:color="auto" w:fill="auto" w:val="clear"/>
                </w:tcPr>
                <w:tbl>
                  <w:tblPr>
                    <w:tblW w:w="11520" w:type="dxa"/>
                    <w:jc w:val="left"/>
                    <w:tblInd w:w="0" w:type="dxa"/>
                    <w:tblCellMar>
                      <w:top w:w="0" w:type="dxa"/>
                      <w:left w:w="108" w:type="dxa"/>
                      <w:bottom w:w="0" w:type="dxa"/>
                      <w:right w:w="108" w:type="dxa"/>
                    </w:tblCellMar>
                    <w:tblLook w:firstRow="1" w:noVBand="1" w:lastRow="0" w:firstColumn="1" w:lastColumn="0" w:noHBand="0" w:val="04a0"/>
                  </w:tblPr>
                  <w:tblGrid>
                    <w:gridCol w:w="11520"/>
                  </w:tblGrid>
                  <w:tr>
                    <w:trPr>
                      <w:trHeight w:val="300" w:hRule="exact"/>
                    </w:trPr>
                    <w:tc>
                      <w:tcPr>
                        <w:tcW w:w="11520" w:type="dxa"/>
                        <w:tcBorders/>
                        <w:shd w:color="auto" w:fill="auto" w:val="clear"/>
                      </w:tcPr>
                      <w:p>
                        <w:pPr>
                          <w:pStyle w:val="Normal"/>
                          <w:spacing w:lineRule="auto" w:line="240" w:before="0" w:after="0"/>
                          <w:rPr>
                            <w:rFonts w:ascii="Arial" w:hAnsi="Arial" w:eastAsia="Times New Roman" w:cs="Arial"/>
                            <w:sz w:val="20"/>
                            <w:szCs w:val="20"/>
                            <w:lang w:eastAsia="en-CA"/>
                          </w:rPr>
                        </w:pPr>
                        <w:r>
                          <w:rPr>
                            <w:rFonts w:eastAsia="Times New Roman" w:cs="Arial" w:ascii="Arial" w:hAnsi="Arial"/>
                            <w:sz w:val="20"/>
                            <w:szCs w:val="20"/>
                            <w:lang w:eastAsia="en-CA"/>
                          </w:rPr>
                        </w:r>
                      </w:p>
                    </w:tc>
                  </w:tr>
                  <w:tr>
                    <w:trPr>
                      <w:trHeight w:val="885" w:hRule="exact"/>
                    </w:trPr>
                    <w:tc>
                      <w:tcPr>
                        <w:tcW w:w="11520" w:type="dxa"/>
                        <w:tcBorders/>
                        <w:shd w:color="auto" w:fill="auto" w:val="clear"/>
                      </w:tcPr>
                      <w:p>
                        <w:pPr>
                          <w:pStyle w:val="Normal"/>
                          <w:spacing w:lineRule="auto" w:line="240" w:before="0" w:after="0"/>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bl>
                <w:p>
                  <w:pPr>
                    <w:pStyle w:val="Normal"/>
                    <w:spacing w:lineRule="auto" w:line="240" w:before="0" w:after="0"/>
                    <w:rPr>
                      <w:rFonts w:ascii="Arial" w:hAnsi="Arial" w:eastAsia="Times New Roman" w:cs="Arial"/>
                      <w:sz w:val="20"/>
                      <w:szCs w:val="20"/>
                      <w:lang w:eastAsia="en-CA"/>
                    </w:rPr>
                  </w:pPr>
                  <w:r>
                    <w:rPr>
                      <w:rFonts w:eastAsia="Times New Roman" w:cs="Arial" w:ascii="Arial" w:hAnsi="Arial"/>
                      <w:sz w:val="20"/>
                      <w:szCs w:val="20"/>
                      <w:lang w:eastAsia="en-CA"/>
                    </w:rPr>
                  </w:r>
                </w:p>
              </w:tc>
            </w:tr>
          </w:tbl>
          <w:p>
            <w:pPr>
              <w:pStyle w:val="ListParagraph"/>
              <w:numPr>
                <w:ilvl w:val="0"/>
                <w:numId w:val="1"/>
              </w:numPr>
              <w:spacing w:lineRule="auto" w:line="240" w:before="0" w:after="0"/>
              <w:contextualSpacing/>
              <w:rPr>
                <w:rFonts w:ascii="Arial" w:hAnsi="Arial" w:eastAsia="Times New Roman" w:cs="Arial"/>
                <w:b/>
                <w:b/>
                <w:bCs/>
                <w:sz w:val="20"/>
                <w:szCs w:val="20"/>
                <w:lang w:eastAsia="en-CA"/>
              </w:rPr>
            </w:pPr>
            <w:r>
              <w:rPr>
                <w:rFonts w:eastAsia="Times New Roman" w:cs="Arial" w:ascii="Arial" w:hAnsi="Arial"/>
                <w:b/>
                <w:bCs/>
                <w:sz w:val="20"/>
                <w:szCs w:val="20"/>
                <w:lang w:eastAsia="en-CA"/>
              </w:rPr>
            </w:r>
          </w:p>
        </w:tc>
      </w:tr>
    </w:tbl>
    <w:p>
      <w:pPr>
        <w:pStyle w:val="Normal"/>
        <w:spacing w:before="0" w:after="160"/>
        <w:rPr/>
      </w:pPr>
      <w:r>
        <w:rPr/>
      </w:r>
    </w:p>
    <w:sectPr>
      <w:type w:val="nextPage"/>
      <w:pgSz w:w="12240" w:h="15840"/>
      <w:pgMar w:left="284" w:right="1418"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73f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cs="Courier New"/>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rFonts w:cs="Courier New"/>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rFonts w:cs="Courier New"/>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rFonts w:cs="Courier New"/>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rFonts w:cs="Courier New"/>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873fa"/>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LibreOffice/6.2.3.2$Windows_X86_64 LibreOffice_project/aecc05fe267cc68dde00352a451aa867b3b546ac</Application>
  <Pages>4</Pages>
  <Words>2284</Words>
  <Characters>10602</Characters>
  <CharactersWithSpaces>12824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2022-10-03T13:10:00Z</dcterms:created>
  <dc:creator>Cheryl Bryant</dc:creator>
  <dc:description/>
  <dc:language>en-CA</dc:language>
  <cp:lastModifiedBy>Cheryl Bryant</cp:lastModifiedBy>
  <cp:lastPrinted>2021-02-18T17:45:00Z</cp:lastPrinted>
  <dcterms:modified xsi:type="dcterms:W3CDTF">2023-03-18T12:31:00Z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