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0A15" w14:textId="18DC43AC" w:rsidR="00D31728" w:rsidRDefault="00D31728" w:rsidP="00D31728">
      <w:pPr>
        <w:pStyle w:val="BodyText"/>
        <w:pBdr>
          <w:top w:val="double" w:sz="4" w:space="1" w:color="auto"/>
          <w:left w:val="double" w:sz="4" w:space="4" w:color="auto"/>
          <w:bottom w:val="double" w:sz="4" w:space="1" w:color="auto"/>
          <w:right w:val="double" w:sz="4" w:space="4" w:color="auto"/>
        </w:pBdr>
        <w:tabs>
          <w:tab w:val="left" w:pos="6516"/>
        </w:tabs>
        <w:jc w:val="center"/>
      </w:pPr>
      <w:r>
        <w:t>CONTROLLED SUBSTANCE PROTOCOL</w:t>
      </w:r>
    </w:p>
    <w:p w14:paraId="6A3EBA0B" w14:textId="54CD46A3" w:rsidR="00D31728" w:rsidRPr="00095920" w:rsidRDefault="00D31728" w:rsidP="00D31728">
      <w:pPr>
        <w:pStyle w:val="NoSpacing"/>
        <w:jc w:val="center"/>
      </w:pPr>
      <w:r w:rsidRPr="00095920">
        <w:t xml:space="preserve"> (Post in MAR</w:t>
      </w:r>
      <w:r w:rsidR="00956D3A">
        <w:t xml:space="preserve"> Binder</w:t>
      </w:r>
      <w:r w:rsidRPr="00095920">
        <w:t>)</w:t>
      </w:r>
    </w:p>
    <w:p w14:paraId="03741FED" w14:textId="77777777" w:rsidR="00D31728" w:rsidRPr="005019D9" w:rsidRDefault="00D31728" w:rsidP="00D31728">
      <w:pPr>
        <w:pStyle w:val="DefaultText"/>
        <w:rPr>
          <w:b/>
          <w:sz w:val="28"/>
          <w:szCs w:val="28"/>
          <w:u w:val="single"/>
        </w:rPr>
      </w:pPr>
      <w:r w:rsidRPr="005019D9">
        <w:rPr>
          <w:b/>
          <w:sz w:val="28"/>
          <w:szCs w:val="28"/>
          <w:u w:val="single"/>
        </w:rPr>
        <w:t>POLICY:</w:t>
      </w:r>
    </w:p>
    <w:p w14:paraId="18F9781A" w14:textId="77777777" w:rsidR="00D31728" w:rsidRPr="005019D9" w:rsidRDefault="00D31728" w:rsidP="00D31728">
      <w:pPr>
        <w:pStyle w:val="DefaultText"/>
        <w:rPr>
          <w:b/>
          <w:sz w:val="22"/>
          <w:szCs w:val="22"/>
          <w:u w:val="single"/>
        </w:rPr>
      </w:pPr>
    </w:p>
    <w:p w14:paraId="35814F58" w14:textId="5BFEA671" w:rsidR="00D31728" w:rsidRPr="005019D9" w:rsidRDefault="005F30DE" w:rsidP="00D31728">
      <w:pPr>
        <w:pStyle w:val="DefaultText"/>
        <w:rPr>
          <w:color w:val="000000"/>
          <w:sz w:val="22"/>
          <w:szCs w:val="22"/>
        </w:rPr>
      </w:pPr>
      <w:r w:rsidRPr="005019D9">
        <w:rPr>
          <w:b/>
          <w:color w:val="000000"/>
          <w:sz w:val="22"/>
          <w:szCs w:val="22"/>
        </w:rPr>
        <w:t>CONTROLLED SCHEDULE II MENDICATION USE:</w:t>
      </w:r>
      <w:r w:rsidR="00D31728" w:rsidRPr="005019D9">
        <w:rPr>
          <w:b/>
          <w:color w:val="000000"/>
          <w:sz w:val="22"/>
          <w:szCs w:val="22"/>
        </w:rPr>
        <w:t xml:space="preserve"> </w:t>
      </w:r>
      <w:r w:rsidRPr="005019D9">
        <w:rPr>
          <w:b/>
          <w:color w:val="000000"/>
          <w:sz w:val="22"/>
          <w:szCs w:val="22"/>
        </w:rPr>
        <w:t xml:space="preserve"> </w:t>
      </w:r>
      <w:r w:rsidR="009431D9" w:rsidRPr="005019D9">
        <w:rPr>
          <w:color w:val="000000"/>
          <w:sz w:val="22"/>
          <w:szCs w:val="22"/>
        </w:rPr>
        <w:t>PR</w:t>
      </w:r>
      <w:r w:rsidRPr="005019D9">
        <w:rPr>
          <w:color w:val="000000"/>
          <w:sz w:val="22"/>
          <w:szCs w:val="22"/>
        </w:rPr>
        <w:t xml:space="preserve">ESCRIBED ROUTINELY FOR MEDICAL CONDITONS, </w:t>
      </w:r>
      <w:r w:rsidR="00D31728" w:rsidRPr="005019D9">
        <w:rPr>
          <w:color w:val="000000"/>
          <w:sz w:val="22"/>
          <w:szCs w:val="22"/>
        </w:rPr>
        <w:t>ACUTE, SUBACUTE, AND POST-OPERATIVE PAIN</w:t>
      </w:r>
      <w:r w:rsidR="009431D9" w:rsidRPr="005019D9">
        <w:rPr>
          <w:color w:val="000000"/>
          <w:sz w:val="22"/>
          <w:szCs w:val="22"/>
        </w:rPr>
        <w:t>.</w:t>
      </w:r>
      <w:r w:rsidR="00D31728" w:rsidRPr="005019D9">
        <w:rPr>
          <w:color w:val="000000"/>
          <w:sz w:val="22"/>
          <w:szCs w:val="22"/>
        </w:rPr>
        <w:t xml:space="preserve"> </w:t>
      </w:r>
    </w:p>
    <w:p w14:paraId="3CCDAAE7" w14:textId="77777777" w:rsidR="00D31728" w:rsidRPr="005019D9" w:rsidRDefault="00D31728" w:rsidP="00D31728">
      <w:pPr>
        <w:pStyle w:val="DefaultText"/>
        <w:rPr>
          <w:color w:val="000000"/>
          <w:sz w:val="22"/>
          <w:szCs w:val="22"/>
        </w:rPr>
      </w:pPr>
    </w:p>
    <w:p w14:paraId="392221C8" w14:textId="05573E42" w:rsidR="00D31728" w:rsidRPr="005019D9" w:rsidRDefault="00D31728" w:rsidP="00D31728">
      <w:pPr>
        <w:pStyle w:val="Default"/>
        <w:rPr>
          <w:sz w:val="22"/>
          <w:szCs w:val="22"/>
        </w:rPr>
      </w:pPr>
      <w:r w:rsidRPr="005019D9">
        <w:rPr>
          <w:sz w:val="22"/>
          <w:szCs w:val="22"/>
        </w:rPr>
        <w:t>Controlled Substance medication(s)</w:t>
      </w:r>
      <w:r w:rsidR="005F30DE" w:rsidRPr="005019D9">
        <w:rPr>
          <w:sz w:val="22"/>
          <w:szCs w:val="22"/>
        </w:rPr>
        <w:t xml:space="preserve"> </w:t>
      </w:r>
      <w:r w:rsidR="005019D9" w:rsidRPr="005019D9">
        <w:rPr>
          <w:sz w:val="22"/>
          <w:szCs w:val="22"/>
        </w:rPr>
        <w:t xml:space="preserve">prescribed </w:t>
      </w:r>
      <w:r w:rsidR="009431D9" w:rsidRPr="005019D9">
        <w:rPr>
          <w:sz w:val="22"/>
          <w:szCs w:val="22"/>
        </w:rPr>
        <w:t xml:space="preserve">for routine medical use or </w:t>
      </w:r>
      <w:r w:rsidRPr="005019D9">
        <w:rPr>
          <w:sz w:val="22"/>
          <w:szCs w:val="22"/>
        </w:rPr>
        <w:t xml:space="preserve">used when the severity of the pain warrants </w:t>
      </w:r>
      <w:r w:rsidR="00B36782">
        <w:rPr>
          <w:sz w:val="22"/>
          <w:szCs w:val="22"/>
        </w:rPr>
        <w:t>the use of a Schedule II controlled medication</w:t>
      </w:r>
      <w:r w:rsidRPr="005019D9">
        <w:rPr>
          <w:sz w:val="22"/>
          <w:szCs w:val="22"/>
        </w:rPr>
        <w:t>, after determining that other pain medication or non-pharmacological therapies, will not provide adequate pain relief.</w:t>
      </w:r>
      <w:r w:rsidR="0002029A" w:rsidRPr="005019D9">
        <w:t xml:space="preserve">  </w:t>
      </w:r>
      <w:r w:rsidR="009431D9" w:rsidRPr="005019D9">
        <w:t>Staff will document all Schedule II medication</w:t>
      </w:r>
      <w:r w:rsidR="0002029A" w:rsidRPr="005019D9">
        <w:t xml:space="preserve"> on a separate</w:t>
      </w:r>
      <w:r w:rsidR="0002029A" w:rsidRPr="005019D9">
        <w:rPr>
          <w:b/>
          <w:i/>
        </w:rPr>
        <w:t xml:space="preserve"> Controlled Substance Drug Record Shee</w:t>
      </w:r>
      <w:r w:rsidR="009431D9" w:rsidRPr="005019D9">
        <w:rPr>
          <w:b/>
          <w:i/>
        </w:rPr>
        <w:t xml:space="preserve">t </w:t>
      </w:r>
      <w:r w:rsidR="009431D9" w:rsidRPr="005019D9">
        <w:t>for each individual</w:t>
      </w:r>
      <w:r w:rsidR="009431D9" w:rsidRPr="005019D9">
        <w:rPr>
          <w:b/>
          <w:i/>
        </w:rPr>
        <w:t>.</w:t>
      </w:r>
    </w:p>
    <w:p w14:paraId="6D76C288" w14:textId="77777777" w:rsidR="00D31728" w:rsidRPr="005019D9" w:rsidRDefault="00D31728" w:rsidP="00D31728">
      <w:pPr>
        <w:pStyle w:val="DefaultText"/>
        <w:rPr>
          <w:sz w:val="22"/>
          <w:szCs w:val="22"/>
        </w:rPr>
      </w:pPr>
    </w:p>
    <w:p w14:paraId="0011C330" w14:textId="77777777" w:rsidR="00D31728" w:rsidRPr="005019D9" w:rsidRDefault="00D31728" w:rsidP="00D31728">
      <w:pPr>
        <w:pStyle w:val="ListParagraph"/>
        <w:ind w:left="0"/>
        <w:rPr>
          <w:b/>
          <w:i/>
          <w:sz w:val="28"/>
          <w:szCs w:val="28"/>
        </w:rPr>
      </w:pPr>
      <w:r w:rsidRPr="005019D9">
        <w:rPr>
          <w:b/>
          <w:i/>
          <w:sz w:val="28"/>
          <w:szCs w:val="28"/>
          <w:u w:val="single"/>
        </w:rPr>
        <w:t>PROCEDURE:</w:t>
      </w:r>
    </w:p>
    <w:p w14:paraId="4479AB94" w14:textId="77777777" w:rsidR="00D31728" w:rsidRPr="005019D9" w:rsidRDefault="00D31728" w:rsidP="00D31728">
      <w:pPr>
        <w:pStyle w:val="ListParagraph"/>
        <w:ind w:left="0"/>
        <w:rPr>
          <w:sz w:val="22"/>
          <w:szCs w:val="22"/>
        </w:rPr>
      </w:pPr>
    </w:p>
    <w:p w14:paraId="6038F654" w14:textId="0199D2C2" w:rsidR="00AE4873" w:rsidRPr="005019D9" w:rsidRDefault="00AE4873" w:rsidP="00AE4873">
      <w:pPr>
        <w:pStyle w:val="NoSpacing"/>
        <w:rPr>
          <w:rFonts w:ascii="Times New Roman" w:eastAsia="Times New Roman" w:hAnsi="Times New Roman"/>
          <w:b/>
          <w:i/>
          <w:sz w:val="24"/>
          <w:szCs w:val="24"/>
        </w:rPr>
      </w:pPr>
      <w:r w:rsidRPr="005019D9">
        <w:rPr>
          <w:rFonts w:ascii="Times New Roman" w:eastAsia="Times New Roman" w:hAnsi="Times New Roman"/>
          <w:b/>
          <w:i/>
          <w:sz w:val="24"/>
          <w:szCs w:val="24"/>
        </w:rPr>
        <w:t xml:space="preserve">Routine </w:t>
      </w:r>
      <w:r w:rsidR="005F30DE" w:rsidRPr="005019D9">
        <w:rPr>
          <w:rFonts w:ascii="Times New Roman" w:eastAsia="Times New Roman" w:hAnsi="Times New Roman"/>
          <w:b/>
          <w:i/>
          <w:sz w:val="24"/>
          <w:szCs w:val="24"/>
        </w:rPr>
        <w:t xml:space="preserve">Controlled </w:t>
      </w:r>
      <w:r w:rsidRPr="005019D9">
        <w:rPr>
          <w:rFonts w:ascii="Times New Roman" w:eastAsia="Times New Roman" w:hAnsi="Times New Roman"/>
          <w:b/>
          <w:i/>
          <w:sz w:val="24"/>
          <w:szCs w:val="24"/>
        </w:rPr>
        <w:t xml:space="preserve">Medications: </w:t>
      </w:r>
    </w:p>
    <w:p w14:paraId="615487F1" w14:textId="02F005EA" w:rsidR="00AE4873" w:rsidRPr="005019D9" w:rsidRDefault="00AE4873" w:rsidP="00AE4873">
      <w:pPr>
        <w:pStyle w:val="NoSpacing"/>
        <w:rPr>
          <w:rFonts w:ascii="Times New Roman" w:eastAsia="Times New Roman" w:hAnsi="Times New Roman"/>
          <w:b/>
          <w:i/>
        </w:rPr>
      </w:pPr>
    </w:p>
    <w:p w14:paraId="4D1FA1EC" w14:textId="3EE4FC3A" w:rsidR="00AE4873" w:rsidRPr="005019D9" w:rsidRDefault="00AE4873" w:rsidP="00AE4873">
      <w:pPr>
        <w:pStyle w:val="NoSpacing"/>
        <w:numPr>
          <w:ilvl w:val="0"/>
          <w:numId w:val="2"/>
        </w:numPr>
        <w:rPr>
          <w:rFonts w:ascii="Times New Roman" w:hAnsi="Times New Roman"/>
        </w:rPr>
      </w:pPr>
      <w:r w:rsidRPr="005019D9">
        <w:rPr>
          <w:rFonts w:ascii="Times New Roman" w:hAnsi="Times New Roman"/>
        </w:rPr>
        <w:t xml:space="preserve">When a Controlled Schedule II medication is prescribed </w:t>
      </w:r>
      <w:r w:rsidR="00CD547E" w:rsidRPr="005019D9">
        <w:rPr>
          <w:rFonts w:ascii="Times New Roman" w:hAnsi="Times New Roman"/>
        </w:rPr>
        <w:t>(See alphabetical list of schedule II drugs in the</w:t>
      </w:r>
      <w:r w:rsidR="0002029A" w:rsidRPr="005019D9">
        <w:rPr>
          <w:rFonts w:ascii="Times New Roman" w:hAnsi="Times New Roman"/>
        </w:rPr>
        <w:t xml:space="preserve"> back of the</w:t>
      </w:r>
      <w:r w:rsidR="00CD547E" w:rsidRPr="005019D9">
        <w:rPr>
          <w:rFonts w:ascii="Times New Roman" w:hAnsi="Times New Roman"/>
        </w:rPr>
        <w:t xml:space="preserve"> MAR) </w:t>
      </w:r>
      <w:r w:rsidRPr="005019D9">
        <w:rPr>
          <w:rFonts w:ascii="Times New Roman" w:hAnsi="Times New Roman"/>
        </w:rPr>
        <w:t>to be taken routinely for a medical condition and is received from an outside pharmacy in a bottle the following procedure will be followed:</w:t>
      </w:r>
    </w:p>
    <w:p w14:paraId="7D5BFBC1" w14:textId="5B70F5C1" w:rsidR="00AE4873" w:rsidRPr="005019D9" w:rsidRDefault="00AE4873" w:rsidP="00AE4873">
      <w:pPr>
        <w:pStyle w:val="NoSpacing"/>
        <w:numPr>
          <w:ilvl w:val="1"/>
          <w:numId w:val="2"/>
        </w:numPr>
        <w:rPr>
          <w:rFonts w:ascii="Times New Roman" w:hAnsi="Times New Roman"/>
        </w:rPr>
      </w:pPr>
      <w:r w:rsidRPr="005019D9">
        <w:rPr>
          <w:rFonts w:ascii="Times New Roman" w:hAnsi="Times New Roman"/>
        </w:rPr>
        <w:t>The staff receiving the controlled medication will document the date received, the Rx number, name and dosage of medication and the number of pills</w:t>
      </w:r>
      <w:r w:rsidR="008949E9" w:rsidRPr="005019D9">
        <w:rPr>
          <w:rFonts w:ascii="Times New Roman" w:hAnsi="Times New Roman"/>
        </w:rPr>
        <w:t xml:space="preserve"> </w:t>
      </w:r>
      <w:r w:rsidRPr="005019D9">
        <w:rPr>
          <w:rFonts w:ascii="Times New Roman" w:hAnsi="Times New Roman"/>
        </w:rPr>
        <w:t xml:space="preserve">received on the </w:t>
      </w:r>
      <w:r w:rsidR="008949E9" w:rsidRPr="005019D9">
        <w:rPr>
          <w:rFonts w:ascii="Times New Roman" w:hAnsi="Times New Roman"/>
          <w:b/>
          <w:i/>
        </w:rPr>
        <w:t>“Controlled Substance Drug Record Sheet”</w:t>
      </w:r>
      <w:r w:rsidR="008949E9" w:rsidRPr="005019D9">
        <w:rPr>
          <w:rFonts w:ascii="Times New Roman" w:hAnsi="Times New Roman"/>
          <w:b/>
        </w:rPr>
        <w:t xml:space="preserve"> </w:t>
      </w:r>
      <w:r w:rsidRPr="005019D9">
        <w:rPr>
          <w:rFonts w:ascii="Times New Roman" w:hAnsi="Times New Roman"/>
        </w:rPr>
        <w:t xml:space="preserve">with 2 staff signatures to verify the count received.  </w:t>
      </w:r>
    </w:p>
    <w:p w14:paraId="206EE869" w14:textId="76687481" w:rsidR="00AE4873" w:rsidRPr="005019D9" w:rsidRDefault="00AE4873" w:rsidP="00AE4873">
      <w:pPr>
        <w:pStyle w:val="NoSpacing"/>
        <w:numPr>
          <w:ilvl w:val="1"/>
          <w:numId w:val="2"/>
        </w:numPr>
        <w:rPr>
          <w:rFonts w:ascii="Times New Roman" w:hAnsi="Times New Roman"/>
        </w:rPr>
      </w:pPr>
      <w:r w:rsidRPr="005019D9">
        <w:rPr>
          <w:rFonts w:ascii="Times New Roman" w:hAnsi="Times New Roman"/>
        </w:rPr>
        <w:t>The staff will writ</w:t>
      </w:r>
      <w:r w:rsidR="008949E9" w:rsidRPr="005019D9">
        <w:rPr>
          <w:rFonts w:ascii="Times New Roman" w:hAnsi="Times New Roman"/>
        </w:rPr>
        <w:t>e</w:t>
      </w:r>
      <w:r w:rsidRPr="005019D9">
        <w:rPr>
          <w:rFonts w:ascii="Times New Roman" w:hAnsi="Times New Roman"/>
        </w:rPr>
        <w:t xml:space="preserve"> the schedule II medication order on the MAR to match the physician order for administration. </w:t>
      </w:r>
    </w:p>
    <w:p w14:paraId="536609AC" w14:textId="77777777" w:rsidR="008949E9" w:rsidRPr="005019D9" w:rsidRDefault="00AE4873" w:rsidP="00AE4873">
      <w:pPr>
        <w:pStyle w:val="NoSpacing"/>
        <w:numPr>
          <w:ilvl w:val="1"/>
          <w:numId w:val="2"/>
        </w:numPr>
        <w:rPr>
          <w:rFonts w:ascii="Times New Roman" w:hAnsi="Times New Roman"/>
        </w:rPr>
      </w:pPr>
      <w:r w:rsidRPr="005019D9">
        <w:rPr>
          <w:rFonts w:ascii="Times New Roman" w:hAnsi="Times New Roman"/>
        </w:rPr>
        <w:t xml:space="preserve">There will be a count line for the medication below the staff initials line on the MAR as is done with other </w:t>
      </w:r>
      <w:r w:rsidR="008949E9" w:rsidRPr="005019D9">
        <w:rPr>
          <w:rFonts w:ascii="Times New Roman" w:hAnsi="Times New Roman"/>
        </w:rPr>
        <w:t>prescribed</w:t>
      </w:r>
      <w:r w:rsidRPr="005019D9">
        <w:rPr>
          <w:rFonts w:ascii="Times New Roman" w:hAnsi="Times New Roman"/>
        </w:rPr>
        <w:t xml:space="preserve"> me</w:t>
      </w:r>
      <w:r w:rsidR="008949E9" w:rsidRPr="005019D9">
        <w:rPr>
          <w:rFonts w:ascii="Times New Roman" w:hAnsi="Times New Roman"/>
        </w:rPr>
        <w:t xml:space="preserve">dications. </w:t>
      </w:r>
      <w:r w:rsidRPr="005019D9">
        <w:rPr>
          <w:rFonts w:ascii="Times New Roman" w:hAnsi="Times New Roman"/>
        </w:rPr>
        <w:t xml:space="preserve"> </w:t>
      </w:r>
    </w:p>
    <w:p w14:paraId="72DEA17B" w14:textId="38B8447C" w:rsidR="008949E9" w:rsidRPr="005019D9" w:rsidRDefault="008949E9" w:rsidP="00AE4873">
      <w:pPr>
        <w:pStyle w:val="NoSpacing"/>
        <w:numPr>
          <w:ilvl w:val="1"/>
          <w:numId w:val="2"/>
        </w:numPr>
        <w:rPr>
          <w:rFonts w:ascii="Times New Roman" w:hAnsi="Times New Roman"/>
        </w:rPr>
      </w:pPr>
      <w:r w:rsidRPr="005019D9">
        <w:rPr>
          <w:rFonts w:ascii="Times New Roman" w:hAnsi="Times New Roman"/>
        </w:rPr>
        <w:t xml:space="preserve">Only a one-week supply of the controlled medication will be kept in the open supply with the remaining medication to be stored under double lock with only the </w:t>
      </w:r>
      <w:r w:rsidR="000F6E09">
        <w:rPr>
          <w:rFonts w:ascii="Times New Roman" w:hAnsi="Times New Roman"/>
        </w:rPr>
        <w:t>D</w:t>
      </w:r>
      <w:r w:rsidRPr="005019D9">
        <w:rPr>
          <w:rFonts w:ascii="Times New Roman" w:hAnsi="Times New Roman"/>
        </w:rPr>
        <w:t xml:space="preserve">CC and </w:t>
      </w:r>
      <w:r w:rsidR="000F6E09">
        <w:rPr>
          <w:rFonts w:ascii="Times New Roman" w:hAnsi="Times New Roman"/>
        </w:rPr>
        <w:t>DCA</w:t>
      </w:r>
      <w:r w:rsidRPr="005019D9">
        <w:rPr>
          <w:rFonts w:ascii="Times New Roman" w:hAnsi="Times New Roman"/>
        </w:rPr>
        <w:t xml:space="preserve"> having access to the key for the lock box.  </w:t>
      </w:r>
    </w:p>
    <w:p w14:paraId="7AE46490" w14:textId="3D7AE68A" w:rsidR="008949E9" w:rsidRPr="005019D9" w:rsidRDefault="008949E9" w:rsidP="00AE4873">
      <w:pPr>
        <w:pStyle w:val="NoSpacing"/>
        <w:numPr>
          <w:ilvl w:val="1"/>
          <w:numId w:val="2"/>
        </w:numPr>
        <w:rPr>
          <w:rFonts w:ascii="Times New Roman" w:hAnsi="Times New Roman"/>
        </w:rPr>
      </w:pPr>
      <w:r w:rsidRPr="005019D9">
        <w:rPr>
          <w:rFonts w:ascii="Times New Roman" w:hAnsi="Times New Roman"/>
        </w:rPr>
        <w:t xml:space="preserve">The </w:t>
      </w:r>
      <w:r w:rsidR="000F6E09">
        <w:rPr>
          <w:rFonts w:ascii="Times New Roman" w:hAnsi="Times New Roman"/>
        </w:rPr>
        <w:t>D</w:t>
      </w:r>
      <w:r w:rsidRPr="005019D9">
        <w:rPr>
          <w:rFonts w:ascii="Times New Roman" w:hAnsi="Times New Roman"/>
        </w:rPr>
        <w:t xml:space="preserve">CC or the </w:t>
      </w:r>
      <w:r w:rsidR="000F6E09">
        <w:rPr>
          <w:rFonts w:ascii="Times New Roman" w:hAnsi="Times New Roman"/>
        </w:rPr>
        <w:t>DCA</w:t>
      </w:r>
      <w:r w:rsidRPr="005019D9">
        <w:rPr>
          <w:rFonts w:ascii="Times New Roman" w:hAnsi="Times New Roman"/>
        </w:rPr>
        <w:t xml:space="preserve"> will be responsible for refilling the weekly supply bottle once per week.  The weekly supply bottle will be obtained from the original pharmacy with the prescribers’ directions on the bottle.  </w:t>
      </w:r>
    </w:p>
    <w:p w14:paraId="2A0F8D86" w14:textId="2133D337" w:rsidR="00AE4873" w:rsidRPr="005019D9" w:rsidRDefault="008949E9" w:rsidP="00AE4873">
      <w:pPr>
        <w:pStyle w:val="NoSpacing"/>
        <w:numPr>
          <w:ilvl w:val="1"/>
          <w:numId w:val="2"/>
        </w:numPr>
        <w:rPr>
          <w:rFonts w:ascii="Times New Roman" w:hAnsi="Times New Roman"/>
        </w:rPr>
      </w:pPr>
      <w:r w:rsidRPr="005019D9">
        <w:rPr>
          <w:rFonts w:ascii="Times New Roman" w:hAnsi="Times New Roman"/>
        </w:rPr>
        <w:t xml:space="preserve">Each week when the medication is removed from the original supply bottle to fill the weekly supply bottle, staff will again document the date, </w:t>
      </w:r>
      <w:r w:rsidR="00893179" w:rsidRPr="005019D9">
        <w:rPr>
          <w:rFonts w:ascii="Times New Roman" w:hAnsi="Times New Roman"/>
        </w:rPr>
        <w:t xml:space="preserve">Rx number, </w:t>
      </w:r>
      <w:r w:rsidRPr="005019D9">
        <w:rPr>
          <w:rFonts w:ascii="Times New Roman" w:hAnsi="Times New Roman"/>
        </w:rPr>
        <w:t>medication name</w:t>
      </w:r>
      <w:r w:rsidR="00893179" w:rsidRPr="005019D9">
        <w:rPr>
          <w:rFonts w:ascii="Times New Roman" w:hAnsi="Times New Roman"/>
        </w:rPr>
        <w:t xml:space="preserve"> and </w:t>
      </w:r>
      <w:r w:rsidRPr="005019D9">
        <w:rPr>
          <w:rFonts w:ascii="Times New Roman" w:hAnsi="Times New Roman"/>
        </w:rPr>
        <w:t>dosage</w:t>
      </w:r>
      <w:r w:rsidR="00893179" w:rsidRPr="005019D9">
        <w:rPr>
          <w:rFonts w:ascii="Times New Roman" w:hAnsi="Times New Roman"/>
        </w:rPr>
        <w:t>,</w:t>
      </w:r>
      <w:r w:rsidRPr="005019D9">
        <w:rPr>
          <w:rFonts w:ascii="Times New Roman" w:hAnsi="Times New Roman"/>
        </w:rPr>
        <w:t xml:space="preserve"> </w:t>
      </w:r>
      <w:r w:rsidR="00893179" w:rsidRPr="005019D9">
        <w:rPr>
          <w:rFonts w:ascii="Times New Roman" w:hAnsi="Times New Roman"/>
        </w:rPr>
        <w:t xml:space="preserve">number of pills removed </w:t>
      </w:r>
      <w:r w:rsidRPr="005019D9">
        <w:rPr>
          <w:rFonts w:ascii="Times New Roman" w:hAnsi="Times New Roman"/>
        </w:rPr>
        <w:t xml:space="preserve">and count balance on the </w:t>
      </w:r>
      <w:r w:rsidRPr="005019D9">
        <w:rPr>
          <w:rFonts w:ascii="Times New Roman" w:hAnsi="Times New Roman"/>
          <w:b/>
          <w:i/>
        </w:rPr>
        <w:t>Controlled Substance Drug Record Sheet</w:t>
      </w:r>
      <w:r w:rsidRPr="005019D9">
        <w:rPr>
          <w:rFonts w:ascii="Times New Roman" w:hAnsi="Times New Roman"/>
        </w:rPr>
        <w:t xml:space="preserve"> with 2 staff signatures to verify count.</w:t>
      </w:r>
      <w:r w:rsidR="00AE4873" w:rsidRPr="005019D9">
        <w:rPr>
          <w:rFonts w:ascii="Times New Roman" w:hAnsi="Times New Roman"/>
        </w:rPr>
        <w:t xml:space="preserve"> </w:t>
      </w:r>
    </w:p>
    <w:p w14:paraId="46DD385C" w14:textId="421A13D7" w:rsidR="00CD547E" w:rsidRPr="005019D9" w:rsidRDefault="00CD547E" w:rsidP="00AE4873">
      <w:pPr>
        <w:pStyle w:val="NoSpacing"/>
        <w:numPr>
          <w:ilvl w:val="1"/>
          <w:numId w:val="2"/>
        </w:numPr>
        <w:rPr>
          <w:rFonts w:ascii="Times New Roman" w:hAnsi="Times New Roman"/>
        </w:rPr>
      </w:pPr>
      <w:r w:rsidRPr="005019D9">
        <w:rPr>
          <w:rFonts w:ascii="Times New Roman" w:hAnsi="Times New Roman"/>
        </w:rPr>
        <w:t xml:space="preserve">The </w:t>
      </w:r>
      <w:r w:rsidRPr="005019D9">
        <w:rPr>
          <w:rFonts w:ascii="Times New Roman" w:eastAsia="Times New Roman" w:hAnsi="Times New Roman"/>
          <w:b/>
          <w:i/>
        </w:rPr>
        <w:t>Controlled Substance Drug Record Sheet</w:t>
      </w:r>
      <w:r w:rsidRPr="005019D9">
        <w:rPr>
          <w:rFonts w:ascii="Times New Roman" w:eastAsia="Times New Roman" w:hAnsi="Times New Roman"/>
        </w:rPr>
        <w:t xml:space="preserve"> will be</w:t>
      </w:r>
      <w:r w:rsidR="008D45E8">
        <w:rPr>
          <w:rFonts w:ascii="Times New Roman" w:eastAsia="Times New Roman" w:hAnsi="Times New Roman"/>
        </w:rPr>
        <w:t xml:space="preserve"> kept in the MAR under the name of the individual receiving the medication.  Once the sheet is completed</w:t>
      </w:r>
      <w:r w:rsidR="00DA4454">
        <w:rPr>
          <w:rFonts w:ascii="Times New Roman" w:eastAsia="Times New Roman" w:hAnsi="Times New Roman"/>
        </w:rPr>
        <w:t>, it will become</w:t>
      </w:r>
      <w:r w:rsidRPr="005019D9">
        <w:rPr>
          <w:rFonts w:ascii="Times New Roman" w:eastAsia="Times New Roman" w:hAnsi="Times New Roman"/>
        </w:rPr>
        <w:t xml:space="preserve"> part of the permanent record</w:t>
      </w:r>
      <w:r w:rsidR="00DA4454">
        <w:rPr>
          <w:rFonts w:ascii="Times New Roman" w:eastAsia="Times New Roman" w:hAnsi="Times New Roman"/>
        </w:rPr>
        <w:t xml:space="preserve"> and will be</w:t>
      </w:r>
      <w:r w:rsidRPr="005019D9">
        <w:rPr>
          <w:rFonts w:ascii="Times New Roman" w:eastAsia="Times New Roman" w:hAnsi="Times New Roman"/>
        </w:rPr>
        <w:t xml:space="preserve"> kept at MCGH office located at 805 Pacific Ave., Argyle, MN 56713.</w:t>
      </w:r>
    </w:p>
    <w:p w14:paraId="3D80A934" w14:textId="32FE4F3B" w:rsidR="008D45E8" w:rsidRPr="008D45E8" w:rsidRDefault="00CD547E" w:rsidP="008D45E8">
      <w:pPr>
        <w:pStyle w:val="NoSpacing"/>
        <w:numPr>
          <w:ilvl w:val="1"/>
          <w:numId w:val="2"/>
        </w:numPr>
        <w:rPr>
          <w:rFonts w:ascii="Times New Roman" w:hAnsi="Times New Roman"/>
        </w:rPr>
      </w:pPr>
      <w:r w:rsidRPr="005019D9">
        <w:rPr>
          <w:rFonts w:ascii="Times New Roman" w:hAnsi="Times New Roman"/>
        </w:rPr>
        <w:t>Any unused, discontinue</w:t>
      </w:r>
      <w:r w:rsidR="00893179" w:rsidRPr="005019D9">
        <w:rPr>
          <w:rFonts w:ascii="Times New Roman" w:hAnsi="Times New Roman"/>
        </w:rPr>
        <w:t>d</w:t>
      </w:r>
      <w:r w:rsidRPr="005019D9">
        <w:rPr>
          <w:rFonts w:ascii="Times New Roman" w:hAnsi="Times New Roman"/>
        </w:rPr>
        <w:t xml:space="preserve"> or expired portion of the medication will be disposed of by the facility nurse by taking the medication to Marshall County Sherriff’s Department disposal site in its original bottle.</w:t>
      </w:r>
      <w:r w:rsidR="008D45E8">
        <w:rPr>
          <w:rFonts w:ascii="Times New Roman" w:hAnsi="Times New Roman"/>
        </w:rPr>
        <w:t xml:space="preserve">  A deputy</w:t>
      </w:r>
      <w:r w:rsidR="00DA4454">
        <w:rPr>
          <w:rFonts w:ascii="Times New Roman" w:hAnsi="Times New Roman"/>
        </w:rPr>
        <w:t>/dispatcher</w:t>
      </w:r>
      <w:r w:rsidR="008D45E8">
        <w:rPr>
          <w:rFonts w:ascii="Times New Roman" w:hAnsi="Times New Roman"/>
        </w:rPr>
        <w:t xml:space="preserve"> will verify the count being disposed of with a signature</w:t>
      </w:r>
    </w:p>
    <w:p w14:paraId="7656DCF5" w14:textId="77777777" w:rsidR="00781885" w:rsidRPr="005019D9" w:rsidRDefault="00781885" w:rsidP="00D950E7">
      <w:pPr>
        <w:pStyle w:val="NoSpacing"/>
        <w:ind w:left="1800"/>
        <w:rPr>
          <w:rFonts w:ascii="Times New Roman" w:hAnsi="Times New Roman"/>
        </w:rPr>
      </w:pPr>
    </w:p>
    <w:p w14:paraId="5D170475" w14:textId="22A43DC5" w:rsidR="00CD547E" w:rsidRPr="005019D9" w:rsidRDefault="00CD547E" w:rsidP="00D31728">
      <w:pPr>
        <w:pStyle w:val="ListParagraph"/>
        <w:ind w:left="0"/>
        <w:rPr>
          <w:sz w:val="24"/>
          <w:szCs w:val="24"/>
        </w:rPr>
      </w:pPr>
      <w:r w:rsidRPr="005019D9">
        <w:rPr>
          <w:b/>
          <w:i/>
          <w:sz w:val="24"/>
          <w:szCs w:val="24"/>
        </w:rPr>
        <w:t xml:space="preserve">Pain management or Post-Operative </w:t>
      </w:r>
      <w:r w:rsidR="00D31728" w:rsidRPr="005019D9">
        <w:rPr>
          <w:b/>
          <w:i/>
          <w:sz w:val="24"/>
          <w:szCs w:val="24"/>
        </w:rPr>
        <w:t>Medications</w:t>
      </w:r>
      <w:r w:rsidR="00D31728" w:rsidRPr="005019D9">
        <w:rPr>
          <w:sz w:val="24"/>
          <w:szCs w:val="24"/>
        </w:rPr>
        <w:t xml:space="preserve">:  </w:t>
      </w:r>
    </w:p>
    <w:p w14:paraId="11E2632B" w14:textId="77777777" w:rsidR="008027C3" w:rsidRPr="005019D9" w:rsidRDefault="008027C3" w:rsidP="00D31728">
      <w:pPr>
        <w:pStyle w:val="ListParagraph"/>
        <w:ind w:left="0"/>
        <w:rPr>
          <w:sz w:val="22"/>
          <w:szCs w:val="22"/>
        </w:rPr>
      </w:pPr>
    </w:p>
    <w:p w14:paraId="56C4BB12" w14:textId="309C92DF"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When a controlled substance (Schedule II Drug) is prescribed (See alphabetical list of schedule II drugs in the </w:t>
      </w:r>
      <w:r w:rsidR="00CD547E" w:rsidRPr="005019D9">
        <w:rPr>
          <w:rFonts w:ascii="Times New Roman" w:hAnsi="Times New Roman"/>
        </w:rPr>
        <w:t>MAR</w:t>
      </w:r>
      <w:r w:rsidRPr="005019D9">
        <w:rPr>
          <w:rFonts w:ascii="Times New Roman" w:hAnsi="Times New Roman"/>
        </w:rPr>
        <w:t>)</w:t>
      </w:r>
      <w:r w:rsidR="00CD547E" w:rsidRPr="005019D9">
        <w:rPr>
          <w:rFonts w:ascii="Times New Roman" w:hAnsi="Times New Roman"/>
        </w:rPr>
        <w:t xml:space="preserve"> post-operative for pain management</w:t>
      </w:r>
      <w:r w:rsidRPr="005019D9">
        <w:rPr>
          <w:rFonts w:ascii="Times New Roman" w:hAnsi="Times New Roman"/>
        </w:rPr>
        <w:t xml:space="preserve"> </w:t>
      </w:r>
      <w:r w:rsidR="000F6E09">
        <w:rPr>
          <w:rFonts w:ascii="Times New Roman" w:hAnsi="Times New Roman"/>
        </w:rPr>
        <w:t>D</w:t>
      </w:r>
      <w:r w:rsidR="00DA4454">
        <w:rPr>
          <w:rFonts w:ascii="Times New Roman" w:hAnsi="Times New Roman"/>
        </w:rPr>
        <w:t xml:space="preserve">CC or </w:t>
      </w:r>
      <w:r w:rsidR="000F6E09">
        <w:rPr>
          <w:rFonts w:ascii="Times New Roman" w:hAnsi="Times New Roman"/>
        </w:rPr>
        <w:t>DCA</w:t>
      </w:r>
      <w:r w:rsidR="00DA4454">
        <w:rPr>
          <w:rFonts w:ascii="Times New Roman" w:hAnsi="Times New Roman"/>
        </w:rPr>
        <w:t xml:space="preserve"> will </w:t>
      </w:r>
      <w:r w:rsidRPr="005019D9">
        <w:rPr>
          <w:rFonts w:ascii="Times New Roman" w:hAnsi="Times New Roman"/>
        </w:rPr>
        <w:t xml:space="preserve">request that </w:t>
      </w:r>
      <w:r w:rsidR="00DA4454">
        <w:rPr>
          <w:rFonts w:ascii="Times New Roman" w:hAnsi="Times New Roman"/>
        </w:rPr>
        <w:t>medication</w:t>
      </w:r>
      <w:r w:rsidRPr="005019D9">
        <w:rPr>
          <w:rFonts w:ascii="Times New Roman" w:hAnsi="Times New Roman"/>
        </w:rPr>
        <w:t xml:space="preserve"> be placed in a bubble packet.  Medications given will be documented on the </w:t>
      </w:r>
      <w:r w:rsidRPr="005019D9">
        <w:rPr>
          <w:rFonts w:ascii="Times New Roman" w:hAnsi="Times New Roman"/>
          <w:b/>
          <w:i/>
        </w:rPr>
        <w:t>Controlled Substance Drug Record Sheet</w:t>
      </w:r>
      <w:r w:rsidRPr="005019D9">
        <w:rPr>
          <w:rFonts w:ascii="Times New Roman" w:hAnsi="Times New Roman"/>
          <w:b/>
        </w:rPr>
        <w:t xml:space="preserve"> </w:t>
      </w:r>
      <w:r w:rsidRPr="005019D9">
        <w:rPr>
          <w:rFonts w:ascii="Times New Roman" w:hAnsi="Times New Roman"/>
        </w:rPr>
        <w:t>documenting the count with 2 signatures.</w:t>
      </w:r>
    </w:p>
    <w:p w14:paraId="5449936E" w14:textId="77777777" w:rsidR="00D31728" w:rsidRPr="005019D9" w:rsidRDefault="00D31728" w:rsidP="00D31728">
      <w:pPr>
        <w:pStyle w:val="NoSpacing"/>
        <w:ind w:left="1080"/>
        <w:rPr>
          <w:rFonts w:ascii="Times New Roman" w:hAnsi="Times New Roman"/>
        </w:rPr>
      </w:pPr>
    </w:p>
    <w:p w14:paraId="3DA79C63" w14:textId="7CF64958" w:rsidR="001E031B" w:rsidRPr="005019D9" w:rsidRDefault="00D31728" w:rsidP="00BE2B0B">
      <w:pPr>
        <w:pStyle w:val="NoSpacing"/>
        <w:numPr>
          <w:ilvl w:val="0"/>
          <w:numId w:val="1"/>
        </w:numPr>
        <w:rPr>
          <w:rFonts w:ascii="Times New Roman" w:hAnsi="Times New Roman"/>
        </w:rPr>
      </w:pPr>
      <w:r w:rsidRPr="005019D9">
        <w:rPr>
          <w:rFonts w:ascii="Times New Roman" w:hAnsi="Times New Roman"/>
        </w:rPr>
        <w:lastRenderedPageBreak/>
        <w:t xml:space="preserve">Staff will pick up the medication at the pharmacy and enter the medication(s) on the </w:t>
      </w:r>
      <w:r w:rsidRPr="005019D9">
        <w:rPr>
          <w:rFonts w:ascii="Times New Roman" w:hAnsi="Times New Roman"/>
          <w:b/>
          <w:i/>
        </w:rPr>
        <w:t>Controlled Substance Drug Record Sheet</w:t>
      </w:r>
      <w:r w:rsidRPr="005019D9">
        <w:rPr>
          <w:rFonts w:ascii="Times New Roman" w:hAnsi="Times New Roman"/>
          <w:b/>
        </w:rPr>
        <w:t xml:space="preserve"> </w:t>
      </w:r>
      <w:r w:rsidRPr="005019D9">
        <w:rPr>
          <w:rFonts w:ascii="Times New Roman" w:hAnsi="Times New Roman"/>
        </w:rPr>
        <w:t xml:space="preserve">documenting the count with 2 signatures. </w:t>
      </w:r>
    </w:p>
    <w:p w14:paraId="17818779" w14:textId="77777777" w:rsidR="001E031B" w:rsidRPr="005019D9" w:rsidRDefault="001E031B" w:rsidP="001E031B">
      <w:pPr>
        <w:pStyle w:val="NoSpacing"/>
        <w:ind w:left="1080"/>
        <w:rPr>
          <w:rFonts w:ascii="Times New Roman" w:hAnsi="Times New Roman"/>
        </w:rPr>
      </w:pPr>
    </w:p>
    <w:p w14:paraId="43A3FD95" w14:textId="2056D149"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Based on the label from the pharmacy the medication(s) will be kept in supply for the recommended dates of use.  Document that date of use span in the DATE OF USE line on the </w:t>
      </w:r>
      <w:r w:rsidRPr="005019D9">
        <w:rPr>
          <w:rFonts w:ascii="Times New Roman" w:hAnsi="Times New Roman"/>
          <w:b/>
          <w:i/>
        </w:rPr>
        <w:t>Controlled Substance Drug Record Sheet</w:t>
      </w:r>
      <w:r w:rsidRPr="005019D9">
        <w:rPr>
          <w:rFonts w:ascii="Times New Roman" w:hAnsi="Times New Roman"/>
        </w:rPr>
        <w:t>.  Contact Nurse to determine date of use date span.</w:t>
      </w:r>
    </w:p>
    <w:p w14:paraId="05441D6A" w14:textId="77777777" w:rsidR="00D31728" w:rsidRPr="005019D9" w:rsidRDefault="00D31728" w:rsidP="00D31728">
      <w:pPr>
        <w:pStyle w:val="NoSpacing"/>
        <w:rPr>
          <w:rFonts w:ascii="Times New Roman" w:hAnsi="Times New Roman"/>
        </w:rPr>
      </w:pPr>
    </w:p>
    <w:p w14:paraId="21292EA5" w14:textId="77777777"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Medication will be kept in a locked box in a locked cabinet.</w:t>
      </w:r>
    </w:p>
    <w:p w14:paraId="43EF4031" w14:textId="77777777" w:rsidR="00D31728" w:rsidRPr="005019D9" w:rsidRDefault="00D31728" w:rsidP="00D31728">
      <w:pPr>
        <w:pStyle w:val="ListParagraph"/>
        <w:rPr>
          <w:sz w:val="22"/>
          <w:szCs w:val="22"/>
        </w:rPr>
      </w:pPr>
    </w:p>
    <w:p w14:paraId="4C7E5FE2" w14:textId="77777777"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Staff will write the Schedule II medication(s) on the MAR medication sheet. Using a count line for the medication(s) and initial as with all other medications.</w:t>
      </w:r>
    </w:p>
    <w:p w14:paraId="273130E7" w14:textId="77777777" w:rsidR="00D31728" w:rsidRPr="005019D9" w:rsidRDefault="00D31728" w:rsidP="00D31728">
      <w:pPr>
        <w:pStyle w:val="DefaultText"/>
        <w:rPr>
          <w:sz w:val="22"/>
          <w:szCs w:val="22"/>
        </w:rPr>
      </w:pPr>
    </w:p>
    <w:p w14:paraId="37D3FE92" w14:textId="01BB53F3" w:rsidR="008D45E8" w:rsidRDefault="000F6E09" w:rsidP="008D45E8">
      <w:pPr>
        <w:pStyle w:val="DefaultText"/>
        <w:numPr>
          <w:ilvl w:val="0"/>
          <w:numId w:val="1"/>
        </w:numPr>
        <w:rPr>
          <w:sz w:val="22"/>
          <w:szCs w:val="22"/>
        </w:rPr>
      </w:pPr>
      <w:r>
        <w:rPr>
          <w:sz w:val="22"/>
          <w:szCs w:val="22"/>
        </w:rPr>
        <w:t>D</w:t>
      </w:r>
      <w:r w:rsidR="00D31728" w:rsidRPr="005019D9">
        <w:rPr>
          <w:sz w:val="22"/>
          <w:szCs w:val="22"/>
        </w:rPr>
        <w:t>CC will be responsible to monitor for the end date of usage and contact the Nurse for disposal.</w:t>
      </w:r>
      <w:r w:rsidR="008D45E8">
        <w:rPr>
          <w:sz w:val="22"/>
          <w:szCs w:val="22"/>
        </w:rPr>
        <w:t xml:space="preserve"> </w:t>
      </w:r>
    </w:p>
    <w:p w14:paraId="5AD9FB1B" w14:textId="77777777" w:rsidR="008D45E8" w:rsidRDefault="008D45E8" w:rsidP="008D45E8">
      <w:pPr>
        <w:pStyle w:val="ListParagraph"/>
        <w:rPr>
          <w:sz w:val="22"/>
          <w:szCs w:val="22"/>
        </w:rPr>
      </w:pPr>
    </w:p>
    <w:p w14:paraId="50E22DDD" w14:textId="27AF97C1" w:rsidR="008D45E8" w:rsidRPr="00D704A1" w:rsidRDefault="00D31728" w:rsidP="008D45E8">
      <w:pPr>
        <w:pStyle w:val="DefaultText"/>
        <w:numPr>
          <w:ilvl w:val="0"/>
          <w:numId w:val="1"/>
        </w:numPr>
        <w:rPr>
          <w:sz w:val="22"/>
          <w:szCs w:val="22"/>
        </w:rPr>
      </w:pPr>
      <w:r w:rsidRPr="00D704A1">
        <w:rPr>
          <w:sz w:val="22"/>
          <w:szCs w:val="22"/>
        </w:rPr>
        <w:t xml:space="preserve">Any Schedule II drugs not used within the date range specified will be disposed of by the </w:t>
      </w:r>
      <w:r w:rsidR="00D704A1" w:rsidRPr="00D704A1">
        <w:rPr>
          <w:sz w:val="22"/>
          <w:szCs w:val="22"/>
        </w:rPr>
        <w:t xml:space="preserve">facility </w:t>
      </w:r>
      <w:r w:rsidRPr="00D704A1">
        <w:rPr>
          <w:sz w:val="22"/>
          <w:szCs w:val="22"/>
        </w:rPr>
        <w:t>Nurse</w:t>
      </w:r>
      <w:r w:rsidR="008D45E8" w:rsidRPr="00D704A1">
        <w:rPr>
          <w:sz w:val="22"/>
          <w:szCs w:val="22"/>
        </w:rPr>
        <w:t xml:space="preserve">. </w:t>
      </w:r>
      <w:r w:rsidR="00D704A1" w:rsidRPr="00D704A1">
        <w:rPr>
          <w:sz w:val="22"/>
          <w:szCs w:val="22"/>
        </w:rPr>
        <w:t xml:space="preserve">The </w:t>
      </w:r>
      <w:r w:rsidR="008D45E8" w:rsidRPr="00D704A1">
        <w:t xml:space="preserve">medication </w:t>
      </w:r>
      <w:r w:rsidR="00D704A1" w:rsidRPr="00D704A1">
        <w:t xml:space="preserve">will be taken </w:t>
      </w:r>
      <w:r w:rsidR="008D45E8" w:rsidRPr="00D704A1">
        <w:t>to Marshall County Sherriff’s Department disposal site in its origina</w:t>
      </w:r>
      <w:r w:rsidR="00D704A1" w:rsidRPr="00D704A1">
        <w:t>l container</w:t>
      </w:r>
      <w:r w:rsidR="008D45E8" w:rsidRPr="00D704A1">
        <w:t>.  A deputy</w:t>
      </w:r>
      <w:r w:rsidR="00DA4454">
        <w:t>/dispatch</w:t>
      </w:r>
      <w:r w:rsidR="008D45E8" w:rsidRPr="00D704A1">
        <w:t xml:space="preserve"> will verify the count being disposed of with a signature</w:t>
      </w:r>
      <w:r w:rsidR="00D704A1" w:rsidRPr="00D704A1">
        <w:t>.</w:t>
      </w:r>
    </w:p>
    <w:p w14:paraId="64ABA901" w14:textId="77777777" w:rsidR="00D31728" w:rsidRPr="005019D9" w:rsidRDefault="00D31728" w:rsidP="00D31728">
      <w:pPr>
        <w:pStyle w:val="Default"/>
        <w:rPr>
          <w:sz w:val="22"/>
          <w:szCs w:val="22"/>
        </w:rPr>
      </w:pPr>
    </w:p>
    <w:p w14:paraId="287F7CA8" w14:textId="4132BEE3"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At the end of each shift 2 Staff will count the medication(s) and sign off on the </w:t>
      </w:r>
      <w:r w:rsidRPr="005019D9">
        <w:rPr>
          <w:rFonts w:ascii="Times New Roman" w:hAnsi="Times New Roman"/>
          <w:b/>
          <w:i/>
        </w:rPr>
        <w:t>Controlled Substance Drug Record Sheet</w:t>
      </w:r>
      <w:r w:rsidRPr="005019D9">
        <w:rPr>
          <w:rFonts w:ascii="Times New Roman" w:hAnsi="Times New Roman"/>
          <w:b/>
        </w:rPr>
        <w:t xml:space="preserve"> </w:t>
      </w:r>
      <w:r w:rsidRPr="005019D9">
        <w:rPr>
          <w:rFonts w:ascii="Times New Roman" w:hAnsi="Times New Roman"/>
        </w:rPr>
        <w:t>documenting the count with 2 signatures comparing against the medication sheet in the MAR.</w:t>
      </w:r>
    </w:p>
    <w:p w14:paraId="3DDE0515" w14:textId="77777777" w:rsidR="00D31728" w:rsidRPr="005019D9" w:rsidRDefault="00D31728" w:rsidP="00D31728">
      <w:pPr>
        <w:pStyle w:val="NoSpacing"/>
        <w:rPr>
          <w:rFonts w:ascii="Times New Roman" w:hAnsi="Times New Roman"/>
        </w:rPr>
      </w:pPr>
    </w:p>
    <w:p w14:paraId="0975DE7C" w14:textId="35032FBB" w:rsidR="00D31728" w:rsidRPr="005019D9" w:rsidRDefault="00D31728" w:rsidP="00D31728">
      <w:pPr>
        <w:pStyle w:val="NoSpacing"/>
        <w:rPr>
          <w:rFonts w:ascii="Times New Roman" w:hAnsi="Times New Roman"/>
          <w:b/>
          <w:sz w:val="24"/>
          <w:szCs w:val="24"/>
        </w:rPr>
      </w:pPr>
      <w:r w:rsidRPr="005019D9">
        <w:rPr>
          <w:rFonts w:ascii="Times New Roman" w:hAnsi="Times New Roman"/>
          <w:b/>
          <w:i/>
          <w:sz w:val="24"/>
          <w:szCs w:val="24"/>
        </w:rPr>
        <w:t>Pain Patche</w:t>
      </w:r>
      <w:r w:rsidR="00CD547E" w:rsidRPr="005019D9">
        <w:rPr>
          <w:rFonts w:ascii="Times New Roman" w:hAnsi="Times New Roman"/>
          <w:b/>
          <w:i/>
          <w:sz w:val="24"/>
          <w:szCs w:val="24"/>
        </w:rPr>
        <w:t>s</w:t>
      </w:r>
      <w:r w:rsidRPr="005019D9">
        <w:rPr>
          <w:rFonts w:ascii="Times New Roman" w:hAnsi="Times New Roman"/>
          <w:b/>
          <w:sz w:val="24"/>
          <w:szCs w:val="24"/>
        </w:rPr>
        <w:t>:</w:t>
      </w:r>
    </w:p>
    <w:p w14:paraId="564ADADF" w14:textId="77777777" w:rsidR="008027C3" w:rsidRPr="005019D9" w:rsidRDefault="008027C3" w:rsidP="00D31728">
      <w:pPr>
        <w:pStyle w:val="NoSpacing"/>
        <w:rPr>
          <w:rFonts w:ascii="Times New Roman" w:hAnsi="Times New Roman"/>
        </w:rPr>
      </w:pPr>
    </w:p>
    <w:p w14:paraId="09E4E516" w14:textId="63A8EDB5"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When a pain patch is prescribed (See alphabetical list of schedule II drugs in </w:t>
      </w:r>
      <w:r w:rsidR="0002029A" w:rsidRPr="005019D9">
        <w:rPr>
          <w:rFonts w:ascii="Times New Roman" w:hAnsi="Times New Roman"/>
        </w:rPr>
        <w:t>back of the MAR</w:t>
      </w:r>
      <w:r w:rsidRPr="005019D9">
        <w:rPr>
          <w:rFonts w:ascii="Times New Roman" w:hAnsi="Times New Roman"/>
        </w:rPr>
        <w:t>).  Patches should be kept in a</w:t>
      </w:r>
      <w:r w:rsidR="00893179" w:rsidRPr="005019D9">
        <w:rPr>
          <w:rFonts w:ascii="Times New Roman" w:hAnsi="Times New Roman"/>
        </w:rPr>
        <w:t>n</w:t>
      </w:r>
      <w:r w:rsidRPr="005019D9">
        <w:rPr>
          <w:rFonts w:ascii="Times New Roman" w:hAnsi="Times New Roman"/>
        </w:rPr>
        <w:t xml:space="preserve"> </w:t>
      </w:r>
      <w:r w:rsidR="00893179" w:rsidRPr="005019D9">
        <w:rPr>
          <w:rFonts w:ascii="Times New Roman" w:hAnsi="Times New Roman"/>
        </w:rPr>
        <w:t xml:space="preserve">individual </w:t>
      </w:r>
      <w:r w:rsidRPr="005019D9">
        <w:rPr>
          <w:rFonts w:ascii="Times New Roman" w:hAnsi="Times New Roman"/>
        </w:rPr>
        <w:t xml:space="preserve">locked cabinet or container with only </w:t>
      </w:r>
      <w:r w:rsidR="000F6E09">
        <w:rPr>
          <w:rFonts w:ascii="Times New Roman" w:hAnsi="Times New Roman"/>
        </w:rPr>
        <w:t>D</w:t>
      </w:r>
      <w:r w:rsidRPr="005019D9">
        <w:rPr>
          <w:rFonts w:ascii="Times New Roman" w:hAnsi="Times New Roman"/>
        </w:rPr>
        <w:t xml:space="preserve">CC and </w:t>
      </w:r>
      <w:r w:rsidR="000F6E09">
        <w:rPr>
          <w:rFonts w:ascii="Times New Roman" w:hAnsi="Times New Roman"/>
        </w:rPr>
        <w:t>DCA</w:t>
      </w:r>
      <w:r w:rsidRPr="005019D9">
        <w:rPr>
          <w:rFonts w:ascii="Times New Roman" w:hAnsi="Times New Roman"/>
        </w:rPr>
        <w:t xml:space="preserve"> having keys. </w:t>
      </w:r>
    </w:p>
    <w:p w14:paraId="2D352CA6" w14:textId="77777777" w:rsidR="00D31728" w:rsidRPr="005019D9" w:rsidRDefault="00D31728" w:rsidP="00D31728">
      <w:pPr>
        <w:pStyle w:val="NoSpacing"/>
        <w:ind w:left="720"/>
        <w:rPr>
          <w:rFonts w:ascii="Times New Roman" w:hAnsi="Times New Roman"/>
        </w:rPr>
      </w:pPr>
    </w:p>
    <w:p w14:paraId="6BFEA3DC" w14:textId="0BA5D664"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Staff will </w:t>
      </w:r>
      <w:r w:rsidR="00893179" w:rsidRPr="005019D9">
        <w:rPr>
          <w:rFonts w:ascii="Times New Roman" w:hAnsi="Times New Roman"/>
        </w:rPr>
        <w:t>document on the</w:t>
      </w:r>
      <w:r w:rsidRPr="005019D9">
        <w:rPr>
          <w:rFonts w:ascii="Times New Roman" w:hAnsi="Times New Roman"/>
        </w:rPr>
        <w:t xml:space="preserve"> </w:t>
      </w:r>
      <w:r w:rsidR="00893179" w:rsidRPr="005019D9">
        <w:rPr>
          <w:rFonts w:ascii="Times New Roman" w:hAnsi="Times New Roman"/>
          <w:b/>
          <w:i/>
        </w:rPr>
        <w:t>Controlled Substance Drug Record Sheet</w:t>
      </w:r>
      <w:r w:rsidR="00893179" w:rsidRPr="005019D9">
        <w:rPr>
          <w:rFonts w:ascii="Times New Roman" w:hAnsi="Times New Roman"/>
        </w:rPr>
        <w:t xml:space="preserve"> the date receive, Rx number, name of the medication and dosage, the number of patches </w:t>
      </w:r>
      <w:r w:rsidR="00F021AD">
        <w:rPr>
          <w:rFonts w:ascii="Times New Roman" w:hAnsi="Times New Roman"/>
        </w:rPr>
        <w:t>received</w:t>
      </w:r>
      <w:r w:rsidR="00893179" w:rsidRPr="005019D9">
        <w:rPr>
          <w:rFonts w:ascii="Times New Roman" w:hAnsi="Times New Roman"/>
        </w:rPr>
        <w:t xml:space="preserve"> and count </w:t>
      </w:r>
      <w:r w:rsidR="0002029A" w:rsidRPr="005019D9">
        <w:rPr>
          <w:rFonts w:ascii="Times New Roman" w:hAnsi="Times New Roman"/>
        </w:rPr>
        <w:t>balance with</w:t>
      </w:r>
      <w:r w:rsidR="00893179" w:rsidRPr="005019D9">
        <w:rPr>
          <w:rFonts w:ascii="Times New Roman" w:hAnsi="Times New Roman"/>
        </w:rPr>
        <w:t xml:space="preserve"> 2 staff signatures to verify the count.  </w:t>
      </w:r>
      <w:r w:rsidR="000F6E09">
        <w:rPr>
          <w:rFonts w:ascii="Times New Roman" w:hAnsi="Times New Roman"/>
        </w:rPr>
        <w:t>D</w:t>
      </w:r>
      <w:r w:rsidR="00893179" w:rsidRPr="005019D9">
        <w:rPr>
          <w:rFonts w:ascii="Times New Roman" w:hAnsi="Times New Roman"/>
        </w:rPr>
        <w:t xml:space="preserve">CC or </w:t>
      </w:r>
      <w:r w:rsidR="000F6E09">
        <w:rPr>
          <w:rFonts w:ascii="Times New Roman" w:hAnsi="Times New Roman"/>
        </w:rPr>
        <w:t>DCA</w:t>
      </w:r>
      <w:r w:rsidR="00893179" w:rsidRPr="005019D9">
        <w:rPr>
          <w:rFonts w:ascii="Times New Roman" w:hAnsi="Times New Roman"/>
        </w:rPr>
        <w:t xml:space="preserve"> will write the </w:t>
      </w:r>
      <w:r w:rsidRPr="005019D9">
        <w:rPr>
          <w:rFonts w:ascii="Times New Roman" w:hAnsi="Times New Roman"/>
        </w:rPr>
        <w:t>Schedule II medication(s) on the MAR medication sheet.</w:t>
      </w:r>
      <w:r w:rsidR="00F021AD">
        <w:rPr>
          <w:rFonts w:ascii="Times New Roman" w:hAnsi="Times New Roman"/>
        </w:rPr>
        <w:t xml:space="preserve"> There will be a count line for the medication below the staff initial line on the MAR as is done with other prescribed medication.</w:t>
      </w:r>
    </w:p>
    <w:p w14:paraId="22E11AAC" w14:textId="77777777" w:rsidR="00D31728" w:rsidRPr="005019D9" w:rsidRDefault="00D31728" w:rsidP="00D31728">
      <w:pPr>
        <w:pStyle w:val="NoSpacing"/>
        <w:rPr>
          <w:rFonts w:ascii="Times New Roman" w:hAnsi="Times New Roman"/>
        </w:rPr>
      </w:pPr>
    </w:p>
    <w:p w14:paraId="2FDF9394" w14:textId="47AD7528" w:rsidR="0002029A" w:rsidRPr="005019D9" w:rsidRDefault="000F6E09" w:rsidP="0002029A">
      <w:pPr>
        <w:pStyle w:val="NoSpacing"/>
        <w:numPr>
          <w:ilvl w:val="0"/>
          <w:numId w:val="1"/>
        </w:numPr>
        <w:rPr>
          <w:rFonts w:ascii="Times New Roman" w:hAnsi="Times New Roman"/>
        </w:rPr>
      </w:pPr>
      <w:r>
        <w:rPr>
          <w:rFonts w:ascii="Times New Roman" w:hAnsi="Times New Roman"/>
        </w:rPr>
        <w:t>D</w:t>
      </w:r>
      <w:r w:rsidR="0002029A" w:rsidRPr="005019D9">
        <w:rPr>
          <w:rFonts w:ascii="Times New Roman" w:hAnsi="Times New Roman"/>
        </w:rPr>
        <w:t xml:space="preserve">CC or </w:t>
      </w:r>
      <w:r>
        <w:rPr>
          <w:rFonts w:ascii="Times New Roman" w:hAnsi="Times New Roman"/>
        </w:rPr>
        <w:t>DCA</w:t>
      </w:r>
      <w:r w:rsidR="0002029A" w:rsidRPr="005019D9">
        <w:rPr>
          <w:rFonts w:ascii="Times New Roman" w:hAnsi="Times New Roman"/>
        </w:rPr>
        <w:t xml:space="preserve"> will place a limited supply of patches at a time into the open supply.  The </w:t>
      </w:r>
      <w:r>
        <w:rPr>
          <w:rFonts w:ascii="Times New Roman" w:hAnsi="Times New Roman"/>
        </w:rPr>
        <w:t>D</w:t>
      </w:r>
      <w:r w:rsidR="0002029A" w:rsidRPr="005019D9">
        <w:rPr>
          <w:rFonts w:ascii="Times New Roman" w:hAnsi="Times New Roman"/>
        </w:rPr>
        <w:t xml:space="preserve">CC or </w:t>
      </w:r>
      <w:r>
        <w:rPr>
          <w:rFonts w:ascii="Times New Roman" w:hAnsi="Times New Roman"/>
        </w:rPr>
        <w:t>DCA</w:t>
      </w:r>
      <w:r w:rsidR="0002029A" w:rsidRPr="005019D9">
        <w:rPr>
          <w:rFonts w:ascii="Times New Roman" w:hAnsi="Times New Roman"/>
        </w:rPr>
        <w:t xml:space="preserve"> will document the date, R</w:t>
      </w:r>
      <w:r w:rsidR="00F021AD">
        <w:rPr>
          <w:rFonts w:ascii="Times New Roman" w:hAnsi="Times New Roman"/>
        </w:rPr>
        <w:t>x</w:t>
      </w:r>
      <w:r w:rsidR="0002029A" w:rsidRPr="005019D9">
        <w:rPr>
          <w:rFonts w:ascii="Times New Roman" w:hAnsi="Times New Roman"/>
        </w:rPr>
        <w:t xml:space="preserve"> number, </w:t>
      </w:r>
      <w:proofErr w:type="gramStart"/>
      <w:r w:rsidR="0002029A" w:rsidRPr="005019D9">
        <w:rPr>
          <w:rFonts w:ascii="Times New Roman" w:hAnsi="Times New Roman"/>
        </w:rPr>
        <w:t>medication</w:t>
      </w:r>
      <w:proofErr w:type="gramEnd"/>
      <w:r w:rsidR="0002029A" w:rsidRPr="005019D9">
        <w:rPr>
          <w:rFonts w:ascii="Times New Roman" w:hAnsi="Times New Roman"/>
        </w:rPr>
        <w:t xml:space="preserve"> and dose, # </w:t>
      </w:r>
      <w:r w:rsidR="00F021AD">
        <w:rPr>
          <w:rFonts w:ascii="Times New Roman" w:hAnsi="Times New Roman"/>
        </w:rPr>
        <w:t>placed in open supply</w:t>
      </w:r>
      <w:r w:rsidR="0002029A" w:rsidRPr="005019D9">
        <w:rPr>
          <w:rFonts w:ascii="Times New Roman" w:hAnsi="Times New Roman"/>
        </w:rPr>
        <w:t xml:space="preserve"> and count balance on the </w:t>
      </w:r>
      <w:r w:rsidR="0002029A" w:rsidRPr="005019D9">
        <w:rPr>
          <w:rFonts w:ascii="Times New Roman" w:hAnsi="Times New Roman"/>
          <w:b/>
          <w:i/>
        </w:rPr>
        <w:t xml:space="preserve">Controlled Substance Drug Record Sheet </w:t>
      </w:r>
      <w:r w:rsidR="0002029A" w:rsidRPr="005019D9">
        <w:rPr>
          <w:rFonts w:ascii="Times New Roman" w:hAnsi="Times New Roman"/>
        </w:rPr>
        <w:t>verified with 2 staff signatures.</w:t>
      </w:r>
      <w:r w:rsidR="0002029A" w:rsidRPr="005019D9">
        <w:rPr>
          <w:rFonts w:ascii="Times New Roman" w:hAnsi="Times New Roman"/>
          <w:b/>
          <w:i/>
        </w:rPr>
        <w:t xml:space="preserve"> </w:t>
      </w:r>
    </w:p>
    <w:p w14:paraId="283C0097" w14:textId="77777777" w:rsidR="00D31728" w:rsidRPr="005019D9" w:rsidRDefault="00D31728" w:rsidP="0002029A"/>
    <w:p w14:paraId="20EF73A7" w14:textId="77777777"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Staff applying the patch will write date and initials on the patch.  </w:t>
      </w:r>
    </w:p>
    <w:p w14:paraId="1D349C7F" w14:textId="77777777" w:rsidR="00D31728" w:rsidRPr="005019D9" w:rsidRDefault="00D31728" w:rsidP="00D31728">
      <w:pPr>
        <w:pStyle w:val="ListParagraph"/>
      </w:pPr>
    </w:p>
    <w:p w14:paraId="06646AEA" w14:textId="0E4E42DA" w:rsidR="00D31728" w:rsidRPr="005019D9" w:rsidRDefault="00D31728" w:rsidP="00D31728">
      <w:pPr>
        <w:pStyle w:val="NoSpacing"/>
        <w:numPr>
          <w:ilvl w:val="0"/>
          <w:numId w:val="1"/>
        </w:numPr>
        <w:rPr>
          <w:rFonts w:ascii="Times New Roman" w:hAnsi="Times New Roman"/>
        </w:rPr>
      </w:pPr>
      <w:r w:rsidRPr="005019D9">
        <w:rPr>
          <w:rFonts w:ascii="Times New Roman" w:hAnsi="Times New Roman"/>
        </w:rPr>
        <w:t xml:space="preserve">Retain box </w:t>
      </w:r>
      <w:r w:rsidR="00F021AD">
        <w:rPr>
          <w:rFonts w:ascii="Times New Roman" w:hAnsi="Times New Roman"/>
        </w:rPr>
        <w:t xml:space="preserve">with Rx # </w:t>
      </w:r>
      <w:r w:rsidRPr="005019D9">
        <w:rPr>
          <w:rFonts w:ascii="Times New Roman" w:hAnsi="Times New Roman"/>
        </w:rPr>
        <w:t>until all patches are used.</w:t>
      </w:r>
      <w:r w:rsidR="00F021AD">
        <w:rPr>
          <w:rFonts w:ascii="Times New Roman" w:hAnsi="Times New Roman"/>
        </w:rPr>
        <w:t xml:space="preserve">  When box is to be disposed of, cross off the Rx number, name of Consumer and medication name with a permanent marker.</w:t>
      </w:r>
    </w:p>
    <w:p w14:paraId="351360CF" w14:textId="77777777" w:rsidR="0002029A" w:rsidRPr="005019D9" w:rsidRDefault="0002029A" w:rsidP="0002029A">
      <w:pPr>
        <w:pStyle w:val="ListParagraph"/>
      </w:pPr>
    </w:p>
    <w:p w14:paraId="35776D83" w14:textId="3195EA3E" w:rsidR="005019D9" w:rsidRPr="00F021AD" w:rsidRDefault="0002029A" w:rsidP="00F021AD">
      <w:pPr>
        <w:pStyle w:val="NoSpacing"/>
        <w:numPr>
          <w:ilvl w:val="0"/>
          <w:numId w:val="1"/>
        </w:numPr>
        <w:rPr>
          <w:rFonts w:ascii="Times New Roman" w:hAnsi="Times New Roman"/>
        </w:rPr>
      </w:pPr>
      <w:r w:rsidRPr="005019D9">
        <w:rPr>
          <w:rFonts w:ascii="Times New Roman" w:hAnsi="Times New Roman"/>
        </w:rPr>
        <w:t xml:space="preserve">When removing the </w:t>
      </w:r>
      <w:r w:rsidR="002C5569" w:rsidRPr="005019D9">
        <w:rPr>
          <w:rFonts w:ascii="Times New Roman" w:hAnsi="Times New Roman"/>
        </w:rPr>
        <w:t>patch,</w:t>
      </w:r>
      <w:r w:rsidRPr="005019D9">
        <w:rPr>
          <w:rFonts w:ascii="Times New Roman" w:hAnsi="Times New Roman"/>
        </w:rPr>
        <w:t xml:space="preserve"> it should be </w:t>
      </w:r>
      <w:r w:rsidR="002C5569" w:rsidRPr="005019D9">
        <w:rPr>
          <w:rFonts w:ascii="Times New Roman" w:hAnsi="Times New Roman"/>
        </w:rPr>
        <w:t>folded</w:t>
      </w:r>
      <w:r w:rsidRPr="005019D9">
        <w:rPr>
          <w:rFonts w:ascii="Times New Roman" w:hAnsi="Times New Roman"/>
        </w:rPr>
        <w:t xml:space="preserve"> with the </w:t>
      </w:r>
      <w:r w:rsidR="002C5569" w:rsidRPr="005019D9">
        <w:rPr>
          <w:rFonts w:ascii="Times New Roman" w:hAnsi="Times New Roman"/>
        </w:rPr>
        <w:t>sticky</w:t>
      </w:r>
      <w:r w:rsidRPr="005019D9">
        <w:rPr>
          <w:rFonts w:ascii="Times New Roman" w:hAnsi="Times New Roman"/>
        </w:rPr>
        <w:t xml:space="preserve"> sides together and </w:t>
      </w:r>
      <w:r w:rsidR="002C5569" w:rsidRPr="005019D9">
        <w:rPr>
          <w:rFonts w:ascii="Times New Roman" w:hAnsi="Times New Roman"/>
        </w:rPr>
        <w:t>wrapped</w:t>
      </w:r>
      <w:r w:rsidRPr="005019D9">
        <w:rPr>
          <w:rFonts w:ascii="Times New Roman" w:hAnsi="Times New Roman"/>
        </w:rPr>
        <w:t xml:space="preserve"> in a pi</w:t>
      </w:r>
      <w:r w:rsidR="002C5569" w:rsidRPr="005019D9">
        <w:rPr>
          <w:rFonts w:ascii="Times New Roman" w:hAnsi="Times New Roman"/>
        </w:rPr>
        <w:t>ece</w:t>
      </w:r>
      <w:r w:rsidRPr="005019D9">
        <w:rPr>
          <w:rFonts w:ascii="Times New Roman" w:hAnsi="Times New Roman"/>
        </w:rPr>
        <w:t xml:space="preserve"> of duct tape and disposed of in a closed bottle.</w:t>
      </w:r>
    </w:p>
    <w:p w14:paraId="3DD1BB04" w14:textId="77777777" w:rsidR="005019D9" w:rsidRPr="005019D9" w:rsidRDefault="005019D9" w:rsidP="002C5569">
      <w:pPr>
        <w:pStyle w:val="ListParagraph"/>
      </w:pPr>
    </w:p>
    <w:p w14:paraId="57B7EE77" w14:textId="77777777" w:rsidR="002C5569" w:rsidRPr="005019D9" w:rsidRDefault="002C5569" w:rsidP="002C5569">
      <w:pPr>
        <w:pStyle w:val="NoSpacing"/>
        <w:rPr>
          <w:rFonts w:ascii="Times New Roman" w:hAnsi="Times New Roman"/>
        </w:rPr>
      </w:pPr>
    </w:p>
    <w:p w14:paraId="41266000" w14:textId="188DF03D" w:rsidR="002C5569" w:rsidRDefault="002C5569" w:rsidP="002C5569">
      <w:pPr>
        <w:pStyle w:val="NoSpacing"/>
      </w:pPr>
    </w:p>
    <w:tbl>
      <w:tblPr>
        <w:tblpPr w:leftFromText="180" w:rightFromText="180" w:vertAnchor="text" w:horzAnchor="margin" w:tblpXSpec="center" w:tblpY="-329"/>
        <w:tblW w:w="10800" w:type="dxa"/>
        <w:tblBorders>
          <w:top w:val="double" w:sz="6" w:space="0" w:color="auto"/>
          <w:left w:val="double" w:sz="6" w:space="0" w:color="auto"/>
          <w:bottom w:val="double" w:sz="6" w:space="0" w:color="auto"/>
          <w:right w:val="double" w:sz="6" w:space="0" w:color="auto"/>
          <w:insideH w:val="single" w:sz="4" w:space="0" w:color="auto"/>
          <w:insideV w:val="double" w:sz="6" w:space="0" w:color="auto"/>
        </w:tblBorders>
        <w:tblLayout w:type="fixed"/>
        <w:tblCellMar>
          <w:left w:w="120" w:type="dxa"/>
          <w:right w:w="120" w:type="dxa"/>
        </w:tblCellMar>
        <w:tblLook w:val="0000" w:firstRow="0" w:lastRow="0" w:firstColumn="0" w:lastColumn="0" w:noHBand="0" w:noVBand="0"/>
      </w:tblPr>
      <w:tblGrid>
        <w:gridCol w:w="10800"/>
      </w:tblGrid>
      <w:tr w:rsidR="00BE2B0B" w14:paraId="26D77F59" w14:textId="77777777" w:rsidTr="00BE2B0B">
        <w:trPr>
          <w:trHeight w:val="399"/>
        </w:trPr>
        <w:tc>
          <w:tcPr>
            <w:tcW w:w="10800" w:type="dxa"/>
            <w:tcBorders>
              <w:top w:val="double" w:sz="6" w:space="0" w:color="auto"/>
              <w:bottom w:val="double" w:sz="6" w:space="0" w:color="auto"/>
            </w:tcBorders>
          </w:tcPr>
          <w:p w14:paraId="66E6299E" w14:textId="77777777" w:rsidR="00BE2B0B" w:rsidRPr="0023660D" w:rsidRDefault="00BE2B0B" w:rsidP="00BE2B0B">
            <w:pPr>
              <w:pStyle w:val="Heading1"/>
              <w:rPr>
                <w:sz w:val="28"/>
                <w:szCs w:val="28"/>
              </w:rPr>
            </w:pPr>
            <w:r>
              <w:rPr>
                <w:sz w:val="28"/>
                <w:szCs w:val="28"/>
              </w:rPr>
              <w:lastRenderedPageBreak/>
              <w:t>Controlled Substance Drug Record Sheet</w:t>
            </w:r>
          </w:p>
        </w:tc>
      </w:tr>
    </w:tbl>
    <w:p w14:paraId="3A9AB297" w14:textId="52E58468" w:rsidR="00D31728" w:rsidRPr="00095920" w:rsidRDefault="00D31728" w:rsidP="002D5CFA">
      <w:pPr>
        <w:pStyle w:val="NoSpacing"/>
      </w:pPr>
    </w:p>
    <w:p w14:paraId="5BC2151C" w14:textId="77777777" w:rsidR="00D31728" w:rsidRPr="00095920" w:rsidRDefault="00D31728" w:rsidP="00D31728">
      <w:pPr>
        <w:pStyle w:val="NoSpacing"/>
        <w:jc w:val="center"/>
        <w:rPr>
          <w:sz w:val="12"/>
          <w:szCs w:val="12"/>
        </w:rPr>
      </w:pPr>
    </w:p>
    <w:p w14:paraId="3FB0AD3C" w14:textId="191FAB04" w:rsidR="00D31728" w:rsidRDefault="00D31728" w:rsidP="00BE2B0B">
      <w:pPr>
        <w:pStyle w:val="NoSpacing"/>
        <w:ind w:left="1440" w:firstLine="720"/>
      </w:pPr>
      <w:r w:rsidRPr="00095920">
        <w:t>Recipient:  _______________________________</w:t>
      </w:r>
      <w:r w:rsidRPr="00095920">
        <w:tab/>
        <w:t>Program Name: ______________________</w:t>
      </w:r>
      <w:r>
        <w:t>_________</w:t>
      </w:r>
    </w:p>
    <w:p w14:paraId="1A0FE820" w14:textId="77777777" w:rsidR="001E031B" w:rsidRDefault="001E031B" w:rsidP="00D31728">
      <w:pPr>
        <w:pStyle w:val="NoSpacing"/>
        <w:jc w:val="center"/>
      </w:pPr>
    </w:p>
    <w:p w14:paraId="77F2BD5F" w14:textId="6EF076F1" w:rsidR="00D31728" w:rsidRDefault="00D31728" w:rsidP="00D31728">
      <w:pPr>
        <w:pStyle w:val="NoSpacing"/>
        <w:jc w:val="center"/>
      </w:pPr>
      <w:r w:rsidRPr="00095920">
        <w:t>Date of Use</w:t>
      </w:r>
      <w:r>
        <w:t>:  ______/</w:t>
      </w:r>
      <w:r w:rsidRPr="00095920">
        <w:t>____</w:t>
      </w:r>
      <w:r>
        <w:t>__/</w:t>
      </w:r>
      <w:r w:rsidRPr="00095920">
        <w:t>______</w:t>
      </w:r>
      <w:r>
        <w:t>to   ______/______/ ______</w:t>
      </w:r>
    </w:p>
    <w:p w14:paraId="3A215015" w14:textId="77777777" w:rsidR="001E031B" w:rsidRDefault="001E031B" w:rsidP="00D31728">
      <w:pPr>
        <w:pStyle w:val="NoSpacing"/>
        <w:jc w:val="center"/>
      </w:pPr>
    </w:p>
    <w:p w14:paraId="6328E544" w14:textId="3C685A68" w:rsidR="00D31728" w:rsidRDefault="00D31728" w:rsidP="00BE2B0B">
      <w:pPr>
        <w:pStyle w:val="NoSpacing"/>
        <w:jc w:val="center"/>
      </w:pPr>
      <w:r>
        <w:t>Nurse Instruction:  __________________________________________________________________________</w:t>
      </w:r>
    </w:p>
    <w:p w14:paraId="0A611C14" w14:textId="4A7EEC01" w:rsidR="00BE2B0B" w:rsidRDefault="00BE2B0B" w:rsidP="00BE2B0B">
      <w:pPr>
        <w:pStyle w:val="NoSpacing"/>
        <w:jc w:val="center"/>
      </w:pPr>
    </w:p>
    <w:tbl>
      <w:tblPr>
        <w:tblStyle w:val="TableGrid"/>
        <w:tblW w:w="14840" w:type="dxa"/>
        <w:tblLayout w:type="fixed"/>
        <w:tblLook w:val="04A0" w:firstRow="1" w:lastRow="0" w:firstColumn="1" w:lastColumn="0" w:noHBand="0" w:noVBand="1"/>
      </w:tblPr>
      <w:tblGrid>
        <w:gridCol w:w="874"/>
        <w:gridCol w:w="1915"/>
        <w:gridCol w:w="2642"/>
        <w:gridCol w:w="1134"/>
        <w:gridCol w:w="1080"/>
        <w:gridCol w:w="990"/>
        <w:gridCol w:w="957"/>
        <w:gridCol w:w="2553"/>
        <w:gridCol w:w="2695"/>
      </w:tblGrid>
      <w:tr w:rsidR="00D41432" w14:paraId="016C756D" w14:textId="77777777" w:rsidTr="00204075">
        <w:tc>
          <w:tcPr>
            <w:tcW w:w="874" w:type="dxa"/>
            <w:shd w:val="clear" w:color="auto" w:fill="D9D9D9" w:themeFill="background1" w:themeFillShade="D9"/>
          </w:tcPr>
          <w:p w14:paraId="0212C640" w14:textId="77777777" w:rsidR="00D41432" w:rsidRDefault="00D41432" w:rsidP="00781885">
            <w:pPr>
              <w:pStyle w:val="NoSpacing"/>
              <w:jc w:val="center"/>
            </w:pPr>
          </w:p>
          <w:p w14:paraId="7D5C43A8" w14:textId="72B76E63" w:rsidR="00D41432" w:rsidRDefault="00D41432" w:rsidP="00781885">
            <w:pPr>
              <w:pStyle w:val="NoSpacing"/>
              <w:jc w:val="center"/>
            </w:pPr>
            <w:r>
              <w:t>DATE</w:t>
            </w:r>
          </w:p>
        </w:tc>
        <w:tc>
          <w:tcPr>
            <w:tcW w:w="1915" w:type="dxa"/>
            <w:shd w:val="clear" w:color="auto" w:fill="D9D9D9" w:themeFill="background1" w:themeFillShade="D9"/>
          </w:tcPr>
          <w:p w14:paraId="7AACEC46" w14:textId="77777777" w:rsidR="00D41432" w:rsidRDefault="00D41432" w:rsidP="00781885">
            <w:pPr>
              <w:pStyle w:val="NoSpacing"/>
              <w:jc w:val="center"/>
            </w:pPr>
          </w:p>
          <w:p w14:paraId="503744F0" w14:textId="254C4983" w:rsidR="00D41432" w:rsidRDefault="00D41432" w:rsidP="00781885">
            <w:pPr>
              <w:pStyle w:val="NoSpacing"/>
              <w:jc w:val="center"/>
            </w:pPr>
            <w:r>
              <w:t>Rx #</w:t>
            </w:r>
          </w:p>
          <w:p w14:paraId="579C85CE" w14:textId="214431CD" w:rsidR="00D41432" w:rsidRDefault="00D41432" w:rsidP="00781885">
            <w:pPr>
              <w:pStyle w:val="NoSpacing"/>
              <w:jc w:val="center"/>
            </w:pPr>
          </w:p>
        </w:tc>
        <w:tc>
          <w:tcPr>
            <w:tcW w:w="2642" w:type="dxa"/>
            <w:shd w:val="clear" w:color="auto" w:fill="D9D9D9" w:themeFill="background1" w:themeFillShade="D9"/>
          </w:tcPr>
          <w:p w14:paraId="0E551FF3" w14:textId="77777777" w:rsidR="00D41432" w:rsidRDefault="00D41432" w:rsidP="00781885">
            <w:pPr>
              <w:pStyle w:val="NoSpacing"/>
              <w:jc w:val="center"/>
            </w:pPr>
          </w:p>
          <w:p w14:paraId="2AC620C1" w14:textId="6CEE558E" w:rsidR="00D41432" w:rsidRDefault="00D41432" w:rsidP="00781885">
            <w:pPr>
              <w:pStyle w:val="NoSpacing"/>
              <w:jc w:val="center"/>
            </w:pPr>
            <w:r>
              <w:t>Medication and dose</w:t>
            </w:r>
          </w:p>
        </w:tc>
        <w:tc>
          <w:tcPr>
            <w:tcW w:w="1134" w:type="dxa"/>
            <w:shd w:val="clear" w:color="auto" w:fill="D9D9D9" w:themeFill="background1" w:themeFillShade="D9"/>
          </w:tcPr>
          <w:p w14:paraId="516829DF" w14:textId="0FB700B1" w:rsidR="00D41432" w:rsidRDefault="00D41432" w:rsidP="00781885">
            <w:pPr>
              <w:pStyle w:val="NoSpacing"/>
              <w:jc w:val="center"/>
            </w:pPr>
            <w:r>
              <w:t>Initial # received</w:t>
            </w:r>
          </w:p>
        </w:tc>
        <w:tc>
          <w:tcPr>
            <w:tcW w:w="1080" w:type="dxa"/>
            <w:shd w:val="clear" w:color="auto" w:fill="D9D9D9" w:themeFill="background1" w:themeFillShade="D9"/>
          </w:tcPr>
          <w:p w14:paraId="0DE35BB1" w14:textId="1E056E60" w:rsidR="00D41432" w:rsidRDefault="00D41432" w:rsidP="00781885">
            <w:pPr>
              <w:pStyle w:val="NoSpacing"/>
              <w:jc w:val="center"/>
            </w:pPr>
            <w:r>
              <w:t># to open supply</w:t>
            </w:r>
          </w:p>
        </w:tc>
        <w:tc>
          <w:tcPr>
            <w:tcW w:w="990" w:type="dxa"/>
            <w:shd w:val="clear" w:color="auto" w:fill="D9D9D9" w:themeFill="background1" w:themeFillShade="D9"/>
          </w:tcPr>
          <w:p w14:paraId="66414507" w14:textId="233C6941" w:rsidR="00D41432" w:rsidRDefault="00D41432" w:rsidP="00781885">
            <w:pPr>
              <w:pStyle w:val="NoSpacing"/>
              <w:jc w:val="center"/>
            </w:pPr>
            <w:r>
              <w:t>Count Balance</w:t>
            </w:r>
          </w:p>
        </w:tc>
        <w:tc>
          <w:tcPr>
            <w:tcW w:w="957" w:type="dxa"/>
            <w:shd w:val="clear" w:color="auto" w:fill="D9D9D9" w:themeFill="background1" w:themeFillShade="D9"/>
          </w:tcPr>
          <w:p w14:paraId="6501685E" w14:textId="42FD7935" w:rsidR="00D41432" w:rsidRDefault="00204075" w:rsidP="00781885">
            <w:pPr>
              <w:pStyle w:val="NoSpacing"/>
              <w:jc w:val="center"/>
            </w:pPr>
            <w:r>
              <w:t># Locked up</w:t>
            </w:r>
          </w:p>
        </w:tc>
        <w:tc>
          <w:tcPr>
            <w:tcW w:w="2553" w:type="dxa"/>
            <w:shd w:val="clear" w:color="auto" w:fill="D9D9D9" w:themeFill="background1" w:themeFillShade="D9"/>
          </w:tcPr>
          <w:p w14:paraId="7FA96A29" w14:textId="4D7A399F" w:rsidR="00D41432" w:rsidRDefault="00D41432" w:rsidP="00781885">
            <w:pPr>
              <w:pStyle w:val="NoSpacing"/>
              <w:jc w:val="center"/>
            </w:pPr>
          </w:p>
          <w:p w14:paraId="7102126E" w14:textId="23794DC6" w:rsidR="00D41432" w:rsidRDefault="00D41432" w:rsidP="00781885">
            <w:pPr>
              <w:pStyle w:val="NoSpacing"/>
              <w:jc w:val="center"/>
            </w:pPr>
            <w:r>
              <w:t>Staff 1 Signature</w:t>
            </w:r>
          </w:p>
        </w:tc>
        <w:tc>
          <w:tcPr>
            <w:tcW w:w="2695" w:type="dxa"/>
            <w:shd w:val="clear" w:color="auto" w:fill="D9D9D9" w:themeFill="background1" w:themeFillShade="D9"/>
          </w:tcPr>
          <w:p w14:paraId="2CD7C6B2" w14:textId="77777777" w:rsidR="00D41432" w:rsidRDefault="00D41432" w:rsidP="00781885">
            <w:pPr>
              <w:pStyle w:val="NoSpacing"/>
              <w:jc w:val="center"/>
            </w:pPr>
          </w:p>
          <w:p w14:paraId="7789ED95" w14:textId="215AA0CE" w:rsidR="00D41432" w:rsidRDefault="00D41432" w:rsidP="00781885">
            <w:pPr>
              <w:pStyle w:val="NoSpacing"/>
              <w:jc w:val="center"/>
            </w:pPr>
            <w:r>
              <w:t>Staff 2 Signature</w:t>
            </w:r>
          </w:p>
        </w:tc>
      </w:tr>
      <w:tr w:rsidR="00D41432" w14:paraId="30624F03" w14:textId="77777777" w:rsidTr="00204075">
        <w:tc>
          <w:tcPr>
            <w:tcW w:w="874" w:type="dxa"/>
          </w:tcPr>
          <w:p w14:paraId="0543ABF5" w14:textId="77777777" w:rsidR="00D41432" w:rsidRDefault="00D41432" w:rsidP="00BE2B0B">
            <w:pPr>
              <w:pStyle w:val="NoSpacing"/>
              <w:jc w:val="center"/>
            </w:pPr>
          </w:p>
          <w:p w14:paraId="02CB6F0A" w14:textId="60ADC3F6" w:rsidR="00D41432" w:rsidRDefault="00D41432" w:rsidP="00BE2B0B">
            <w:pPr>
              <w:pStyle w:val="NoSpacing"/>
              <w:jc w:val="center"/>
            </w:pPr>
          </w:p>
        </w:tc>
        <w:tc>
          <w:tcPr>
            <w:tcW w:w="1915" w:type="dxa"/>
          </w:tcPr>
          <w:p w14:paraId="516F7A58" w14:textId="77777777" w:rsidR="00D41432" w:rsidRDefault="00D41432" w:rsidP="00BE2B0B">
            <w:pPr>
              <w:pStyle w:val="NoSpacing"/>
              <w:jc w:val="center"/>
            </w:pPr>
          </w:p>
        </w:tc>
        <w:tc>
          <w:tcPr>
            <w:tcW w:w="2642" w:type="dxa"/>
          </w:tcPr>
          <w:p w14:paraId="3CB56627" w14:textId="77777777" w:rsidR="00D41432" w:rsidRDefault="00D41432" w:rsidP="00BE2B0B">
            <w:pPr>
              <w:pStyle w:val="NoSpacing"/>
              <w:jc w:val="center"/>
            </w:pPr>
          </w:p>
        </w:tc>
        <w:tc>
          <w:tcPr>
            <w:tcW w:w="1134" w:type="dxa"/>
          </w:tcPr>
          <w:p w14:paraId="4329AA76" w14:textId="77777777" w:rsidR="00D41432" w:rsidRDefault="00D41432" w:rsidP="00BE2B0B">
            <w:pPr>
              <w:pStyle w:val="NoSpacing"/>
              <w:jc w:val="center"/>
            </w:pPr>
          </w:p>
        </w:tc>
        <w:tc>
          <w:tcPr>
            <w:tcW w:w="1080" w:type="dxa"/>
          </w:tcPr>
          <w:p w14:paraId="161CAB08" w14:textId="241B376A" w:rsidR="00D41432" w:rsidRDefault="00D41432" w:rsidP="00BE2B0B">
            <w:pPr>
              <w:pStyle w:val="NoSpacing"/>
              <w:jc w:val="center"/>
            </w:pPr>
          </w:p>
        </w:tc>
        <w:tc>
          <w:tcPr>
            <w:tcW w:w="990" w:type="dxa"/>
          </w:tcPr>
          <w:p w14:paraId="64DA029C" w14:textId="77777777" w:rsidR="00D41432" w:rsidRDefault="00D41432" w:rsidP="00BE2B0B">
            <w:pPr>
              <w:pStyle w:val="NoSpacing"/>
              <w:jc w:val="center"/>
            </w:pPr>
          </w:p>
        </w:tc>
        <w:tc>
          <w:tcPr>
            <w:tcW w:w="957" w:type="dxa"/>
          </w:tcPr>
          <w:p w14:paraId="67CA835E" w14:textId="77777777" w:rsidR="00D41432" w:rsidRDefault="00D41432" w:rsidP="00BE2B0B">
            <w:pPr>
              <w:pStyle w:val="NoSpacing"/>
              <w:jc w:val="center"/>
            </w:pPr>
          </w:p>
        </w:tc>
        <w:tc>
          <w:tcPr>
            <w:tcW w:w="2553" w:type="dxa"/>
          </w:tcPr>
          <w:p w14:paraId="1AA2F710" w14:textId="020DD5AA" w:rsidR="00D41432" w:rsidRDefault="00D41432" w:rsidP="00BE2B0B">
            <w:pPr>
              <w:pStyle w:val="NoSpacing"/>
              <w:jc w:val="center"/>
            </w:pPr>
          </w:p>
        </w:tc>
        <w:tc>
          <w:tcPr>
            <w:tcW w:w="2695" w:type="dxa"/>
          </w:tcPr>
          <w:p w14:paraId="78ECD2DD" w14:textId="77777777" w:rsidR="00D41432" w:rsidRDefault="00D41432" w:rsidP="00BE2B0B">
            <w:pPr>
              <w:pStyle w:val="NoSpacing"/>
              <w:jc w:val="center"/>
            </w:pPr>
          </w:p>
        </w:tc>
      </w:tr>
      <w:tr w:rsidR="00D41432" w14:paraId="2BDC8AFC" w14:textId="77777777" w:rsidTr="00204075">
        <w:tc>
          <w:tcPr>
            <w:tcW w:w="874" w:type="dxa"/>
          </w:tcPr>
          <w:p w14:paraId="7D998C14" w14:textId="77777777" w:rsidR="00D41432" w:rsidRDefault="00D41432" w:rsidP="00BE2B0B">
            <w:pPr>
              <w:pStyle w:val="NoSpacing"/>
              <w:jc w:val="center"/>
            </w:pPr>
          </w:p>
          <w:p w14:paraId="6DD40B88" w14:textId="10288596" w:rsidR="00D41432" w:rsidRDefault="00D41432" w:rsidP="00BE2B0B">
            <w:pPr>
              <w:pStyle w:val="NoSpacing"/>
              <w:jc w:val="center"/>
            </w:pPr>
          </w:p>
        </w:tc>
        <w:tc>
          <w:tcPr>
            <w:tcW w:w="1915" w:type="dxa"/>
          </w:tcPr>
          <w:p w14:paraId="7ACB4C73" w14:textId="77777777" w:rsidR="00D41432" w:rsidRDefault="00D41432" w:rsidP="00BE2B0B">
            <w:pPr>
              <w:pStyle w:val="NoSpacing"/>
              <w:jc w:val="center"/>
            </w:pPr>
          </w:p>
        </w:tc>
        <w:tc>
          <w:tcPr>
            <w:tcW w:w="2642" w:type="dxa"/>
          </w:tcPr>
          <w:p w14:paraId="6440D548" w14:textId="77777777" w:rsidR="00D41432" w:rsidRDefault="00D41432" w:rsidP="00BE2B0B">
            <w:pPr>
              <w:pStyle w:val="NoSpacing"/>
              <w:jc w:val="center"/>
            </w:pPr>
          </w:p>
        </w:tc>
        <w:tc>
          <w:tcPr>
            <w:tcW w:w="1134" w:type="dxa"/>
          </w:tcPr>
          <w:p w14:paraId="4F0A118F" w14:textId="77777777" w:rsidR="00D41432" w:rsidRDefault="00D41432" w:rsidP="00BE2B0B">
            <w:pPr>
              <w:pStyle w:val="NoSpacing"/>
              <w:jc w:val="center"/>
            </w:pPr>
          </w:p>
        </w:tc>
        <w:tc>
          <w:tcPr>
            <w:tcW w:w="1080" w:type="dxa"/>
          </w:tcPr>
          <w:p w14:paraId="26430E97" w14:textId="307D3940" w:rsidR="00D41432" w:rsidRDefault="00D41432" w:rsidP="00BE2B0B">
            <w:pPr>
              <w:pStyle w:val="NoSpacing"/>
              <w:jc w:val="center"/>
            </w:pPr>
          </w:p>
        </w:tc>
        <w:tc>
          <w:tcPr>
            <w:tcW w:w="990" w:type="dxa"/>
          </w:tcPr>
          <w:p w14:paraId="75936BC0" w14:textId="77777777" w:rsidR="00D41432" w:rsidRDefault="00D41432" w:rsidP="00BE2B0B">
            <w:pPr>
              <w:pStyle w:val="NoSpacing"/>
              <w:jc w:val="center"/>
            </w:pPr>
          </w:p>
        </w:tc>
        <w:tc>
          <w:tcPr>
            <w:tcW w:w="957" w:type="dxa"/>
          </w:tcPr>
          <w:p w14:paraId="33C2A2D7" w14:textId="77777777" w:rsidR="00D41432" w:rsidRDefault="00D41432" w:rsidP="00BE2B0B">
            <w:pPr>
              <w:pStyle w:val="NoSpacing"/>
              <w:jc w:val="center"/>
            </w:pPr>
          </w:p>
        </w:tc>
        <w:tc>
          <w:tcPr>
            <w:tcW w:w="2553" w:type="dxa"/>
          </w:tcPr>
          <w:p w14:paraId="3399AE18" w14:textId="5F1E9839" w:rsidR="00D41432" w:rsidRDefault="00D41432" w:rsidP="00BE2B0B">
            <w:pPr>
              <w:pStyle w:val="NoSpacing"/>
              <w:jc w:val="center"/>
            </w:pPr>
          </w:p>
        </w:tc>
        <w:tc>
          <w:tcPr>
            <w:tcW w:w="2695" w:type="dxa"/>
          </w:tcPr>
          <w:p w14:paraId="29B8A69C" w14:textId="77777777" w:rsidR="00D41432" w:rsidRDefault="00D41432" w:rsidP="00BE2B0B">
            <w:pPr>
              <w:pStyle w:val="NoSpacing"/>
              <w:jc w:val="center"/>
            </w:pPr>
          </w:p>
        </w:tc>
      </w:tr>
      <w:tr w:rsidR="00D41432" w14:paraId="0D7E897B" w14:textId="77777777" w:rsidTr="00204075">
        <w:tc>
          <w:tcPr>
            <w:tcW w:w="874" w:type="dxa"/>
          </w:tcPr>
          <w:p w14:paraId="3B40B889" w14:textId="77777777" w:rsidR="00D41432" w:rsidRDefault="00D41432" w:rsidP="00BE2B0B">
            <w:pPr>
              <w:pStyle w:val="NoSpacing"/>
              <w:jc w:val="center"/>
            </w:pPr>
          </w:p>
          <w:p w14:paraId="0AEEED3D" w14:textId="069FCB23" w:rsidR="00D41432" w:rsidRDefault="00D41432" w:rsidP="00BE2B0B">
            <w:pPr>
              <w:pStyle w:val="NoSpacing"/>
              <w:jc w:val="center"/>
            </w:pPr>
          </w:p>
        </w:tc>
        <w:tc>
          <w:tcPr>
            <w:tcW w:w="1915" w:type="dxa"/>
          </w:tcPr>
          <w:p w14:paraId="0B100339" w14:textId="77777777" w:rsidR="00D41432" w:rsidRDefault="00D41432" w:rsidP="00BE2B0B">
            <w:pPr>
              <w:pStyle w:val="NoSpacing"/>
              <w:jc w:val="center"/>
            </w:pPr>
          </w:p>
        </w:tc>
        <w:tc>
          <w:tcPr>
            <w:tcW w:w="2642" w:type="dxa"/>
          </w:tcPr>
          <w:p w14:paraId="00584ED1" w14:textId="77777777" w:rsidR="00D41432" w:rsidRDefault="00D41432" w:rsidP="00BE2B0B">
            <w:pPr>
              <w:pStyle w:val="NoSpacing"/>
              <w:jc w:val="center"/>
            </w:pPr>
          </w:p>
        </w:tc>
        <w:tc>
          <w:tcPr>
            <w:tcW w:w="1134" w:type="dxa"/>
          </w:tcPr>
          <w:p w14:paraId="39B719E4" w14:textId="77777777" w:rsidR="00D41432" w:rsidRDefault="00D41432" w:rsidP="00BE2B0B">
            <w:pPr>
              <w:pStyle w:val="NoSpacing"/>
              <w:jc w:val="center"/>
            </w:pPr>
          </w:p>
        </w:tc>
        <w:tc>
          <w:tcPr>
            <w:tcW w:w="1080" w:type="dxa"/>
          </w:tcPr>
          <w:p w14:paraId="56D468BD" w14:textId="50507576" w:rsidR="00D41432" w:rsidRDefault="00D41432" w:rsidP="00BE2B0B">
            <w:pPr>
              <w:pStyle w:val="NoSpacing"/>
              <w:jc w:val="center"/>
            </w:pPr>
          </w:p>
        </w:tc>
        <w:tc>
          <w:tcPr>
            <w:tcW w:w="990" w:type="dxa"/>
          </w:tcPr>
          <w:p w14:paraId="2DC2F913" w14:textId="77777777" w:rsidR="00D41432" w:rsidRDefault="00D41432" w:rsidP="00BE2B0B">
            <w:pPr>
              <w:pStyle w:val="NoSpacing"/>
              <w:jc w:val="center"/>
            </w:pPr>
          </w:p>
        </w:tc>
        <w:tc>
          <w:tcPr>
            <w:tcW w:w="957" w:type="dxa"/>
          </w:tcPr>
          <w:p w14:paraId="5EC3919C" w14:textId="77777777" w:rsidR="00D41432" w:rsidRDefault="00D41432" w:rsidP="00BE2B0B">
            <w:pPr>
              <w:pStyle w:val="NoSpacing"/>
              <w:jc w:val="center"/>
            </w:pPr>
          </w:p>
        </w:tc>
        <w:tc>
          <w:tcPr>
            <w:tcW w:w="2553" w:type="dxa"/>
          </w:tcPr>
          <w:p w14:paraId="2BDA0AAC" w14:textId="4CEDEDAB" w:rsidR="00D41432" w:rsidRDefault="00D41432" w:rsidP="00BE2B0B">
            <w:pPr>
              <w:pStyle w:val="NoSpacing"/>
              <w:jc w:val="center"/>
            </w:pPr>
          </w:p>
        </w:tc>
        <w:tc>
          <w:tcPr>
            <w:tcW w:w="2695" w:type="dxa"/>
          </w:tcPr>
          <w:p w14:paraId="66D827DF" w14:textId="77777777" w:rsidR="00D41432" w:rsidRDefault="00D41432" w:rsidP="00BE2B0B">
            <w:pPr>
              <w:pStyle w:val="NoSpacing"/>
              <w:jc w:val="center"/>
            </w:pPr>
          </w:p>
        </w:tc>
      </w:tr>
      <w:tr w:rsidR="00D41432" w14:paraId="1322CAAB" w14:textId="77777777" w:rsidTr="00204075">
        <w:tc>
          <w:tcPr>
            <w:tcW w:w="874" w:type="dxa"/>
          </w:tcPr>
          <w:p w14:paraId="7DF462A1" w14:textId="77777777" w:rsidR="00D41432" w:rsidRDefault="00D41432" w:rsidP="00BE2B0B">
            <w:pPr>
              <w:pStyle w:val="NoSpacing"/>
              <w:jc w:val="center"/>
            </w:pPr>
          </w:p>
          <w:p w14:paraId="17407C17" w14:textId="3CF429CD" w:rsidR="00D41432" w:rsidRDefault="00D41432" w:rsidP="00BE2B0B">
            <w:pPr>
              <w:pStyle w:val="NoSpacing"/>
              <w:jc w:val="center"/>
            </w:pPr>
          </w:p>
        </w:tc>
        <w:tc>
          <w:tcPr>
            <w:tcW w:w="1915" w:type="dxa"/>
          </w:tcPr>
          <w:p w14:paraId="1FE53BCD" w14:textId="77777777" w:rsidR="00D41432" w:rsidRDefault="00D41432" w:rsidP="00BE2B0B">
            <w:pPr>
              <w:pStyle w:val="NoSpacing"/>
              <w:jc w:val="center"/>
            </w:pPr>
          </w:p>
        </w:tc>
        <w:tc>
          <w:tcPr>
            <w:tcW w:w="2642" w:type="dxa"/>
          </w:tcPr>
          <w:p w14:paraId="3833D8DA" w14:textId="77777777" w:rsidR="00D41432" w:rsidRDefault="00D41432" w:rsidP="00BE2B0B">
            <w:pPr>
              <w:pStyle w:val="NoSpacing"/>
              <w:jc w:val="center"/>
            </w:pPr>
          </w:p>
        </w:tc>
        <w:tc>
          <w:tcPr>
            <w:tcW w:w="1134" w:type="dxa"/>
          </w:tcPr>
          <w:p w14:paraId="1B2A255F" w14:textId="77777777" w:rsidR="00D41432" w:rsidRDefault="00D41432" w:rsidP="00BE2B0B">
            <w:pPr>
              <w:pStyle w:val="NoSpacing"/>
              <w:jc w:val="center"/>
            </w:pPr>
          </w:p>
        </w:tc>
        <w:tc>
          <w:tcPr>
            <w:tcW w:w="1080" w:type="dxa"/>
          </w:tcPr>
          <w:p w14:paraId="3812F192" w14:textId="40691A7E" w:rsidR="00D41432" w:rsidRDefault="00D41432" w:rsidP="00BE2B0B">
            <w:pPr>
              <w:pStyle w:val="NoSpacing"/>
              <w:jc w:val="center"/>
            </w:pPr>
          </w:p>
        </w:tc>
        <w:tc>
          <w:tcPr>
            <w:tcW w:w="990" w:type="dxa"/>
          </w:tcPr>
          <w:p w14:paraId="49CA47BA" w14:textId="77777777" w:rsidR="00D41432" w:rsidRDefault="00D41432" w:rsidP="00BE2B0B">
            <w:pPr>
              <w:pStyle w:val="NoSpacing"/>
              <w:jc w:val="center"/>
            </w:pPr>
          </w:p>
        </w:tc>
        <w:tc>
          <w:tcPr>
            <w:tcW w:w="957" w:type="dxa"/>
          </w:tcPr>
          <w:p w14:paraId="53791BFD" w14:textId="77777777" w:rsidR="00D41432" w:rsidRDefault="00D41432" w:rsidP="00BE2B0B">
            <w:pPr>
              <w:pStyle w:val="NoSpacing"/>
              <w:jc w:val="center"/>
            </w:pPr>
          </w:p>
        </w:tc>
        <w:tc>
          <w:tcPr>
            <w:tcW w:w="2553" w:type="dxa"/>
          </w:tcPr>
          <w:p w14:paraId="702E94AB" w14:textId="0FB5FB5F" w:rsidR="00D41432" w:rsidRDefault="00D41432" w:rsidP="00BE2B0B">
            <w:pPr>
              <w:pStyle w:val="NoSpacing"/>
              <w:jc w:val="center"/>
            </w:pPr>
          </w:p>
        </w:tc>
        <w:tc>
          <w:tcPr>
            <w:tcW w:w="2695" w:type="dxa"/>
          </w:tcPr>
          <w:p w14:paraId="460A45C1" w14:textId="77777777" w:rsidR="00D41432" w:rsidRDefault="00D41432" w:rsidP="00BE2B0B">
            <w:pPr>
              <w:pStyle w:val="NoSpacing"/>
              <w:jc w:val="center"/>
            </w:pPr>
          </w:p>
        </w:tc>
      </w:tr>
      <w:tr w:rsidR="00D41432" w14:paraId="01A11B45" w14:textId="77777777" w:rsidTr="00204075">
        <w:tc>
          <w:tcPr>
            <w:tcW w:w="874" w:type="dxa"/>
          </w:tcPr>
          <w:p w14:paraId="67A22103" w14:textId="77777777" w:rsidR="00D41432" w:rsidRDefault="00D41432" w:rsidP="00BE2B0B">
            <w:pPr>
              <w:pStyle w:val="NoSpacing"/>
              <w:jc w:val="center"/>
            </w:pPr>
          </w:p>
          <w:p w14:paraId="10C798F2" w14:textId="2378AD6E" w:rsidR="00D41432" w:rsidRDefault="00D41432" w:rsidP="00BE2B0B">
            <w:pPr>
              <w:pStyle w:val="NoSpacing"/>
              <w:jc w:val="center"/>
            </w:pPr>
          </w:p>
        </w:tc>
        <w:tc>
          <w:tcPr>
            <w:tcW w:w="1915" w:type="dxa"/>
          </w:tcPr>
          <w:p w14:paraId="544328B8" w14:textId="77777777" w:rsidR="00D41432" w:rsidRDefault="00D41432" w:rsidP="00BE2B0B">
            <w:pPr>
              <w:pStyle w:val="NoSpacing"/>
              <w:jc w:val="center"/>
            </w:pPr>
          </w:p>
        </w:tc>
        <w:tc>
          <w:tcPr>
            <w:tcW w:w="2642" w:type="dxa"/>
          </w:tcPr>
          <w:p w14:paraId="2F7E0C83" w14:textId="77777777" w:rsidR="00D41432" w:rsidRDefault="00D41432" w:rsidP="00BE2B0B">
            <w:pPr>
              <w:pStyle w:val="NoSpacing"/>
              <w:jc w:val="center"/>
            </w:pPr>
          </w:p>
        </w:tc>
        <w:tc>
          <w:tcPr>
            <w:tcW w:w="1134" w:type="dxa"/>
          </w:tcPr>
          <w:p w14:paraId="0480C62D" w14:textId="77777777" w:rsidR="00D41432" w:rsidRDefault="00D41432" w:rsidP="00BE2B0B">
            <w:pPr>
              <w:pStyle w:val="NoSpacing"/>
              <w:jc w:val="center"/>
            </w:pPr>
          </w:p>
        </w:tc>
        <w:tc>
          <w:tcPr>
            <w:tcW w:w="1080" w:type="dxa"/>
          </w:tcPr>
          <w:p w14:paraId="11B2C620" w14:textId="3AE87FEF" w:rsidR="00D41432" w:rsidRDefault="00D41432" w:rsidP="00BE2B0B">
            <w:pPr>
              <w:pStyle w:val="NoSpacing"/>
              <w:jc w:val="center"/>
            </w:pPr>
          </w:p>
        </w:tc>
        <w:tc>
          <w:tcPr>
            <w:tcW w:w="990" w:type="dxa"/>
          </w:tcPr>
          <w:p w14:paraId="12676683" w14:textId="77777777" w:rsidR="00D41432" w:rsidRDefault="00D41432" w:rsidP="00BE2B0B">
            <w:pPr>
              <w:pStyle w:val="NoSpacing"/>
              <w:jc w:val="center"/>
            </w:pPr>
          </w:p>
        </w:tc>
        <w:tc>
          <w:tcPr>
            <w:tcW w:w="957" w:type="dxa"/>
          </w:tcPr>
          <w:p w14:paraId="20911EE5" w14:textId="77777777" w:rsidR="00D41432" w:rsidRDefault="00D41432" w:rsidP="00BE2B0B">
            <w:pPr>
              <w:pStyle w:val="NoSpacing"/>
              <w:jc w:val="center"/>
            </w:pPr>
          </w:p>
        </w:tc>
        <w:tc>
          <w:tcPr>
            <w:tcW w:w="2553" w:type="dxa"/>
          </w:tcPr>
          <w:p w14:paraId="23D45B80" w14:textId="6833A6C1" w:rsidR="00D41432" w:rsidRDefault="00D41432" w:rsidP="00BE2B0B">
            <w:pPr>
              <w:pStyle w:val="NoSpacing"/>
              <w:jc w:val="center"/>
            </w:pPr>
          </w:p>
        </w:tc>
        <w:tc>
          <w:tcPr>
            <w:tcW w:w="2695" w:type="dxa"/>
          </w:tcPr>
          <w:p w14:paraId="24C701E9" w14:textId="77777777" w:rsidR="00D41432" w:rsidRDefault="00D41432" w:rsidP="00BE2B0B">
            <w:pPr>
              <w:pStyle w:val="NoSpacing"/>
              <w:jc w:val="center"/>
            </w:pPr>
          </w:p>
        </w:tc>
      </w:tr>
      <w:tr w:rsidR="00D41432" w14:paraId="204676A6" w14:textId="77777777" w:rsidTr="00204075">
        <w:tc>
          <w:tcPr>
            <w:tcW w:w="874" w:type="dxa"/>
          </w:tcPr>
          <w:p w14:paraId="1A0F88F4" w14:textId="77777777" w:rsidR="00D41432" w:rsidRDefault="00D41432" w:rsidP="00BE2B0B">
            <w:pPr>
              <w:pStyle w:val="NoSpacing"/>
              <w:jc w:val="center"/>
            </w:pPr>
          </w:p>
          <w:p w14:paraId="0D6A6460" w14:textId="51D957F1" w:rsidR="00D41432" w:rsidRDefault="00D41432" w:rsidP="00BE2B0B">
            <w:pPr>
              <w:pStyle w:val="NoSpacing"/>
              <w:jc w:val="center"/>
            </w:pPr>
          </w:p>
        </w:tc>
        <w:tc>
          <w:tcPr>
            <w:tcW w:w="1915" w:type="dxa"/>
          </w:tcPr>
          <w:p w14:paraId="45996076" w14:textId="77777777" w:rsidR="00D41432" w:rsidRDefault="00D41432" w:rsidP="00BE2B0B">
            <w:pPr>
              <w:pStyle w:val="NoSpacing"/>
              <w:jc w:val="center"/>
            </w:pPr>
          </w:p>
        </w:tc>
        <w:tc>
          <w:tcPr>
            <w:tcW w:w="2642" w:type="dxa"/>
          </w:tcPr>
          <w:p w14:paraId="28166171" w14:textId="77777777" w:rsidR="00D41432" w:rsidRDefault="00D41432" w:rsidP="00BE2B0B">
            <w:pPr>
              <w:pStyle w:val="NoSpacing"/>
              <w:jc w:val="center"/>
            </w:pPr>
          </w:p>
        </w:tc>
        <w:tc>
          <w:tcPr>
            <w:tcW w:w="1134" w:type="dxa"/>
          </w:tcPr>
          <w:p w14:paraId="27212C49" w14:textId="77777777" w:rsidR="00D41432" w:rsidRDefault="00D41432" w:rsidP="00BE2B0B">
            <w:pPr>
              <w:pStyle w:val="NoSpacing"/>
              <w:jc w:val="center"/>
            </w:pPr>
          </w:p>
        </w:tc>
        <w:tc>
          <w:tcPr>
            <w:tcW w:w="1080" w:type="dxa"/>
          </w:tcPr>
          <w:p w14:paraId="7DA4E5F8" w14:textId="5B3F515C" w:rsidR="00D41432" w:rsidRDefault="00D41432" w:rsidP="00BE2B0B">
            <w:pPr>
              <w:pStyle w:val="NoSpacing"/>
              <w:jc w:val="center"/>
            </w:pPr>
          </w:p>
        </w:tc>
        <w:tc>
          <w:tcPr>
            <w:tcW w:w="990" w:type="dxa"/>
          </w:tcPr>
          <w:p w14:paraId="3A174498" w14:textId="77777777" w:rsidR="00D41432" w:rsidRDefault="00D41432" w:rsidP="00BE2B0B">
            <w:pPr>
              <w:pStyle w:val="NoSpacing"/>
              <w:jc w:val="center"/>
            </w:pPr>
          </w:p>
        </w:tc>
        <w:tc>
          <w:tcPr>
            <w:tcW w:w="957" w:type="dxa"/>
          </w:tcPr>
          <w:p w14:paraId="0EACBF7E" w14:textId="77777777" w:rsidR="00D41432" w:rsidRDefault="00D41432" w:rsidP="00BE2B0B">
            <w:pPr>
              <w:pStyle w:val="NoSpacing"/>
              <w:jc w:val="center"/>
            </w:pPr>
          </w:p>
        </w:tc>
        <w:tc>
          <w:tcPr>
            <w:tcW w:w="2553" w:type="dxa"/>
          </w:tcPr>
          <w:p w14:paraId="29AF4B78" w14:textId="7A5AF66D" w:rsidR="00D41432" w:rsidRDefault="00D41432" w:rsidP="00BE2B0B">
            <w:pPr>
              <w:pStyle w:val="NoSpacing"/>
              <w:jc w:val="center"/>
            </w:pPr>
          </w:p>
        </w:tc>
        <w:tc>
          <w:tcPr>
            <w:tcW w:w="2695" w:type="dxa"/>
          </w:tcPr>
          <w:p w14:paraId="44EF02AD" w14:textId="77777777" w:rsidR="00D41432" w:rsidRDefault="00D41432" w:rsidP="00BE2B0B">
            <w:pPr>
              <w:pStyle w:val="NoSpacing"/>
              <w:jc w:val="center"/>
            </w:pPr>
          </w:p>
        </w:tc>
      </w:tr>
      <w:tr w:rsidR="00D41432" w14:paraId="7CF87A29" w14:textId="77777777" w:rsidTr="00204075">
        <w:tc>
          <w:tcPr>
            <w:tcW w:w="874" w:type="dxa"/>
          </w:tcPr>
          <w:p w14:paraId="3116332B" w14:textId="77777777" w:rsidR="00D41432" w:rsidRDefault="00D41432" w:rsidP="00BE2B0B">
            <w:pPr>
              <w:pStyle w:val="NoSpacing"/>
              <w:jc w:val="center"/>
            </w:pPr>
          </w:p>
          <w:p w14:paraId="54B31990" w14:textId="6105A84B" w:rsidR="00D41432" w:rsidRDefault="00D41432" w:rsidP="00BE2B0B">
            <w:pPr>
              <w:pStyle w:val="NoSpacing"/>
              <w:jc w:val="center"/>
            </w:pPr>
          </w:p>
        </w:tc>
        <w:tc>
          <w:tcPr>
            <w:tcW w:w="1915" w:type="dxa"/>
          </w:tcPr>
          <w:p w14:paraId="75E89415" w14:textId="77777777" w:rsidR="00D41432" w:rsidRDefault="00D41432" w:rsidP="00BE2B0B">
            <w:pPr>
              <w:pStyle w:val="NoSpacing"/>
              <w:jc w:val="center"/>
            </w:pPr>
          </w:p>
        </w:tc>
        <w:tc>
          <w:tcPr>
            <w:tcW w:w="2642" w:type="dxa"/>
          </w:tcPr>
          <w:p w14:paraId="7685E39C" w14:textId="77777777" w:rsidR="00D41432" w:rsidRDefault="00D41432" w:rsidP="00BE2B0B">
            <w:pPr>
              <w:pStyle w:val="NoSpacing"/>
              <w:jc w:val="center"/>
            </w:pPr>
          </w:p>
        </w:tc>
        <w:tc>
          <w:tcPr>
            <w:tcW w:w="1134" w:type="dxa"/>
          </w:tcPr>
          <w:p w14:paraId="03A77B97" w14:textId="77777777" w:rsidR="00D41432" w:rsidRDefault="00D41432" w:rsidP="00BE2B0B">
            <w:pPr>
              <w:pStyle w:val="NoSpacing"/>
              <w:jc w:val="center"/>
            </w:pPr>
          </w:p>
        </w:tc>
        <w:tc>
          <w:tcPr>
            <w:tcW w:w="1080" w:type="dxa"/>
          </w:tcPr>
          <w:p w14:paraId="0979CCCA" w14:textId="3EACBBA5" w:rsidR="00D41432" w:rsidRDefault="00D41432" w:rsidP="00BE2B0B">
            <w:pPr>
              <w:pStyle w:val="NoSpacing"/>
              <w:jc w:val="center"/>
            </w:pPr>
          </w:p>
        </w:tc>
        <w:tc>
          <w:tcPr>
            <w:tcW w:w="990" w:type="dxa"/>
          </w:tcPr>
          <w:p w14:paraId="20B21144" w14:textId="77777777" w:rsidR="00D41432" w:rsidRDefault="00D41432" w:rsidP="00BE2B0B">
            <w:pPr>
              <w:pStyle w:val="NoSpacing"/>
              <w:jc w:val="center"/>
            </w:pPr>
          </w:p>
        </w:tc>
        <w:tc>
          <w:tcPr>
            <w:tcW w:w="957" w:type="dxa"/>
          </w:tcPr>
          <w:p w14:paraId="360A78A5" w14:textId="77777777" w:rsidR="00D41432" w:rsidRDefault="00D41432" w:rsidP="00BE2B0B">
            <w:pPr>
              <w:pStyle w:val="NoSpacing"/>
              <w:jc w:val="center"/>
            </w:pPr>
          </w:p>
        </w:tc>
        <w:tc>
          <w:tcPr>
            <w:tcW w:w="2553" w:type="dxa"/>
          </w:tcPr>
          <w:p w14:paraId="6A4D13CD" w14:textId="143AFD0C" w:rsidR="00D41432" w:rsidRDefault="00D41432" w:rsidP="00BE2B0B">
            <w:pPr>
              <w:pStyle w:val="NoSpacing"/>
              <w:jc w:val="center"/>
            </w:pPr>
          </w:p>
        </w:tc>
        <w:tc>
          <w:tcPr>
            <w:tcW w:w="2695" w:type="dxa"/>
          </w:tcPr>
          <w:p w14:paraId="29FD7EDC" w14:textId="77777777" w:rsidR="00D41432" w:rsidRDefault="00D41432" w:rsidP="00BE2B0B">
            <w:pPr>
              <w:pStyle w:val="NoSpacing"/>
              <w:jc w:val="center"/>
            </w:pPr>
          </w:p>
        </w:tc>
      </w:tr>
      <w:tr w:rsidR="00D41432" w14:paraId="263769CD" w14:textId="77777777" w:rsidTr="00204075">
        <w:tc>
          <w:tcPr>
            <w:tcW w:w="874" w:type="dxa"/>
          </w:tcPr>
          <w:p w14:paraId="46470DD8" w14:textId="77777777" w:rsidR="00D41432" w:rsidRDefault="00D41432" w:rsidP="00BE2B0B">
            <w:pPr>
              <w:pStyle w:val="NoSpacing"/>
              <w:jc w:val="center"/>
            </w:pPr>
          </w:p>
          <w:p w14:paraId="6D2174E6" w14:textId="3BB5BE01" w:rsidR="00D41432" w:rsidRDefault="00D41432" w:rsidP="00BE2B0B">
            <w:pPr>
              <w:pStyle w:val="NoSpacing"/>
              <w:jc w:val="center"/>
            </w:pPr>
          </w:p>
        </w:tc>
        <w:tc>
          <w:tcPr>
            <w:tcW w:w="1915" w:type="dxa"/>
          </w:tcPr>
          <w:p w14:paraId="378EA01B" w14:textId="77777777" w:rsidR="00D41432" w:rsidRDefault="00D41432" w:rsidP="00BE2B0B">
            <w:pPr>
              <w:pStyle w:val="NoSpacing"/>
              <w:jc w:val="center"/>
            </w:pPr>
          </w:p>
        </w:tc>
        <w:tc>
          <w:tcPr>
            <w:tcW w:w="2642" w:type="dxa"/>
          </w:tcPr>
          <w:p w14:paraId="75A0EBB8" w14:textId="77777777" w:rsidR="00D41432" w:rsidRDefault="00D41432" w:rsidP="00BE2B0B">
            <w:pPr>
              <w:pStyle w:val="NoSpacing"/>
              <w:jc w:val="center"/>
            </w:pPr>
          </w:p>
        </w:tc>
        <w:tc>
          <w:tcPr>
            <w:tcW w:w="1134" w:type="dxa"/>
          </w:tcPr>
          <w:p w14:paraId="00B82E68" w14:textId="77777777" w:rsidR="00D41432" w:rsidRDefault="00D41432" w:rsidP="00BE2B0B">
            <w:pPr>
              <w:pStyle w:val="NoSpacing"/>
              <w:jc w:val="center"/>
            </w:pPr>
          </w:p>
        </w:tc>
        <w:tc>
          <w:tcPr>
            <w:tcW w:w="1080" w:type="dxa"/>
          </w:tcPr>
          <w:p w14:paraId="397FEFB9" w14:textId="4B3D10BE" w:rsidR="00D41432" w:rsidRDefault="00D41432" w:rsidP="00BE2B0B">
            <w:pPr>
              <w:pStyle w:val="NoSpacing"/>
              <w:jc w:val="center"/>
            </w:pPr>
          </w:p>
        </w:tc>
        <w:tc>
          <w:tcPr>
            <w:tcW w:w="990" w:type="dxa"/>
          </w:tcPr>
          <w:p w14:paraId="7C1C6C09" w14:textId="77777777" w:rsidR="00D41432" w:rsidRDefault="00D41432" w:rsidP="00BE2B0B">
            <w:pPr>
              <w:pStyle w:val="NoSpacing"/>
              <w:jc w:val="center"/>
            </w:pPr>
          </w:p>
        </w:tc>
        <w:tc>
          <w:tcPr>
            <w:tcW w:w="957" w:type="dxa"/>
          </w:tcPr>
          <w:p w14:paraId="3D1A21D4" w14:textId="77777777" w:rsidR="00D41432" w:rsidRDefault="00D41432" w:rsidP="00BE2B0B">
            <w:pPr>
              <w:pStyle w:val="NoSpacing"/>
              <w:jc w:val="center"/>
            </w:pPr>
          </w:p>
        </w:tc>
        <w:tc>
          <w:tcPr>
            <w:tcW w:w="2553" w:type="dxa"/>
          </w:tcPr>
          <w:p w14:paraId="6969A1AF" w14:textId="4AC33020" w:rsidR="00D41432" w:rsidRDefault="00D41432" w:rsidP="00BE2B0B">
            <w:pPr>
              <w:pStyle w:val="NoSpacing"/>
              <w:jc w:val="center"/>
            </w:pPr>
          </w:p>
        </w:tc>
        <w:tc>
          <w:tcPr>
            <w:tcW w:w="2695" w:type="dxa"/>
          </w:tcPr>
          <w:p w14:paraId="146C9FB4" w14:textId="77777777" w:rsidR="00D41432" w:rsidRDefault="00D41432" w:rsidP="00BE2B0B">
            <w:pPr>
              <w:pStyle w:val="NoSpacing"/>
              <w:jc w:val="center"/>
            </w:pPr>
          </w:p>
        </w:tc>
      </w:tr>
      <w:tr w:rsidR="00D41432" w14:paraId="229BFC9F" w14:textId="77777777" w:rsidTr="00204075">
        <w:tc>
          <w:tcPr>
            <w:tcW w:w="874" w:type="dxa"/>
          </w:tcPr>
          <w:p w14:paraId="0807008E" w14:textId="77777777" w:rsidR="00D41432" w:rsidRDefault="00D41432" w:rsidP="00BE2B0B">
            <w:pPr>
              <w:pStyle w:val="NoSpacing"/>
              <w:jc w:val="center"/>
            </w:pPr>
          </w:p>
          <w:p w14:paraId="4B844648" w14:textId="2EEAFD5F" w:rsidR="00D41432" w:rsidRDefault="00D41432" w:rsidP="00BE2B0B">
            <w:pPr>
              <w:pStyle w:val="NoSpacing"/>
              <w:jc w:val="center"/>
            </w:pPr>
          </w:p>
        </w:tc>
        <w:tc>
          <w:tcPr>
            <w:tcW w:w="1915" w:type="dxa"/>
          </w:tcPr>
          <w:p w14:paraId="2C891332" w14:textId="77777777" w:rsidR="00D41432" w:rsidRDefault="00D41432" w:rsidP="00BE2B0B">
            <w:pPr>
              <w:pStyle w:val="NoSpacing"/>
              <w:jc w:val="center"/>
            </w:pPr>
          </w:p>
        </w:tc>
        <w:tc>
          <w:tcPr>
            <w:tcW w:w="2642" w:type="dxa"/>
          </w:tcPr>
          <w:p w14:paraId="21B2333E" w14:textId="77777777" w:rsidR="00D41432" w:rsidRDefault="00D41432" w:rsidP="00BE2B0B">
            <w:pPr>
              <w:pStyle w:val="NoSpacing"/>
              <w:jc w:val="center"/>
            </w:pPr>
          </w:p>
        </w:tc>
        <w:tc>
          <w:tcPr>
            <w:tcW w:w="1134" w:type="dxa"/>
          </w:tcPr>
          <w:p w14:paraId="0263C890" w14:textId="77777777" w:rsidR="00D41432" w:rsidRDefault="00D41432" w:rsidP="00BE2B0B">
            <w:pPr>
              <w:pStyle w:val="NoSpacing"/>
              <w:jc w:val="center"/>
            </w:pPr>
          </w:p>
        </w:tc>
        <w:tc>
          <w:tcPr>
            <w:tcW w:w="1080" w:type="dxa"/>
          </w:tcPr>
          <w:p w14:paraId="4C648F57" w14:textId="34D8F60B" w:rsidR="00D41432" w:rsidRDefault="00D41432" w:rsidP="00BE2B0B">
            <w:pPr>
              <w:pStyle w:val="NoSpacing"/>
              <w:jc w:val="center"/>
            </w:pPr>
          </w:p>
        </w:tc>
        <w:tc>
          <w:tcPr>
            <w:tcW w:w="990" w:type="dxa"/>
          </w:tcPr>
          <w:p w14:paraId="48DBD0D3" w14:textId="77777777" w:rsidR="00D41432" w:rsidRDefault="00D41432" w:rsidP="00BE2B0B">
            <w:pPr>
              <w:pStyle w:val="NoSpacing"/>
              <w:jc w:val="center"/>
            </w:pPr>
          </w:p>
        </w:tc>
        <w:tc>
          <w:tcPr>
            <w:tcW w:w="957" w:type="dxa"/>
          </w:tcPr>
          <w:p w14:paraId="7B538243" w14:textId="77777777" w:rsidR="00D41432" w:rsidRDefault="00D41432" w:rsidP="00BE2B0B">
            <w:pPr>
              <w:pStyle w:val="NoSpacing"/>
              <w:jc w:val="center"/>
            </w:pPr>
          </w:p>
        </w:tc>
        <w:tc>
          <w:tcPr>
            <w:tcW w:w="2553" w:type="dxa"/>
          </w:tcPr>
          <w:p w14:paraId="33E70EC9" w14:textId="2E909291" w:rsidR="00D41432" w:rsidRDefault="00D41432" w:rsidP="00BE2B0B">
            <w:pPr>
              <w:pStyle w:val="NoSpacing"/>
              <w:jc w:val="center"/>
            </w:pPr>
          </w:p>
        </w:tc>
        <w:tc>
          <w:tcPr>
            <w:tcW w:w="2695" w:type="dxa"/>
          </w:tcPr>
          <w:p w14:paraId="422F1095" w14:textId="77777777" w:rsidR="00D41432" w:rsidRDefault="00D41432" w:rsidP="00BE2B0B">
            <w:pPr>
              <w:pStyle w:val="NoSpacing"/>
              <w:jc w:val="center"/>
            </w:pPr>
          </w:p>
        </w:tc>
      </w:tr>
      <w:tr w:rsidR="00D41432" w14:paraId="5896AE2B" w14:textId="77777777" w:rsidTr="00204075">
        <w:tc>
          <w:tcPr>
            <w:tcW w:w="874" w:type="dxa"/>
          </w:tcPr>
          <w:p w14:paraId="78651AC9" w14:textId="77777777" w:rsidR="00D41432" w:rsidRDefault="00D41432" w:rsidP="00BE2B0B">
            <w:pPr>
              <w:pStyle w:val="NoSpacing"/>
              <w:jc w:val="center"/>
            </w:pPr>
          </w:p>
          <w:p w14:paraId="50DF6F2D" w14:textId="0FACEF4D" w:rsidR="00D41432" w:rsidRDefault="00D41432" w:rsidP="00BE2B0B">
            <w:pPr>
              <w:pStyle w:val="NoSpacing"/>
              <w:jc w:val="center"/>
            </w:pPr>
          </w:p>
        </w:tc>
        <w:tc>
          <w:tcPr>
            <w:tcW w:w="1915" w:type="dxa"/>
          </w:tcPr>
          <w:p w14:paraId="26B8E292" w14:textId="77777777" w:rsidR="00D41432" w:rsidRDefault="00D41432" w:rsidP="00BE2B0B">
            <w:pPr>
              <w:pStyle w:val="NoSpacing"/>
              <w:jc w:val="center"/>
            </w:pPr>
          </w:p>
        </w:tc>
        <w:tc>
          <w:tcPr>
            <w:tcW w:w="2642" w:type="dxa"/>
          </w:tcPr>
          <w:p w14:paraId="1DD8D0FC" w14:textId="77777777" w:rsidR="00D41432" w:rsidRDefault="00D41432" w:rsidP="00BE2B0B">
            <w:pPr>
              <w:pStyle w:val="NoSpacing"/>
              <w:jc w:val="center"/>
            </w:pPr>
          </w:p>
        </w:tc>
        <w:tc>
          <w:tcPr>
            <w:tcW w:w="1134" w:type="dxa"/>
          </w:tcPr>
          <w:p w14:paraId="4D4A7B19" w14:textId="77777777" w:rsidR="00D41432" w:rsidRDefault="00D41432" w:rsidP="00BE2B0B">
            <w:pPr>
              <w:pStyle w:val="NoSpacing"/>
              <w:jc w:val="center"/>
            </w:pPr>
          </w:p>
        </w:tc>
        <w:tc>
          <w:tcPr>
            <w:tcW w:w="1080" w:type="dxa"/>
          </w:tcPr>
          <w:p w14:paraId="21D61423" w14:textId="4911DCA5" w:rsidR="00D41432" w:rsidRDefault="00D41432" w:rsidP="00BE2B0B">
            <w:pPr>
              <w:pStyle w:val="NoSpacing"/>
              <w:jc w:val="center"/>
            </w:pPr>
          </w:p>
        </w:tc>
        <w:tc>
          <w:tcPr>
            <w:tcW w:w="990" w:type="dxa"/>
          </w:tcPr>
          <w:p w14:paraId="2CCF4C39" w14:textId="77777777" w:rsidR="00D41432" w:rsidRDefault="00D41432" w:rsidP="00BE2B0B">
            <w:pPr>
              <w:pStyle w:val="NoSpacing"/>
              <w:jc w:val="center"/>
            </w:pPr>
          </w:p>
        </w:tc>
        <w:tc>
          <w:tcPr>
            <w:tcW w:w="957" w:type="dxa"/>
          </w:tcPr>
          <w:p w14:paraId="594D85CF" w14:textId="77777777" w:rsidR="00D41432" w:rsidRDefault="00D41432" w:rsidP="00BE2B0B">
            <w:pPr>
              <w:pStyle w:val="NoSpacing"/>
              <w:jc w:val="center"/>
            </w:pPr>
          </w:p>
        </w:tc>
        <w:tc>
          <w:tcPr>
            <w:tcW w:w="2553" w:type="dxa"/>
          </w:tcPr>
          <w:p w14:paraId="27ABE174" w14:textId="4DB95061" w:rsidR="00D41432" w:rsidRDefault="00D41432" w:rsidP="00BE2B0B">
            <w:pPr>
              <w:pStyle w:val="NoSpacing"/>
              <w:jc w:val="center"/>
            </w:pPr>
          </w:p>
        </w:tc>
        <w:tc>
          <w:tcPr>
            <w:tcW w:w="2695" w:type="dxa"/>
          </w:tcPr>
          <w:p w14:paraId="07F4E235" w14:textId="77777777" w:rsidR="00D41432" w:rsidRDefault="00D41432" w:rsidP="00BE2B0B">
            <w:pPr>
              <w:pStyle w:val="NoSpacing"/>
              <w:jc w:val="center"/>
            </w:pPr>
          </w:p>
        </w:tc>
      </w:tr>
      <w:tr w:rsidR="00D41432" w14:paraId="2541CA93" w14:textId="77777777" w:rsidTr="00204075">
        <w:tc>
          <w:tcPr>
            <w:tcW w:w="874" w:type="dxa"/>
          </w:tcPr>
          <w:p w14:paraId="71157313" w14:textId="77777777" w:rsidR="00D41432" w:rsidRDefault="00D41432" w:rsidP="00BE2B0B">
            <w:pPr>
              <w:pStyle w:val="NoSpacing"/>
              <w:jc w:val="center"/>
            </w:pPr>
          </w:p>
          <w:p w14:paraId="01CEC890" w14:textId="59C18B9A" w:rsidR="00D41432" w:rsidRDefault="00D41432" w:rsidP="00BE2B0B">
            <w:pPr>
              <w:pStyle w:val="NoSpacing"/>
              <w:jc w:val="center"/>
            </w:pPr>
          </w:p>
        </w:tc>
        <w:tc>
          <w:tcPr>
            <w:tcW w:w="1915" w:type="dxa"/>
          </w:tcPr>
          <w:p w14:paraId="74F0FC60" w14:textId="77777777" w:rsidR="00D41432" w:rsidRDefault="00D41432" w:rsidP="00BE2B0B">
            <w:pPr>
              <w:pStyle w:val="NoSpacing"/>
              <w:jc w:val="center"/>
            </w:pPr>
          </w:p>
        </w:tc>
        <w:tc>
          <w:tcPr>
            <w:tcW w:w="2642" w:type="dxa"/>
          </w:tcPr>
          <w:p w14:paraId="5C0ED454" w14:textId="77777777" w:rsidR="00D41432" w:rsidRDefault="00D41432" w:rsidP="00BE2B0B">
            <w:pPr>
              <w:pStyle w:val="NoSpacing"/>
              <w:jc w:val="center"/>
            </w:pPr>
          </w:p>
        </w:tc>
        <w:tc>
          <w:tcPr>
            <w:tcW w:w="1134" w:type="dxa"/>
          </w:tcPr>
          <w:p w14:paraId="5B21B719" w14:textId="77777777" w:rsidR="00D41432" w:rsidRDefault="00D41432" w:rsidP="00BE2B0B">
            <w:pPr>
              <w:pStyle w:val="NoSpacing"/>
              <w:jc w:val="center"/>
            </w:pPr>
          </w:p>
        </w:tc>
        <w:tc>
          <w:tcPr>
            <w:tcW w:w="1080" w:type="dxa"/>
          </w:tcPr>
          <w:p w14:paraId="3FF4892F" w14:textId="3D615C61" w:rsidR="00D41432" w:rsidRDefault="00D41432" w:rsidP="00BE2B0B">
            <w:pPr>
              <w:pStyle w:val="NoSpacing"/>
              <w:jc w:val="center"/>
            </w:pPr>
          </w:p>
        </w:tc>
        <w:tc>
          <w:tcPr>
            <w:tcW w:w="990" w:type="dxa"/>
          </w:tcPr>
          <w:p w14:paraId="233FB4C8" w14:textId="77777777" w:rsidR="00D41432" w:rsidRDefault="00D41432" w:rsidP="00BE2B0B">
            <w:pPr>
              <w:pStyle w:val="NoSpacing"/>
              <w:jc w:val="center"/>
            </w:pPr>
          </w:p>
        </w:tc>
        <w:tc>
          <w:tcPr>
            <w:tcW w:w="957" w:type="dxa"/>
          </w:tcPr>
          <w:p w14:paraId="1249143F" w14:textId="77777777" w:rsidR="00D41432" w:rsidRDefault="00D41432" w:rsidP="00BE2B0B">
            <w:pPr>
              <w:pStyle w:val="NoSpacing"/>
              <w:jc w:val="center"/>
            </w:pPr>
          </w:p>
        </w:tc>
        <w:tc>
          <w:tcPr>
            <w:tcW w:w="2553" w:type="dxa"/>
          </w:tcPr>
          <w:p w14:paraId="5E0714ED" w14:textId="0E13379C" w:rsidR="00D41432" w:rsidRDefault="00D41432" w:rsidP="00BE2B0B">
            <w:pPr>
              <w:pStyle w:val="NoSpacing"/>
              <w:jc w:val="center"/>
            </w:pPr>
          </w:p>
        </w:tc>
        <w:tc>
          <w:tcPr>
            <w:tcW w:w="2695" w:type="dxa"/>
          </w:tcPr>
          <w:p w14:paraId="50BAB1BF" w14:textId="77777777" w:rsidR="00D41432" w:rsidRDefault="00D41432" w:rsidP="00BE2B0B">
            <w:pPr>
              <w:pStyle w:val="NoSpacing"/>
              <w:jc w:val="center"/>
            </w:pPr>
          </w:p>
        </w:tc>
      </w:tr>
      <w:tr w:rsidR="00D41432" w14:paraId="042232D7" w14:textId="77777777" w:rsidTr="00204075">
        <w:tc>
          <w:tcPr>
            <w:tcW w:w="874" w:type="dxa"/>
          </w:tcPr>
          <w:p w14:paraId="37091AA8" w14:textId="77777777" w:rsidR="00D41432" w:rsidRDefault="00D41432" w:rsidP="00BE2B0B">
            <w:pPr>
              <w:pStyle w:val="NoSpacing"/>
              <w:jc w:val="center"/>
            </w:pPr>
          </w:p>
          <w:p w14:paraId="09AFCAD7" w14:textId="5EECA1D4" w:rsidR="00D41432" w:rsidRDefault="00D41432" w:rsidP="00BE2B0B">
            <w:pPr>
              <w:pStyle w:val="NoSpacing"/>
              <w:jc w:val="center"/>
            </w:pPr>
          </w:p>
        </w:tc>
        <w:tc>
          <w:tcPr>
            <w:tcW w:w="1915" w:type="dxa"/>
          </w:tcPr>
          <w:p w14:paraId="38053FF3" w14:textId="77777777" w:rsidR="00D41432" w:rsidRDefault="00D41432" w:rsidP="00BE2B0B">
            <w:pPr>
              <w:pStyle w:val="NoSpacing"/>
              <w:jc w:val="center"/>
            </w:pPr>
          </w:p>
        </w:tc>
        <w:tc>
          <w:tcPr>
            <w:tcW w:w="2642" w:type="dxa"/>
          </w:tcPr>
          <w:p w14:paraId="3C730D55" w14:textId="77777777" w:rsidR="00D41432" w:rsidRDefault="00D41432" w:rsidP="00BE2B0B">
            <w:pPr>
              <w:pStyle w:val="NoSpacing"/>
              <w:jc w:val="center"/>
            </w:pPr>
          </w:p>
        </w:tc>
        <w:tc>
          <w:tcPr>
            <w:tcW w:w="1134" w:type="dxa"/>
          </w:tcPr>
          <w:p w14:paraId="65298A90" w14:textId="77777777" w:rsidR="00D41432" w:rsidRDefault="00D41432" w:rsidP="00BE2B0B">
            <w:pPr>
              <w:pStyle w:val="NoSpacing"/>
              <w:jc w:val="center"/>
            </w:pPr>
          </w:p>
        </w:tc>
        <w:tc>
          <w:tcPr>
            <w:tcW w:w="1080" w:type="dxa"/>
          </w:tcPr>
          <w:p w14:paraId="24D34C0C" w14:textId="377A2D53" w:rsidR="00D41432" w:rsidRDefault="00D41432" w:rsidP="00BE2B0B">
            <w:pPr>
              <w:pStyle w:val="NoSpacing"/>
              <w:jc w:val="center"/>
            </w:pPr>
          </w:p>
        </w:tc>
        <w:tc>
          <w:tcPr>
            <w:tcW w:w="990" w:type="dxa"/>
          </w:tcPr>
          <w:p w14:paraId="59193DDA" w14:textId="77777777" w:rsidR="00D41432" w:rsidRDefault="00D41432" w:rsidP="00BE2B0B">
            <w:pPr>
              <w:pStyle w:val="NoSpacing"/>
              <w:jc w:val="center"/>
            </w:pPr>
          </w:p>
        </w:tc>
        <w:tc>
          <w:tcPr>
            <w:tcW w:w="957" w:type="dxa"/>
          </w:tcPr>
          <w:p w14:paraId="776EA046" w14:textId="77777777" w:rsidR="00D41432" w:rsidRDefault="00D41432" w:rsidP="00BE2B0B">
            <w:pPr>
              <w:pStyle w:val="NoSpacing"/>
              <w:jc w:val="center"/>
            </w:pPr>
          </w:p>
        </w:tc>
        <w:tc>
          <w:tcPr>
            <w:tcW w:w="2553" w:type="dxa"/>
          </w:tcPr>
          <w:p w14:paraId="3866B7B3" w14:textId="189A6DAF" w:rsidR="00D41432" w:rsidRDefault="00D41432" w:rsidP="00BE2B0B">
            <w:pPr>
              <w:pStyle w:val="NoSpacing"/>
              <w:jc w:val="center"/>
            </w:pPr>
          </w:p>
        </w:tc>
        <w:tc>
          <w:tcPr>
            <w:tcW w:w="2695" w:type="dxa"/>
          </w:tcPr>
          <w:p w14:paraId="57A23042" w14:textId="77777777" w:rsidR="00D41432" w:rsidRDefault="00D41432" w:rsidP="00BE2B0B">
            <w:pPr>
              <w:pStyle w:val="NoSpacing"/>
              <w:jc w:val="center"/>
            </w:pPr>
          </w:p>
        </w:tc>
      </w:tr>
      <w:tr w:rsidR="00D41432" w14:paraId="490996CD" w14:textId="77777777" w:rsidTr="00204075">
        <w:tc>
          <w:tcPr>
            <w:tcW w:w="874" w:type="dxa"/>
          </w:tcPr>
          <w:p w14:paraId="45B5B791" w14:textId="77777777" w:rsidR="00D41432" w:rsidRDefault="00D41432" w:rsidP="00BE2B0B">
            <w:pPr>
              <w:pStyle w:val="NoSpacing"/>
              <w:jc w:val="center"/>
            </w:pPr>
          </w:p>
          <w:p w14:paraId="0D09F7FF" w14:textId="0FEB01EE" w:rsidR="00D41432" w:rsidRDefault="00D41432" w:rsidP="00BE2B0B">
            <w:pPr>
              <w:pStyle w:val="NoSpacing"/>
              <w:jc w:val="center"/>
            </w:pPr>
          </w:p>
        </w:tc>
        <w:tc>
          <w:tcPr>
            <w:tcW w:w="1915" w:type="dxa"/>
          </w:tcPr>
          <w:p w14:paraId="527BAC28" w14:textId="77777777" w:rsidR="00D41432" w:rsidRDefault="00D41432" w:rsidP="00BE2B0B">
            <w:pPr>
              <w:pStyle w:val="NoSpacing"/>
              <w:jc w:val="center"/>
            </w:pPr>
          </w:p>
        </w:tc>
        <w:tc>
          <w:tcPr>
            <w:tcW w:w="2642" w:type="dxa"/>
          </w:tcPr>
          <w:p w14:paraId="6D884F0C" w14:textId="77777777" w:rsidR="00D41432" w:rsidRDefault="00D41432" w:rsidP="00BE2B0B">
            <w:pPr>
              <w:pStyle w:val="NoSpacing"/>
              <w:jc w:val="center"/>
            </w:pPr>
          </w:p>
        </w:tc>
        <w:tc>
          <w:tcPr>
            <w:tcW w:w="1134" w:type="dxa"/>
          </w:tcPr>
          <w:p w14:paraId="24B233F3" w14:textId="77777777" w:rsidR="00D41432" w:rsidRDefault="00D41432" w:rsidP="00BE2B0B">
            <w:pPr>
              <w:pStyle w:val="NoSpacing"/>
              <w:jc w:val="center"/>
            </w:pPr>
          </w:p>
        </w:tc>
        <w:tc>
          <w:tcPr>
            <w:tcW w:w="1080" w:type="dxa"/>
          </w:tcPr>
          <w:p w14:paraId="214D7B5E" w14:textId="05B5A61C" w:rsidR="00D41432" w:rsidRDefault="00D41432" w:rsidP="00BE2B0B">
            <w:pPr>
              <w:pStyle w:val="NoSpacing"/>
              <w:jc w:val="center"/>
            </w:pPr>
          </w:p>
        </w:tc>
        <w:tc>
          <w:tcPr>
            <w:tcW w:w="990" w:type="dxa"/>
          </w:tcPr>
          <w:p w14:paraId="3482904D" w14:textId="77777777" w:rsidR="00D41432" w:rsidRDefault="00D41432" w:rsidP="00BE2B0B">
            <w:pPr>
              <w:pStyle w:val="NoSpacing"/>
              <w:jc w:val="center"/>
            </w:pPr>
          </w:p>
        </w:tc>
        <w:tc>
          <w:tcPr>
            <w:tcW w:w="957" w:type="dxa"/>
          </w:tcPr>
          <w:p w14:paraId="3D8B2BD0" w14:textId="77777777" w:rsidR="00D41432" w:rsidRDefault="00D41432" w:rsidP="00BE2B0B">
            <w:pPr>
              <w:pStyle w:val="NoSpacing"/>
              <w:jc w:val="center"/>
            </w:pPr>
          </w:p>
        </w:tc>
        <w:tc>
          <w:tcPr>
            <w:tcW w:w="2553" w:type="dxa"/>
          </w:tcPr>
          <w:p w14:paraId="0FE6BAEF" w14:textId="6A078521" w:rsidR="00D41432" w:rsidRDefault="00D41432" w:rsidP="00BE2B0B">
            <w:pPr>
              <w:pStyle w:val="NoSpacing"/>
              <w:jc w:val="center"/>
            </w:pPr>
          </w:p>
        </w:tc>
        <w:tc>
          <w:tcPr>
            <w:tcW w:w="2695" w:type="dxa"/>
          </w:tcPr>
          <w:p w14:paraId="219E17F3" w14:textId="77777777" w:rsidR="00D41432" w:rsidRDefault="00D41432" w:rsidP="00BE2B0B">
            <w:pPr>
              <w:pStyle w:val="NoSpacing"/>
              <w:jc w:val="center"/>
            </w:pPr>
          </w:p>
        </w:tc>
      </w:tr>
    </w:tbl>
    <w:p w14:paraId="073289CD" w14:textId="77777777" w:rsidR="00B1219C" w:rsidRDefault="00B1219C" w:rsidP="009431D9">
      <w:pPr>
        <w:pStyle w:val="NoSpacing"/>
      </w:pPr>
    </w:p>
    <w:sectPr w:rsidR="00B1219C" w:rsidSect="009431D9">
      <w:footerReference w:type="default" r:id="rId7"/>
      <w:pgSz w:w="15840" w:h="12240" w:orient="landscape"/>
      <w:pgMar w:top="900" w:right="630" w:bottom="5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92EE" w14:textId="77777777" w:rsidR="00512519" w:rsidRDefault="00512519" w:rsidP="004B3CC4">
      <w:r>
        <w:separator/>
      </w:r>
    </w:p>
  </w:endnote>
  <w:endnote w:type="continuationSeparator" w:id="0">
    <w:p w14:paraId="55DB0E80" w14:textId="77777777" w:rsidR="00512519" w:rsidRDefault="00512519" w:rsidP="004B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E6D5" w14:textId="22423A58" w:rsidR="00956D3A" w:rsidRDefault="00956D3A">
    <w:pPr>
      <w:pStyle w:val="Footer"/>
    </w:pPr>
    <w:r>
      <w:t>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C645" w14:textId="77777777" w:rsidR="00512519" w:rsidRDefault="00512519" w:rsidP="004B3CC4">
      <w:r>
        <w:separator/>
      </w:r>
    </w:p>
  </w:footnote>
  <w:footnote w:type="continuationSeparator" w:id="0">
    <w:p w14:paraId="44DDA997" w14:textId="77777777" w:rsidR="00512519" w:rsidRDefault="00512519" w:rsidP="004B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28DF"/>
    <w:multiLevelType w:val="hybridMultilevel"/>
    <w:tmpl w:val="51BC1C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3006D4"/>
    <w:multiLevelType w:val="hybridMultilevel"/>
    <w:tmpl w:val="4350BA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7F0868"/>
    <w:multiLevelType w:val="hybridMultilevel"/>
    <w:tmpl w:val="D9D2DBEA"/>
    <w:lvl w:ilvl="0" w:tplc="0409000B">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28"/>
    <w:rsid w:val="0002029A"/>
    <w:rsid w:val="0009626C"/>
    <w:rsid w:val="000F6E09"/>
    <w:rsid w:val="001E031B"/>
    <w:rsid w:val="001E5DC1"/>
    <w:rsid w:val="00204075"/>
    <w:rsid w:val="002C5569"/>
    <w:rsid w:val="002D5CFA"/>
    <w:rsid w:val="00317939"/>
    <w:rsid w:val="003207CC"/>
    <w:rsid w:val="003625F5"/>
    <w:rsid w:val="00362E83"/>
    <w:rsid w:val="004B3CC4"/>
    <w:rsid w:val="005019D9"/>
    <w:rsid w:val="00512519"/>
    <w:rsid w:val="005F30DE"/>
    <w:rsid w:val="00681C22"/>
    <w:rsid w:val="00781885"/>
    <w:rsid w:val="008027C3"/>
    <w:rsid w:val="00807906"/>
    <w:rsid w:val="00893179"/>
    <w:rsid w:val="008949E9"/>
    <w:rsid w:val="008D45E8"/>
    <w:rsid w:val="00911B85"/>
    <w:rsid w:val="009431D9"/>
    <w:rsid w:val="00956D3A"/>
    <w:rsid w:val="009E3ED7"/>
    <w:rsid w:val="00AE4873"/>
    <w:rsid w:val="00B1219C"/>
    <w:rsid w:val="00B36782"/>
    <w:rsid w:val="00BE2B0B"/>
    <w:rsid w:val="00CD547E"/>
    <w:rsid w:val="00D31728"/>
    <w:rsid w:val="00D41432"/>
    <w:rsid w:val="00D704A1"/>
    <w:rsid w:val="00D950E7"/>
    <w:rsid w:val="00DA4454"/>
    <w:rsid w:val="00E86631"/>
    <w:rsid w:val="00F021AD"/>
    <w:rsid w:val="00F7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ABF4"/>
  <w15:chartTrackingRefBased/>
  <w15:docId w15:val="{FAD81525-E016-4450-BCC1-51D25C19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31728"/>
    <w:pPr>
      <w:keepNext/>
      <w:overflowPunct/>
      <w:autoSpaceDE/>
      <w:autoSpaceDN/>
      <w:adjustRightInd/>
      <w:jc w:val="center"/>
      <w:textAlignment w:val="auto"/>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28"/>
    <w:pPr>
      <w:ind w:left="720"/>
    </w:pPr>
  </w:style>
  <w:style w:type="paragraph" w:customStyle="1" w:styleId="DefaultText">
    <w:name w:val="Default Text"/>
    <w:basedOn w:val="Normal"/>
    <w:rsid w:val="00D31728"/>
    <w:rPr>
      <w:sz w:val="24"/>
    </w:rPr>
  </w:style>
  <w:style w:type="paragraph" w:styleId="NoSpacing">
    <w:name w:val="No Spacing"/>
    <w:uiPriority w:val="1"/>
    <w:qFormat/>
    <w:rsid w:val="00D31728"/>
    <w:pPr>
      <w:spacing w:after="0" w:line="240" w:lineRule="auto"/>
    </w:pPr>
    <w:rPr>
      <w:rFonts w:ascii="Calibri" w:eastAsia="Calibri" w:hAnsi="Calibri" w:cs="Times New Roman"/>
    </w:rPr>
  </w:style>
  <w:style w:type="paragraph" w:customStyle="1" w:styleId="Default">
    <w:name w:val="Default"/>
    <w:rsid w:val="00D317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D31728"/>
    <w:pPr>
      <w:overflowPunct/>
      <w:autoSpaceDE/>
      <w:autoSpaceDN/>
      <w:adjustRightInd/>
      <w:textAlignment w:val="auto"/>
    </w:pPr>
    <w:rPr>
      <w:b/>
      <w:sz w:val="28"/>
    </w:rPr>
  </w:style>
  <w:style w:type="character" w:customStyle="1" w:styleId="BodyTextChar">
    <w:name w:val="Body Text Char"/>
    <w:basedOn w:val="DefaultParagraphFont"/>
    <w:link w:val="BodyText"/>
    <w:rsid w:val="00D31728"/>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D31728"/>
    <w:rPr>
      <w:rFonts w:ascii="Times New Roman" w:eastAsia="Times New Roman" w:hAnsi="Times New Roman" w:cs="Times New Roman"/>
      <w:b/>
      <w:sz w:val="40"/>
      <w:szCs w:val="20"/>
    </w:rPr>
  </w:style>
  <w:style w:type="paragraph" w:styleId="Header">
    <w:name w:val="header"/>
    <w:basedOn w:val="Normal"/>
    <w:link w:val="HeaderChar"/>
    <w:uiPriority w:val="99"/>
    <w:unhideWhenUsed/>
    <w:rsid w:val="004B3CC4"/>
    <w:pPr>
      <w:tabs>
        <w:tab w:val="center" w:pos="4680"/>
        <w:tab w:val="right" w:pos="9360"/>
      </w:tabs>
    </w:pPr>
  </w:style>
  <w:style w:type="character" w:customStyle="1" w:styleId="HeaderChar">
    <w:name w:val="Header Char"/>
    <w:basedOn w:val="DefaultParagraphFont"/>
    <w:link w:val="Header"/>
    <w:uiPriority w:val="99"/>
    <w:rsid w:val="004B3C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B3CC4"/>
    <w:pPr>
      <w:tabs>
        <w:tab w:val="center" w:pos="4680"/>
        <w:tab w:val="right" w:pos="9360"/>
      </w:tabs>
    </w:pPr>
  </w:style>
  <w:style w:type="character" w:customStyle="1" w:styleId="FooterChar">
    <w:name w:val="Footer Char"/>
    <w:basedOn w:val="DefaultParagraphFont"/>
    <w:link w:val="Footer"/>
    <w:uiPriority w:val="99"/>
    <w:rsid w:val="004B3CC4"/>
    <w:rPr>
      <w:rFonts w:ascii="Times New Roman" w:eastAsia="Times New Roman" w:hAnsi="Times New Roman" w:cs="Times New Roman"/>
      <w:sz w:val="20"/>
      <w:szCs w:val="20"/>
    </w:rPr>
  </w:style>
  <w:style w:type="table" w:styleId="TableGrid">
    <w:name w:val="Table Grid"/>
    <w:basedOn w:val="TableNormal"/>
    <w:uiPriority w:val="39"/>
    <w:rsid w:val="005F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3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Henrickson</dc:creator>
  <cp:keywords/>
  <dc:description/>
  <cp:lastModifiedBy>MCGH CEO</cp:lastModifiedBy>
  <cp:revision>2</cp:revision>
  <cp:lastPrinted>2020-05-02T16:08:00Z</cp:lastPrinted>
  <dcterms:created xsi:type="dcterms:W3CDTF">2022-03-10T20:56:00Z</dcterms:created>
  <dcterms:modified xsi:type="dcterms:W3CDTF">2022-03-10T20:56:00Z</dcterms:modified>
</cp:coreProperties>
</file>