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3E1F98">
        <w:rPr>
          <w:rFonts w:ascii="Arial" w:hAnsi="Arial" w:cs="Arial"/>
          <w:b/>
          <w:sz w:val="22"/>
          <w:szCs w:val="22"/>
          <w:u w:val="single"/>
        </w:rPr>
        <w:t>February 23</w:t>
      </w:r>
      <w:r w:rsidR="009E54BF">
        <w:rPr>
          <w:rFonts w:ascii="Arial" w:hAnsi="Arial" w:cs="Arial"/>
          <w:b/>
          <w:sz w:val="22"/>
          <w:szCs w:val="22"/>
          <w:u w:val="single"/>
        </w:rPr>
        <w:t>, 2016</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r w:rsidR="004C5C7B">
        <w:rPr>
          <w:rFonts w:ascii="Arial" w:hAnsi="Arial" w:cs="Arial"/>
          <w:b/>
          <w:sz w:val="22"/>
          <w:szCs w:val="22"/>
        </w:rPr>
        <w:t xml:space="preserve"> </w:t>
      </w:r>
      <w:r w:rsidR="004C5C7B">
        <w:rPr>
          <w:rFonts w:ascii="Arial" w:hAnsi="Arial" w:cs="Arial"/>
          <w:b/>
          <w:color w:val="FF0000"/>
          <w:sz w:val="22"/>
          <w:szCs w:val="22"/>
        </w:rPr>
        <w:t xml:space="preserve">16:30 </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r w:rsidR="004C5C7B">
        <w:rPr>
          <w:rFonts w:ascii="Arial" w:hAnsi="Arial" w:cs="Arial"/>
          <w:b/>
          <w:sz w:val="22"/>
          <w:szCs w:val="22"/>
        </w:rPr>
        <w:t xml:space="preserve"> </w:t>
      </w:r>
      <w:r w:rsidR="004C5C7B">
        <w:rPr>
          <w:rFonts w:ascii="Arial" w:hAnsi="Arial" w:cs="Arial"/>
          <w:b/>
          <w:color w:val="FF0000"/>
          <w:sz w:val="22"/>
          <w:szCs w:val="22"/>
        </w:rPr>
        <w:t>All members present</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 xml:space="preserve">PLEDGE OF </w:t>
      </w:r>
      <w:proofErr w:type="gramStart"/>
      <w:r w:rsidRPr="00F207D6">
        <w:rPr>
          <w:rFonts w:ascii="Arial" w:hAnsi="Arial" w:cs="Arial"/>
          <w:b/>
          <w:sz w:val="22"/>
          <w:szCs w:val="22"/>
        </w:rPr>
        <w:t>ALLEGIANCE</w:t>
      </w:r>
      <w:r w:rsidR="005F52EB" w:rsidRPr="00F207D6">
        <w:rPr>
          <w:rFonts w:ascii="Arial" w:hAnsi="Arial" w:cs="Arial"/>
          <w:b/>
          <w:sz w:val="22"/>
          <w:szCs w:val="22"/>
        </w:rPr>
        <w:t xml:space="preserve"> </w:t>
      </w:r>
      <w:r w:rsidR="004C5C7B">
        <w:rPr>
          <w:rFonts w:ascii="Arial" w:hAnsi="Arial" w:cs="Arial"/>
          <w:b/>
          <w:sz w:val="22"/>
          <w:szCs w:val="22"/>
        </w:rPr>
        <w:t xml:space="preserve"> </w:t>
      </w:r>
      <w:r w:rsidR="004C5C7B">
        <w:rPr>
          <w:rFonts w:ascii="Arial" w:hAnsi="Arial" w:cs="Arial"/>
          <w:b/>
          <w:color w:val="FF0000"/>
          <w:sz w:val="22"/>
          <w:szCs w:val="22"/>
        </w:rPr>
        <w:t>Lead</w:t>
      </w:r>
      <w:proofErr w:type="gramEnd"/>
      <w:r w:rsidR="004C5C7B">
        <w:rPr>
          <w:rFonts w:ascii="Arial" w:hAnsi="Arial" w:cs="Arial"/>
          <w:b/>
          <w:color w:val="FF0000"/>
          <w:sz w:val="22"/>
          <w:szCs w:val="22"/>
        </w:rPr>
        <w:t xml:space="preserve"> by Justin Escobar</w:t>
      </w:r>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 xml:space="preserve">Board </w:t>
      </w:r>
      <w:proofErr w:type="gramStart"/>
      <w:r w:rsidRPr="00F207D6">
        <w:rPr>
          <w:rFonts w:ascii="Arial" w:hAnsi="Arial" w:cs="Arial"/>
          <w:b/>
          <w:sz w:val="22"/>
          <w:szCs w:val="22"/>
        </w:rPr>
        <w:t>Chairman’s  Report</w:t>
      </w:r>
      <w:proofErr w:type="gramEnd"/>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CE6694" w:rsidRDefault="00DF45E3" w:rsidP="00D20046">
      <w:pPr>
        <w:numPr>
          <w:ilvl w:val="1"/>
          <w:numId w:val="6"/>
        </w:numPr>
        <w:jc w:val="both"/>
        <w:rPr>
          <w:rFonts w:ascii="Arial" w:hAnsi="Arial" w:cs="Arial"/>
          <w:sz w:val="22"/>
          <w:szCs w:val="22"/>
        </w:rPr>
      </w:pPr>
      <w:r>
        <w:rPr>
          <w:rFonts w:ascii="Arial" w:hAnsi="Arial" w:cs="Arial"/>
          <w:sz w:val="22"/>
          <w:szCs w:val="22"/>
        </w:rPr>
        <w:t>Discussion and Action Receipt and Award of VFA Grant</w:t>
      </w:r>
      <w:r w:rsidR="004C5C7B">
        <w:rPr>
          <w:rFonts w:ascii="Arial" w:hAnsi="Arial" w:cs="Arial"/>
          <w:sz w:val="22"/>
          <w:szCs w:val="22"/>
        </w:rPr>
        <w:t xml:space="preserve">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r w:rsidR="004C5C7B">
        <w:rPr>
          <w:rFonts w:ascii="Arial" w:hAnsi="Arial" w:cs="Arial"/>
          <w:b/>
          <w:color w:val="FF0000"/>
          <w:sz w:val="22"/>
          <w:szCs w:val="22"/>
        </w:rPr>
        <w:t xml:space="preserve"> – Acceptance of grant from VFA</w:t>
      </w:r>
    </w:p>
    <w:p w:rsidR="00DF45E3" w:rsidRDefault="00DF45E3" w:rsidP="00D20046">
      <w:pPr>
        <w:numPr>
          <w:ilvl w:val="1"/>
          <w:numId w:val="6"/>
        </w:numPr>
        <w:jc w:val="both"/>
        <w:rPr>
          <w:rFonts w:ascii="Arial" w:hAnsi="Arial" w:cs="Arial"/>
          <w:sz w:val="22"/>
          <w:szCs w:val="22"/>
        </w:rPr>
      </w:pPr>
      <w:r>
        <w:rPr>
          <w:rFonts w:ascii="Arial" w:hAnsi="Arial" w:cs="Arial"/>
          <w:sz w:val="22"/>
          <w:szCs w:val="22"/>
        </w:rPr>
        <w:lastRenderedPageBreak/>
        <w:t>Discussion and Action for Board Support for Highway Safety Grant</w:t>
      </w:r>
      <w:r w:rsidR="004C5C7B">
        <w:rPr>
          <w:rFonts w:ascii="Arial" w:hAnsi="Arial" w:cs="Arial"/>
          <w:sz w:val="22"/>
          <w:szCs w:val="22"/>
        </w:rPr>
        <w:t xml:space="preserve">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r w:rsidR="004C5C7B">
        <w:rPr>
          <w:rFonts w:ascii="Arial" w:hAnsi="Arial" w:cs="Arial"/>
          <w:b/>
          <w:color w:val="FF0000"/>
          <w:sz w:val="22"/>
          <w:szCs w:val="22"/>
        </w:rPr>
        <w:t xml:space="preserve"> </w:t>
      </w:r>
      <w:r w:rsidR="004C5C7B">
        <w:rPr>
          <w:rFonts w:ascii="Arial" w:hAnsi="Arial" w:cs="Arial"/>
          <w:b/>
          <w:color w:val="FF0000"/>
          <w:sz w:val="22"/>
          <w:szCs w:val="22"/>
        </w:rPr>
        <w:t>– Submit Grant as written</w:t>
      </w:r>
    </w:p>
    <w:p w:rsidR="003E1F98" w:rsidRPr="00D20046" w:rsidRDefault="003E1F98" w:rsidP="003E1F98">
      <w:pPr>
        <w:numPr>
          <w:ilvl w:val="1"/>
          <w:numId w:val="6"/>
        </w:numPr>
        <w:jc w:val="both"/>
        <w:rPr>
          <w:rFonts w:ascii="Arial" w:hAnsi="Arial" w:cs="Arial"/>
          <w:sz w:val="22"/>
          <w:szCs w:val="22"/>
        </w:rPr>
      </w:pPr>
      <w:r>
        <w:rPr>
          <w:rFonts w:ascii="Arial" w:hAnsi="Arial" w:cs="Arial"/>
          <w:sz w:val="22"/>
          <w:szCs w:val="22"/>
        </w:rPr>
        <w:t>Discussion and Action for Board Support for FM Global Grant</w:t>
      </w:r>
      <w:r w:rsidR="004C5C7B">
        <w:rPr>
          <w:rFonts w:ascii="Arial" w:hAnsi="Arial" w:cs="Arial"/>
          <w:sz w:val="22"/>
          <w:szCs w:val="22"/>
        </w:rPr>
        <w:t xml:space="preserve">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r w:rsidR="004C5C7B">
        <w:rPr>
          <w:rFonts w:ascii="Arial" w:hAnsi="Arial" w:cs="Arial"/>
          <w:b/>
          <w:color w:val="FF0000"/>
          <w:sz w:val="22"/>
          <w:szCs w:val="22"/>
        </w:rPr>
        <w:t xml:space="preserve"> – Submit Grant as written</w:t>
      </w:r>
    </w:p>
    <w:p w:rsidR="003E1F98" w:rsidRPr="00D20046" w:rsidRDefault="003E1F98" w:rsidP="003E1F98">
      <w:pPr>
        <w:numPr>
          <w:ilvl w:val="1"/>
          <w:numId w:val="6"/>
        </w:numPr>
        <w:jc w:val="both"/>
        <w:rPr>
          <w:rFonts w:ascii="Arial" w:hAnsi="Arial" w:cs="Arial"/>
          <w:sz w:val="22"/>
          <w:szCs w:val="22"/>
        </w:rPr>
      </w:pPr>
      <w:r>
        <w:rPr>
          <w:rFonts w:ascii="Arial" w:hAnsi="Arial" w:cs="Arial"/>
          <w:sz w:val="22"/>
          <w:szCs w:val="22"/>
        </w:rPr>
        <w:t>Discussion and Action for Board Support for SAFER Grant</w:t>
      </w:r>
      <w:r w:rsidR="004C5C7B">
        <w:rPr>
          <w:rFonts w:ascii="Arial" w:hAnsi="Arial" w:cs="Arial"/>
          <w:sz w:val="22"/>
          <w:szCs w:val="22"/>
        </w:rPr>
        <w:t xml:space="preserve">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r w:rsidR="004C5C7B">
        <w:rPr>
          <w:rFonts w:ascii="Arial" w:hAnsi="Arial" w:cs="Arial"/>
          <w:b/>
          <w:color w:val="FF0000"/>
          <w:sz w:val="22"/>
          <w:szCs w:val="22"/>
        </w:rPr>
        <w:t xml:space="preserve"> – To run figures to see sustainability of positions after 2 year grant period. Possibly 6 part-time slots.</w:t>
      </w:r>
      <w:bookmarkStart w:id="0" w:name="_GoBack"/>
      <w:bookmarkEnd w:id="0"/>
    </w:p>
    <w:p w:rsidR="003E1F98" w:rsidRPr="00D20046" w:rsidRDefault="003E1F98" w:rsidP="00D20046">
      <w:pPr>
        <w:numPr>
          <w:ilvl w:val="1"/>
          <w:numId w:val="6"/>
        </w:numPr>
        <w:jc w:val="both"/>
        <w:rPr>
          <w:rFonts w:ascii="Arial" w:hAnsi="Arial" w:cs="Arial"/>
          <w:sz w:val="22"/>
          <w:szCs w:val="22"/>
        </w:rPr>
      </w:pPr>
      <w:r>
        <w:rPr>
          <w:rFonts w:ascii="Arial" w:hAnsi="Arial" w:cs="Arial"/>
          <w:sz w:val="22"/>
          <w:szCs w:val="22"/>
        </w:rPr>
        <w:t>Purchase of software for billing purposes</w:t>
      </w:r>
      <w:r w:rsidR="004C5C7B">
        <w:rPr>
          <w:rFonts w:ascii="Arial" w:hAnsi="Arial" w:cs="Arial"/>
          <w:sz w:val="22"/>
          <w:szCs w:val="22"/>
        </w:rPr>
        <w:t xml:space="preserve"> </w:t>
      </w:r>
      <w:r w:rsidR="004C5C7B">
        <w:rPr>
          <w:rFonts w:ascii="Arial" w:hAnsi="Arial" w:cs="Arial"/>
          <w:b/>
          <w:color w:val="FF0000"/>
          <w:sz w:val="22"/>
          <w:szCs w:val="22"/>
        </w:rPr>
        <w:t>Motion: Bob 2</w:t>
      </w:r>
      <w:r w:rsidR="004C5C7B" w:rsidRPr="004C5C7B">
        <w:rPr>
          <w:rFonts w:ascii="Arial" w:hAnsi="Arial" w:cs="Arial"/>
          <w:b/>
          <w:color w:val="FF0000"/>
          <w:sz w:val="22"/>
          <w:szCs w:val="22"/>
          <w:vertAlign w:val="superscript"/>
        </w:rPr>
        <w:t>nd</w:t>
      </w:r>
      <w:r w:rsidR="004C5C7B">
        <w:rPr>
          <w:rFonts w:ascii="Arial" w:hAnsi="Arial" w:cs="Arial"/>
          <w:b/>
          <w:color w:val="FF0000"/>
          <w:sz w:val="22"/>
          <w:szCs w:val="22"/>
        </w:rPr>
        <w:t>: Brenda</w:t>
      </w:r>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p>
    <w:p w:rsidR="0041087B" w:rsidRPr="00F207D6" w:rsidRDefault="0041087B" w:rsidP="0041087B">
      <w:pPr>
        <w:jc w:val="both"/>
        <w:rPr>
          <w:rFonts w:ascii="Arial" w:hAnsi="Arial" w:cs="Arial"/>
          <w:b/>
          <w:sz w:val="22"/>
          <w:szCs w:val="22"/>
        </w:rPr>
      </w:pPr>
    </w:p>
    <w:p w:rsidR="00416F03" w:rsidRPr="0006490E" w:rsidRDefault="00416F03" w:rsidP="00E50162">
      <w:pPr>
        <w:widowControl w:val="0"/>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 xml:space="preserve">and the Honolulu </w:t>
      </w:r>
      <w:r w:rsidR="003E1F98">
        <w:rPr>
          <w:rFonts w:ascii="Arial" w:hAnsi="Arial" w:cs="Arial"/>
          <w:sz w:val="24"/>
        </w:rPr>
        <w:t>Club on February 22</w:t>
      </w:r>
      <w:r w:rsidRPr="0006490E">
        <w:rPr>
          <w:rFonts w:ascii="Arial" w:hAnsi="Arial" w:cs="Arial"/>
          <w:sz w:val="24"/>
        </w:rPr>
        <w:t>, 201</w:t>
      </w:r>
      <w:r w:rsidR="00AD63EE">
        <w:rPr>
          <w:rFonts w:ascii="Arial" w:hAnsi="Arial" w:cs="Arial"/>
          <w:sz w:val="24"/>
        </w:rPr>
        <w:t>6</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4C5C7B">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54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3E1F98"/>
    <w:rsid w:val="004049D9"/>
    <w:rsid w:val="00405D83"/>
    <w:rsid w:val="0041087B"/>
    <w:rsid w:val="00416F03"/>
    <w:rsid w:val="00417E95"/>
    <w:rsid w:val="00432916"/>
    <w:rsid w:val="00446E45"/>
    <w:rsid w:val="00466B32"/>
    <w:rsid w:val="004A235C"/>
    <w:rsid w:val="004C5C7B"/>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62D3D"/>
    <w:rsid w:val="0098217F"/>
    <w:rsid w:val="009846EA"/>
    <w:rsid w:val="009B2208"/>
    <w:rsid w:val="009B2468"/>
    <w:rsid w:val="009D7BD2"/>
    <w:rsid w:val="009E54BF"/>
    <w:rsid w:val="009F1307"/>
    <w:rsid w:val="00A47780"/>
    <w:rsid w:val="00A53D47"/>
    <w:rsid w:val="00A70619"/>
    <w:rsid w:val="00A778B2"/>
    <w:rsid w:val="00A83898"/>
    <w:rsid w:val="00A951C7"/>
    <w:rsid w:val="00AA72B7"/>
    <w:rsid w:val="00AC1EE3"/>
    <w:rsid w:val="00AD0FD7"/>
    <w:rsid w:val="00AD63EE"/>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CE6694"/>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DF45E3"/>
    <w:rsid w:val="00E039BD"/>
    <w:rsid w:val="00E108B6"/>
    <w:rsid w:val="00E26D7A"/>
    <w:rsid w:val="00E31467"/>
    <w:rsid w:val="00E41AEA"/>
    <w:rsid w:val="00E50162"/>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26D42FFF"/>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214D-7996-4A04-92D3-361D1AE2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2</cp:revision>
  <cp:lastPrinted>2016-02-22T20:16:00Z</cp:lastPrinted>
  <dcterms:created xsi:type="dcterms:W3CDTF">2016-02-25T18:55:00Z</dcterms:created>
  <dcterms:modified xsi:type="dcterms:W3CDTF">2016-02-25T18:55:00Z</dcterms:modified>
</cp:coreProperties>
</file>