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90BA" w14:textId="514640FA" w:rsidR="00DE5E99" w:rsidRDefault="00DE5E99" w:rsidP="00EB61EB">
      <w:pPr>
        <w:pStyle w:val="NormalWeb"/>
        <w:shd w:val="clear" w:color="auto" w:fill="FFFFFF"/>
        <w:spacing w:before="0" w:beforeAutospacing="0" w:after="0" w:afterAutospacing="0"/>
        <w:rPr>
          <w:rStyle w:val="lev"/>
          <w:rFonts w:ascii="inherit" w:hAnsi="inherit" w:cs="Arial"/>
          <w:color w:val="626D78"/>
          <w:sz w:val="27"/>
          <w:szCs w:val="27"/>
          <w:bdr w:val="none" w:sz="0" w:space="0" w:color="auto" w:frame="1"/>
        </w:rPr>
      </w:pPr>
      <w:r>
        <w:rPr>
          <w:noProof/>
        </w:rPr>
        <w:drawing>
          <wp:inline distT="0" distB="0" distL="0" distR="0" wp14:anchorId="0F378C18" wp14:editId="61061CF4">
            <wp:extent cx="1003935" cy="962025"/>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956" cy="965878"/>
                    </a:xfrm>
                    <a:prstGeom prst="rect">
                      <a:avLst/>
                    </a:prstGeom>
                    <a:noFill/>
                    <a:ln>
                      <a:noFill/>
                    </a:ln>
                  </pic:spPr>
                </pic:pic>
              </a:graphicData>
            </a:graphic>
          </wp:inline>
        </w:drawing>
      </w:r>
    </w:p>
    <w:p w14:paraId="0999184F" w14:textId="77777777" w:rsidR="00DE5E99" w:rsidRDefault="00DE5E99" w:rsidP="00EB61EB">
      <w:pPr>
        <w:pStyle w:val="NormalWeb"/>
        <w:shd w:val="clear" w:color="auto" w:fill="FFFFFF"/>
        <w:spacing w:before="0" w:beforeAutospacing="0" w:after="0" w:afterAutospacing="0"/>
        <w:rPr>
          <w:rStyle w:val="lev"/>
          <w:rFonts w:ascii="inherit" w:hAnsi="inherit" w:cs="Arial"/>
          <w:color w:val="626D78"/>
          <w:sz w:val="27"/>
          <w:szCs w:val="27"/>
          <w:bdr w:val="none" w:sz="0" w:space="0" w:color="auto" w:frame="1"/>
        </w:rPr>
      </w:pPr>
    </w:p>
    <w:p w14:paraId="5A32AE07" w14:textId="77777777" w:rsidR="00AB185D" w:rsidRDefault="00AB185D" w:rsidP="00DE5E99">
      <w:pPr>
        <w:pStyle w:val="NormalWeb"/>
        <w:shd w:val="clear" w:color="auto" w:fill="FFFFFF"/>
        <w:spacing w:before="0" w:beforeAutospacing="0" w:after="0" w:afterAutospacing="0"/>
        <w:jc w:val="both"/>
        <w:rPr>
          <w:rStyle w:val="lev"/>
          <w:rFonts w:asciiTheme="minorHAnsi" w:hAnsiTheme="minorHAnsi" w:cstheme="minorHAnsi"/>
          <w:color w:val="626D78"/>
          <w:bdr w:val="none" w:sz="0" w:space="0" w:color="auto" w:frame="1"/>
        </w:rPr>
      </w:pPr>
    </w:p>
    <w:p w14:paraId="3B4EFDBF" w14:textId="77777777" w:rsidR="00AB185D" w:rsidRDefault="00AB185D" w:rsidP="00AB185D">
      <w:r>
        <w:t xml:space="preserve">Octobre 2020 </w:t>
      </w:r>
    </w:p>
    <w:p w14:paraId="0F333A44" w14:textId="77777777" w:rsidR="00AB185D" w:rsidRDefault="00AB185D" w:rsidP="00DE5E99">
      <w:pPr>
        <w:pStyle w:val="NormalWeb"/>
        <w:shd w:val="clear" w:color="auto" w:fill="FFFFFF"/>
        <w:spacing w:before="0" w:beforeAutospacing="0" w:after="0" w:afterAutospacing="0"/>
        <w:jc w:val="both"/>
        <w:rPr>
          <w:rStyle w:val="lev"/>
          <w:rFonts w:asciiTheme="minorHAnsi" w:hAnsiTheme="minorHAnsi" w:cstheme="minorHAnsi"/>
          <w:color w:val="626D78"/>
          <w:bdr w:val="none" w:sz="0" w:space="0" w:color="auto" w:frame="1"/>
        </w:rPr>
      </w:pPr>
    </w:p>
    <w:p w14:paraId="35539B09" w14:textId="654B2765" w:rsidR="00EB61EB" w:rsidRDefault="00EB61EB" w:rsidP="00DE5E99">
      <w:pPr>
        <w:pStyle w:val="NormalWeb"/>
        <w:shd w:val="clear" w:color="auto" w:fill="FFFFFF"/>
        <w:spacing w:before="0" w:beforeAutospacing="0" w:after="0" w:afterAutospacing="0"/>
        <w:jc w:val="both"/>
        <w:rPr>
          <w:rStyle w:val="lev"/>
          <w:rFonts w:asciiTheme="minorHAnsi" w:hAnsiTheme="minorHAnsi" w:cstheme="minorHAnsi"/>
          <w:color w:val="626D78"/>
          <w:bdr w:val="none" w:sz="0" w:space="0" w:color="auto" w:frame="1"/>
        </w:rPr>
      </w:pPr>
      <w:r w:rsidRPr="00DE5E99">
        <w:rPr>
          <w:rStyle w:val="lev"/>
          <w:rFonts w:asciiTheme="minorHAnsi" w:hAnsiTheme="minorHAnsi" w:cstheme="minorHAnsi"/>
          <w:color w:val="626D78"/>
          <w:bdr w:val="none" w:sz="0" w:space="0" w:color="auto" w:frame="1"/>
        </w:rPr>
        <w:t xml:space="preserve">Une réglementation nationale imposant à un fournisseur de services de communications électroniques la transmission ou la conservation généralisée et indifférenciée de données relatives au trafic et à la localisation, à des fins de lutte contre les infractions ou de sauvegarde de la sécurité nationale, est contraire au droit de l’Union européenne </w:t>
      </w:r>
    </w:p>
    <w:p w14:paraId="1A91829C" w14:textId="5B4C538B" w:rsidR="00DE5E99" w:rsidRDefault="00DE5E99" w:rsidP="00DE5E99">
      <w:pPr>
        <w:pStyle w:val="NormalWeb"/>
        <w:shd w:val="clear" w:color="auto" w:fill="FFFFFF"/>
        <w:spacing w:before="0" w:beforeAutospacing="0" w:after="0" w:afterAutospacing="0"/>
        <w:jc w:val="both"/>
        <w:rPr>
          <w:rStyle w:val="lev"/>
          <w:rFonts w:asciiTheme="minorHAnsi" w:hAnsiTheme="minorHAnsi" w:cstheme="minorHAnsi"/>
          <w:color w:val="626D78"/>
          <w:bdr w:val="none" w:sz="0" w:space="0" w:color="auto" w:frame="1"/>
        </w:rPr>
      </w:pPr>
    </w:p>
    <w:p w14:paraId="5A8100F1" w14:textId="77777777" w:rsidR="00DE5E99" w:rsidRPr="00DE5E99" w:rsidRDefault="00DE5E99" w:rsidP="00DE5E99">
      <w:pPr>
        <w:pStyle w:val="NormalWeb"/>
        <w:shd w:val="clear" w:color="auto" w:fill="FFFFFF"/>
        <w:spacing w:before="0" w:beforeAutospacing="0" w:after="0" w:afterAutospacing="0"/>
        <w:jc w:val="both"/>
        <w:rPr>
          <w:rFonts w:asciiTheme="minorHAnsi" w:hAnsiTheme="minorHAnsi" w:cstheme="minorHAnsi"/>
          <w:color w:val="626D78"/>
        </w:rPr>
      </w:pPr>
    </w:p>
    <w:p w14:paraId="0F3C91A9" w14:textId="77777777" w:rsidR="00DE5E99" w:rsidRDefault="00DE5E99" w:rsidP="00DE5E99">
      <w:pPr>
        <w:pStyle w:val="NormalWeb"/>
        <w:shd w:val="clear" w:color="auto" w:fill="FFFFFF"/>
        <w:spacing w:before="0" w:beforeAutospacing="0" w:after="0" w:afterAutospacing="0"/>
        <w:jc w:val="both"/>
        <w:rPr>
          <w:rFonts w:asciiTheme="minorHAnsi" w:hAnsiTheme="minorHAnsi" w:cstheme="minorHAnsi"/>
          <w:color w:val="626D78"/>
        </w:rPr>
      </w:pPr>
      <w:r>
        <w:rPr>
          <w:rFonts w:asciiTheme="minorHAnsi" w:hAnsiTheme="minorHAnsi" w:cstheme="minorHAnsi"/>
          <w:color w:val="626D78"/>
        </w:rPr>
        <w:t>Sur s</w:t>
      </w:r>
      <w:r w:rsidR="00EB61EB" w:rsidRPr="00DE5E99">
        <w:rPr>
          <w:rFonts w:asciiTheme="minorHAnsi" w:hAnsiTheme="minorHAnsi" w:cstheme="minorHAnsi"/>
          <w:color w:val="626D78"/>
        </w:rPr>
        <w:t>aisie de renvois préjudiciels par</w:t>
      </w:r>
      <w:r>
        <w:rPr>
          <w:rFonts w:asciiTheme="minorHAnsi" w:hAnsiTheme="minorHAnsi" w:cstheme="minorHAnsi"/>
          <w:color w:val="626D78"/>
        </w:rPr>
        <w:t xml:space="preserve"> </w:t>
      </w:r>
      <w:r w:rsidR="00EB61EB" w:rsidRPr="00DE5E99">
        <w:rPr>
          <w:rFonts w:asciiTheme="minorHAnsi" w:hAnsiTheme="minorHAnsi" w:cstheme="minorHAnsi"/>
          <w:color w:val="626D78"/>
        </w:rPr>
        <w:t>l’</w:t>
      </w:r>
      <w:proofErr w:type="spellStart"/>
      <w:r w:rsidR="00EB61EB" w:rsidRPr="00DE5E99">
        <w:rPr>
          <w:rFonts w:asciiTheme="minorHAnsi" w:hAnsiTheme="minorHAnsi" w:cstheme="minorHAnsi"/>
          <w:color w:val="626D78"/>
        </w:rPr>
        <w:t>Investigatory</w:t>
      </w:r>
      <w:proofErr w:type="spellEnd"/>
      <w:r w:rsidR="00EB61EB" w:rsidRPr="00DE5E99">
        <w:rPr>
          <w:rFonts w:asciiTheme="minorHAnsi" w:hAnsiTheme="minorHAnsi" w:cstheme="minorHAnsi"/>
          <w:color w:val="626D78"/>
        </w:rPr>
        <w:t xml:space="preserve"> Powers Tribunal (Royaume-Uni)</w:t>
      </w:r>
      <w:r>
        <w:rPr>
          <w:rFonts w:asciiTheme="minorHAnsi" w:hAnsiTheme="minorHAnsi" w:cstheme="minorHAnsi"/>
          <w:color w:val="626D78"/>
        </w:rPr>
        <w:t xml:space="preserve"> , </w:t>
      </w:r>
      <w:r w:rsidR="00EB61EB" w:rsidRPr="00DE5E99">
        <w:rPr>
          <w:rFonts w:asciiTheme="minorHAnsi" w:hAnsiTheme="minorHAnsi" w:cstheme="minorHAnsi"/>
          <w:color w:val="626D78"/>
        </w:rPr>
        <w:t>le Conseil d’Etat (France) et la Cour constitutionnelle (Belgique), la Cour de justice de l’Union européenne a interprété la </w:t>
      </w:r>
      <w:hyperlink r:id="rId5" w:tgtFrame="_blank" w:history="1">
        <w:r w:rsidR="00EB61EB" w:rsidRPr="00DE5E99">
          <w:rPr>
            <w:rStyle w:val="Lienhypertexte"/>
            <w:rFonts w:asciiTheme="minorHAnsi" w:hAnsiTheme="minorHAnsi" w:cstheme="minorHAnsi"/>
            <w:color w:val="53B8BA"/>
            <w:bdr w:val="none" w:sz="0" w:space="0" w:color="auto" w:frame="1"/>
          </w:rPr>
          <w:t>directive 2002/58/CE</w:t>
        </w:r>
      </w:hyperlink>
      <w:r w:rsidR="00EB61EB" w:rsidRPr="00DE5E99">
        <w:rPr>
          <w:rFonts w:asciiTheme="minorHAnsi" w:hAnsiTheme="minorHAnsi" w:cstheme="minorHAnsi"/>
          <w:color w:val="626D78"/>
        </w:rPr>
        <w:t xml:space="preserve"> concernant le traitement des données à caractère personnel et la protection de la vie privée dans le secteur des communications électroniques. La Cour souligne que des règlementations telles que celles en </w:t>
      </w:r>
      <w:proofErr w:type="gramStart"/>
      <w:r w:rsidR="00EB61EB" w:rsidRPr="00DE5E99">
        <w:rPr>
          <w:rFonts w:asciiTheme="minorHAnsi" w:hAnsiTheme="minorHAnsi" w:cstheme="minorHAnsi"/>
          <w:color w:val="626D78"/>
        </w:rPr>
        <w:t>cause</w:t>
      </w:r>
      <w:proofErr w:type="gramEnd"/>
      <w:r w:rsidR="00EB61EB" w:rsidRPr="00DE5E99">
        <w:rPr>
          <w:rFonts w:asciiTheme="minorHAnsi" w:hAnsiTheme="minorHAnsi" w:cstheme="minorHAnsi"/>
          <w:color w:val="626D78"/>
        </w:rPr>
        <w:t xml:space="preserve"> relèvent du champ d’application de la directive. Cette directive n’autorisant de dérogation ni à l’obligation de garantir la confidentialité des communications électroniques et des données y afférentes ni </w:t>
      </w:r>
      <w:proofErr w:type="spellStart"/>
      <w:r w:rsidR="00EB61EB" w:rsidRPr="00DE5E99">
        <w:rPr>
          <w:rFonts w:asciiTheme="minorHAnsi" w:hAnsiTheme="minorHAnsi" w:cstheme="minorHAnsi"/>
          <w:color w:val="626D78"/>
        </w:rPr>
        <w:t>a</w:t>
      </w:r>
      <w:proofErr w:type="spellEnd"/>
      <w:r w:rsidR="00EB61EB" w:rsidRPr="00DE5E99">
        <w:rPr>
          <w:rFonts w:asciiTheme="minorHAnsi" w:hAnsiTheme="minorHAnsi" w:cstheme="minorHAnsi"/>
          <w:color w:val="626D78"/>
        </w:rPr>
        <w:t xml:space="preserve">̀ l’interdiction de conservation généralisée de ces données, les Etats membres ne peuvent adopter des mesures législatives visant, à des fins de sécurité nationale, à limiter des droits tirés de ses obligations. </w:t>
      </w:r>
    </w:p>
    <w:p w14:paraId="79CDC00F" w14:textId="77777777" w:rsidR="00DE5E99" w:rsidRDefault="00DE5E99" w:rsidP="00DE5E99">
      <w:pPr>
        <w:pStyle w:val="NormalWeb"/>
        <w:shd w:val="clear" w:color="auto" w:fill="FFFFFF"/>
        <w:spacing w:before="0" w:beforeAutospacing="0" w:after="0" w:afterAutospacing="0"/>
        <w:jc w:val="both"/>
        <w:rPr>
          <w:rFonts w:asciiTheme="minorHAnsi" w:hAnsiTheme="minorHAnsi" w:cstheme="minorHAnsi"/>
          <w:color w:val="626D78"/>
        </w:rPr>
      </w:pPr>
    </w:p>
    <w:p w14:paraId="48CDD31C" w14:textId="2791CA6A" w:rsidR="00EB61EB" w:rsidRDefault="00EB61EB" w:rsidP="00DE5E99">
      <w:pPr>
        <w:pStyle w:val="NormalWeb"/>
        <w:shd w:val="clear" w:color="auto" w:fill="FFFFFF"/>
        <w:spacing w:before="0" w:beforeAutospacing="0" w:after="0" w:afterAutospacing="0"/>
        <w:jc w:val="both"/>
        <w:rPr>
          <w:rFonts w:asciiTheme="minorHAnsi" w:hAnsiTheme="minorHAnsi" w:cstheme="minorHAnsi"/>
          <w:color w:val="626D78"/>
        </w:rPr>
      </w:pPr>
      <w:r w:rsidRPr="00DE5E99">
        <w:rPr>
          <w:rFonts w:asciiTheme="minorHAnsi" w:hAnsiTheme="minorHAnsi" w:cstheme="minorHAnsi"/>
          <w:color w:val="626D78"/>
        </w:rPr>
        <w:t>En revanche, dans une situation de menace grave, réelle et prévisible pour la sécurité nationale, les fournisseurs de services de communications électroniques peuvent être tenus de conserver de manière généralisée et indifférenciée des données relatives au trafic et à la localisation pour une durée limitée au strict nécessaire. La décision prévoyant cette injonction doit, cependant, faire l’objet d’un contrôle effectif, soit par une juridiction, soit par une entité administrative indépendante. En outre, si l’admissibilité et l’appréciation d’éléments de preuve obtenus par une conservation de données contraire au droit de l’Union dans le cadre d’une procédure pénale ouverte à l’encontre de personnes soupçonnées d’actes de criminalité grave relève du droit national, le juge national est tenu d’écarter des éléments de preuve ainsi obtenus.</w:t>
      </w:r>
    </w:p>
    <w:p w14:paraId="1F0F10F0" w14:textId="77777777" w:rsidR="00AB185D" w:rsidRPr="00DE5E99" w:rsidRDefault="00AB185D" w:rsidP="00DE5E99">
      <w:pPr>
        <w:pStyle w:val="NormalWeb"/>
        <w:shd w:val="clear" w:color="auto" w:fill="FFFFFF"/>
        <w:spacing w:before="0" w:beforeAutospacing="0" w:after="0" w:afterAutospacing="0"/>
        <w:jc w:val="both"/>
        <w:rPr>
          <w:rFonts w:asciiTheme="minorHAnsi" w:hAnsiTheme="minorHAnsi" w:cstheme="minorHAnsi"/>
          <w:color w:val="626D78"/>
        </w:rPr>
      </w:pPr>
    </w:p>
    <w:p w14:paraId="3BA44257" w14:textId="77777777" w:rsidR="00AB185D" w:rsidRDefault="00AB185D" w:rsidP="00AB185D">
      <w:pPr>
        <w:pStyle w:val="NormalWeb"/>
        <w:shd w:val="clear" w:color="auto" w:fill="FFFFFF"/>
        <w:spacing w:before="0" w:beforeAutospacing="0" w:after="0" w:afterAutospacing="0"/>
        <w:jc w:val="both"/>
        <w:rPr>
          <w:rFonts w:asciiTheme="minorHAnsi" w:hAnsiTheme="minorHAnsi" w:cstheme="minorHAnsi"/>
          <w:color w:val="626D78"/>
        </w:rPr>
      </w:pPr>
      <w:r>
        <w:rPr>
          <w:rStyle w:val="Accentuation"/>
          <w:rFonts w:asciiTheme="minorHAnsi" w:hAnsiTheme="minorHAnsi" w:cstheme="minorHAnsi"/>
          <w:color w:val="626D78"/>
          <w:bdr w:val="none" w:sz="0" w:space="0" w:color="auto" w:frame="1"/>
        </w:rPr>
        <w:t>(</w:t>
      </w:r>
      <w:r w:rsidRPr="00DE5E99">
        <w:rPr>
          <w:rStyle w:val="Accentuation"/>
          <w:rFonts w:asciiTheme="minorHAnsi" w:hAnsiTheme="minorHAnsi" w:cstheme="minorHAnsi"/>
          <w:color w:val="626D78"/>
          <w:bdr w:val="none" w:sz="0" w:space="0" w:color="auto" w:frame="1"/>
        </w:rPr>
        <w:t xml:space="preserve">Arrêts </w:t>
      </w:r>
      <w:proofErr w:type="spellStart"/>
      <w:r w:rsidRPr="00DE5E99">
        <w:rPr>
          <w:rStyle w:val="Accentuation"/>
          <w:rFonts w:asciiTheme="minorHAnsi" w:hAnsiTheme="minorHAnsi" w:cstheme="minorHAnsi"/>
          <w:color w:val="626D78"/>
          <w:bdr w:val="none" w:sz="0" w:space="0" w:color="auto" w:frame="1"/>
        </w:rPr>
        <w:t>Privacy</w:t>
      </w:r>
      <w:proofErr w:type="spellEnd"/>
      <w:r w:rsidRPr="00DE5E99">
        <w:rPr>
          <w:rStyle w:val="Accentuation"/>
          <w:rFonts w:asciiTheme="minorHAnsi" w:hAnsiTheme="minorHAnsi" w:cstheme="minorHAnsi"/>
          <w:color w:val="626D78"/>
          <w:bdr w:val="none" w:sz="0" w:space="0" w:color="auto" w:frame="1"/>
        </w:rPr>
        <w:t xml:space="preserve"> International, </w:t>
      </w:r>
      <w:proofErr w:type="spellStart"/>
      <w:r w:rsidRPr="00DE5E99">
        <w:rPr>
          <w:rStyle w:val="Accentuation"/>
          <w:rFonts w:asciiTheme="minorHAnsi" w:hAnsiTheme="minorHAnsi" w:cstheme="minorHAnsi"/>
          <w:color w:val="626D78"/>
          <w:bdr w:val="none" w:sz="0" w:space="0" w:color="auto" w:frame="1"/>
        </w:rPr>
        <w:t>aff.</w:t>
      </w:r>
      <w:proofErr w:type="spellEnd"/>
      <w:r w:rsidRPr="00DE5E99">
        <w:rPr>
          <w:rStyle w:val="Accentuation"/>
          <w:rFonts w:asciiTheme="minorHAnsi" w:hAnsiTheme="minorHAnsi" w:cstheme="minorHAnsi"/>
          <w:color w:val="626D78"/>
          <w:bdr w:val="none" w:sz="0" w:space="0" w:color="auto" w:frame="1"/>
        </w:rPr>
        <w:t> </w:t>
      </w:r>
      <w:hyperlink r:id="rId6" w:tgtFrame="_blank" w:history="1">
        <w:r w:rsidRPr="00DE5E99">
          <w:rPr>
            <w:rStyle w:val="Accentuation"/>
            <w:rFonts w:asciiTheme="minorHAnsi" w:hAnsiTheme="minorHAnsi" w:cstheme="minorHAnsi"/>
            <w:color w:val="53B8BA"/>
            <w:bdr w:val="none" w:sz="0" w:space="0" w:color="auto" w:frame="1"/>
          </w:rPr>
          <w:t>C-623/17</w:t>
        </w:r>
      </w:hyperlink>
      <w:r w:rsidRPr="00DE5E99">
        <w:rPr>
          <w:rStyle w:val="Accentuation"/>
          <w:rFonts w:asciiTheme="minorHAnsi" w:hAnsiTheme="minorHAnsi" w:cstheme="minorHAnsi"/>
          <w:color w:val="626D78"/>
          <w:bdr w:val="none" w:sz="0" w:space="0" w:color="auto" w:frame="1"/>
        </w:rPr>
        <w:t xml:space="preserve"> et La Quadrature du Net e.a., </w:t>
      </w:r>
      <w:proofErr w:type="spellStart"/>
      <w:r w:rsidRPr="00DE5E99">
        <w:rPr>
          <w:rStyle w:val="Accentuation"/>
          <w:rFonts w:asciiTheme="minorHAnsi" w:hAnsiTheme="minorHAnsi" w:cstheme="minorHAnsi"/>
          <w:color w:val="626D78"/>
          <w:bdr w:val="none" w:sz="0" w:space="0" w:color="auto" w:frame="1"/>
        </w:rPr>
        <w:t>aff.</w:t>
      </w:r>
      <w:proofErr w:type="spellEnd"/>
      <w:r w:rsidRPr="00DE5E99">
        <w:rPr>
          <w:rStyle w:val="Accentuation"/>
          <w:rFonts w:asciiTheme="minorHAnsi" w:hAnsiTheme="minorHAnsi" w:cstheme="minorHAnsi"/>
          <w:color w:val="626D78"/>
          <w:bdr w:val="none" w:sz="0" w:space="0" w:color="auto" w:frame="1"/>
        </w:rPr>
        <w:t xml:space="preserve"> jointes </w:t>
      </w:r>
      <w:hyperlink r:id="rId7" w:tgtFrame="_blank" w:history="1">
        <w:r w:rsidRPr="00DE5E99">
          <w:rPr>
            <w:rStyle w:val="Accentuation"/>
            <w:rFonts w:asciiTheme="minorHAnsi" w:hAnsiTheme="minorHAnsi" w:cstheme="minorHAnsi"/>
            <w:color w:val="53B8BA"/>
            <w:bdr w:val="none" w:sz="0" w:space="0" w:color="auto" w:frame="1"/>
          </w:rPr>
          <w:t>C-511/18, C-512/18 et C-520/18</w:t>
        </w:r>
      </w:hyperlink>
      <w:r>
        <w:rPr>
          <w:rFonts w:asciiTheme="minorHAnsi" w:hAnsiTheme="minorHAnsi" w:cstheme="minorHAnsi"/>
          <w:color w:val="626D78"/>
        </w:rPr>
        <w:t>)</w:t>
      </w:r>
      <w:r w:rsidRPr="00DE5E99">
        <w:rPr>
          <w:rFonts w:asciiTheme="minorHAnsi" w:hAnsiTheme="minorHAnsi" w:cstheme="minorHAnsi"/>
          <w:color w:val="626D78"/>
        </w:rPr>
        <w:t> </w:t>
      </w:r>
    </w:p>
    <w:p w14:paraId="3D03B22F" w14:textId="1B0CC486" w:rsidR="00A30F43" w:rsidRDefault="00AB185D" w:rsidP="00DE5E99">
      <w:pPr>
        <w:jc w:val="both"/>
        <w:rPr>
          <w:rFonts w:cstheme="minorHAnsi"/>
          <w:sz w:val="24"/>
          <w:szCs w:val="24"/>
        </w:rPr>
      </w:pPr>
    </w:p>
    <w:p w14:paraId="53DC0B24" w14:textId="77777777" w:rsidR="00AB185D" w:rsidRPr="00DE5E99" w:rsidRDefault="00AB185D" w:rsidP="00DE5E99">
      <w:pPr>
        <w:jc w:val="both"/>
        <w:rPr>
          <w:rFonts w:cstheme="minorHAnsi"/>
          <w:sz w:val="24"/>
          <w:szCs w:val="24"/>
        </w:rPr>
      </w:pPr>
    </w:p>
    <w:sectPr w:rsidR="00AB185D" w:rsidRPr="00DE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EB"/>
    <w:rsid w:val="0050404F"/>
    <w:rsid w:val="00846597"/>
    <w:rsid w:val="00AB185D"/>
    <w:rsid w:val="00DE5E99"/>
    <w:rsid w:val="00EB6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5360"/>
  <w15:chartTrackingRefBased/>
  <w15:docId w15:val="{A5885CA4-D2B3-4A2A-85F4-91D5C985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61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61EB"/>
    <w:rPr>
      <w:b/>
      <w:bCs/>
    </w:rPr>
  </w:style>
  <w:style w:type="character" w:styleId="Accentuation">
    <w:name w:val="Emphasis"/>
    <w:basedOn w:val="Policepardfaut"/>
    <w:uiPriority w:val="20"/>
    <w:qFormat/>
    <w:rsid w:val="00EB61EB"/>
    <w:rPr>
      <w:i/>
      <w:iCs/>
    </w:rPr>
  </w:style>
  <w:style w:type="character" w:styleId="Lienhypertexte">
    <w:name w:val="Hyperlink"/>
    <w:basedOn w:val="Policepardfaut"/>
    <w:uiPriority w:val="99"/>
    <w:semiHidden/>
    <w:unhideWhenUsed/>
    <w:rsid w:val="00EB6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8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uria.europa.eu/juris/document/document.jsf?text=&amp;docid=232084&amp;pageIndex=0&amp;doclang=fr&amp;mode=lst&amp;dir=&amp;occ=first&amp;part=1&amp;cid=6755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uris/document/document.jsf?text=&amp;docid=232083&amp;pageIndex=0&amp;doclang=fr&amp;mode=lst&amp;dir=&amp;occ=first&amp;part=1&amp;cid=6755062" TargetMode="External"/><Relationship Id="rId5" Type="http://schemas.openxmlformats.org/officeDocument/2006/relationships/hyperlink" Target="https://eur-lex.europa.eu/legal-content/FR/TXT/PDF/?uri=CELEX:32002L0058&amp;from=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bannes.frederique@orange.fr</dc:creator>
  <cp:keywords/>
  <dc:description/>
  <cp:lastModifiedBy>bannes.frederique@orange.fr</cp:lastModifiedBy>
  <cp:revision>3</cp:revision>
  <dcterms:created xsi:type="dcterms:W3CDTF">2020-10-31T16:07:00Z</dcterms:created>
  <dcterms:modified xsi:type="dcterms:W3CDTF">2020-10-31T16:12:00Z</dcterms:modified>
</cp:coreProperties>
</file>