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58FA7" w14:textId="0DF15CFC" w:rsidR="009956B2" w:rsidRDefault="009956B2" w:rsidP="009956B2"/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495"/>
        <w:gridCol w:w="8330"/>
        <w:gridCol w:w="1705"/>
      </w:tblGrid>
      <w:tr w:rsidR="00204C14" w14:paraId="4C09641B" w14:textId="77777777" w:rsidTr="00204C14">
        <w:trPr>
          <w:tblHeader/>
        </w:trPr>
        <w:tc>
          <w:tcPr>
            <w:tcW w:w="10530" w:type="dxa"/>
            <w:gridSpan w:val="3"/>
          </w:tcPr>
          <w:p w14:paraId="171F562A" w14:textId="77777777" w:rsidR="00204C14" w:rsidRDefault="00204C14" w:rsidP="009956B2">
            <w:pPr>
              <w:rPr>
                <w:b/>
                <w:bCs/>
              </w:rPr>
            </w:pPr>
          </w:p>
          <w:p w14:paraId="69006C28" w14:textId="49492BBA" w:rsidR="00204C14" w:rsidRDefault="00204C14" w:rsidP="009956B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Employee Name:__________________________________________________  Date: ________________________                                                                  </w:t>
            </w:r>
          </w:p>
          <w:p w14:paraId="26B8FC99" w14:textId="77777777" w:rsidR="00204C14" w:rsidRDefault="00204C14" w:rsidP="009956B2">
            <w:pPr>
              <w:rPr>
                <w:b/>
                <w:bCs/>
              </w:rPr>
            </w:pPr>
          </w:p>
          <w:p w14:paraId="521D606F" w14:textId="283949B3" w:rsidR="00204C14" w:rsidRPr="00204C14" w:rsidRDefault="00204C14" w:rsidP="00204C14">
            <w:pPr>
              <w:jc w:val="center"/>
              <w:rPr>
                <w:b/>
                <w:bCs/>
              </w:rPr>
            </w:pPr>
            <w:r w:rsidRPr="00204C14">
              <w:rPr>
                <w:b/>
                <w:bCs/>
              </w:rPr>
              <w:t>Directions:  Carefully read each statement and then circle TRUE or FALSE</w:t>
            </w:r>
          </w:p>
        </w:tc>
      </w:tr>
      <w:tr w:rsidR="009956B2" w14:paraId="0E7273D3" w14:textId="77777777" w:rsidTr="00A95559">
        <w:tc>
          <w:tcPr>
            <w:tcW w:w="495" w:type="dxa"/>
          </w:tcPr>
          <w:p w14:paraId="3E294150" w14:textId="22AF5849" w:rsidR="009956B2" w:rsidRPr="009956B2" w:rsidRDefault="009956B2" w:rsidP="009956B2">
            <w:r>
              <w:t>1.</w:t>
            </w:r>
          </w:p>
        </w:tc>
        <w:tc>
          <w:tcPr>
            <w:tcW w:w="8330" w:type="dxa"/>
          </w:tcPr>
          <w:p w14:paraId="5DAA1261" w14:textId="092BA606" w:rsidR="009956B2" w:rsidRDefault="009956B2" w:rsidP="009956B2">
            <w:r w:rsidRPr="009956B2">
              <w:t xml:space="preserve">Advance directives are documents which state a person’s choice about medical treatment or names someone to make decisions about medical treatment if they </w:t>
            </w:r>
            <w:r>
              <w:t>c</w:t>
            </w:r>
            <w:r w:rsidRPr="009956B2">
              <w:t>annot make their own decisions.</w:t>
            </w:r>
          </w:p>
        </w:tc>
        <w:tc>
          <w:tcPr>
            <w:tcW w:w="1705" w:type="dxa"/>
          </w:tcPr>
          <w:p w14:paraId="608FF9E3" w14:textId="45177C8F" w:rsidR="009956B2" w:rsidRPr="00313C6D" w:rsidRDefault="009956B2" w:rsidP="009956B2">
            <w:r w:rsidRPr="00313C6D">
              <w:t>TRUE        FALSE</w:t>
            </w:r>
          </w:p>
        </w:tc>
      </w:tr>
      <w:tr w:rsidR="009956B2" w14:paraId="5827C420" w14:textId="77777777" w:rsidTr="00A95559">
        <w:tc>
          <w:tcPr>
            <w:tcW w:w="495" w:type="dxa"/>
          </w:tcPr>
          <w:p w14:paraId="61DF1EAE" w14:textId="553B10EE" w:rsidR="009956B2" w:rsidRDefault="009956B2" w:rsidP="009956B2">
            <w:r>
              <w:t xml:space="preserve">2. </w:t>
            </w:r>
          </w:p>
        </w:tc>
        <w:tc>
          <w:tcPr>
            <w:tcW w:w="8330" w:type="dxa"/>
          </w:tcPr>
          <w:p w14:paraId="57D230E1" w14:textId="592B5C4E" w:rsidR="009956B2" w:rsidRDefault="00A95559" w:rsidP="009956B2">
            <w:r>
              <w:t xml:space="preserve">Living Wills and Durable Power of Attorney for Health Care the two most common types of advanced directives </w:t>
            </w:r>
          </w:p>
        </w:tc>
        <w:tc>
          <w:tcPr>
            <w:tcW w:w="1705" w:type="dxa"/>
          </w:tcPr>
          <w:p w14:paraId="35AA0FAA" w14:textId="2B7BA874" w:rsidR="009956B2" w:rsidRPr="00313C6D" w:rsidRDefault="00A95559" w:rsidP="009956B2">
            <w:r w:rsidRPr="00313C6D">
              <w:t xml:space="preserve">TRUE </w:t>
            </w:r>
            <w:r w:rsidRPr="00313C6D">
              <w:t xml:space="preserve">        FALSE</w:t>
            </w:r>
          </w:p>
        </w:tc>
      </w:tr>
      <w:tr w:rsidR="00A95559" w14:paraId="11604DE6" w14:textId="77777777" w:rsidTr="00A95559">
        <w:tc>
          <w:tcPr>
            <w:tcW w:w="495" w:type="dxa"/>
          </w:tcPr>
          <w:p w14:paraId="345ED841" w14:textId="32379D54" w:rsidR="00A95559" w:rsidRDefault="00A95559" w:rsidP="00A95559">
            <w:r>
              <w:t>3.</w:t>
            </w:r>
          </w:p>
        </w:tc>
        <w:tc>
          <w:tcPr>
            <w:tcW w:w="8330" w:type="dxa"/>
          </w:tcPr>
          <w:p w14:paraId="089BD186" w14:textId="22FF1DB9" w:rsidR="00A95559" w:rsidRDefault="006721B0" w:rsidP="00A95559">
            <w:r>
              <w:t>In early adulthood (19 – 35 years) decision making skills are not fully developed which could lead to participation in dangerous activities for peer acceptance.</w:t>
            </w:r>
          </w:p>
        </w:tc>
        <w:tc>
          <w:tcPr>
            <w:tcW w:w="1705" w:type="dxa"/>
          </w:tcPr>
          <w:p w14:paraId="5CC1C99C" w14:textId="095E23E9" w:rsidR="00A95559" w:rsidRPr="00313C6D" w:rsidRDefault="00A95559" w:rsidP="00A95559">
            <w:r w:rsidRPr="00313C6D">
              <w:t>TRUE         FALSE</w:t>
            </w:r>
          </w:p>
        </w:tc>
      </w:tr>
      <w:tr w:rsidR="00A95559" w14:paraId="54E1F817" w14:textId="77777777" w:rsidTr="00A95559">
        <w:tc>
          <w:tcPr>
            <w:tcW w:w="495" w:type="dxa"/>
          </w:tcPr>
          <w:p w14:paraId="1930E0DE" w14:textId="5996E936" w:rsidR="00A95559" w:rsidRDefault="00A95559" w:rsidP="00A95559">
            <w:r>
              <w:t>4.</w:t>
            </w:r>
          </w:p>
        </w:tc>
        <w:tc>
          <w:tcPr>
            <w:tcW w:w="8330" w:type="dxa"/>
          </w:tcPr>
          <w:p w14:paraId="36993D6F" w14:textId="60984317" w:rsidR="00A95559" w:rsidRDefault="006721B0" w:rsidP="00A95559">
            <w:r>
              <w:t xml:space="preserve">The late adult (61 – 80 years) </w:t>
            </w:r>
            <w:r w:rsidRPr="006721B0">
              <w:t>will have a decreased tolerance to pain and a notable decrease in memory.</w:t>
            </w:r>
          </w:p>
        </w:tc>
        <w:tc>
          <w:tcPr>
            <w:tcW w:w="1705" w:type="dxa"/>
          </w:tcPr>
          <w:p w14:paraId="2FD68CBD" w14:textId="7B9447C8" w:rsidR="00A95559" w:rsidRPr="00313C6D" w:rsidRDefault="00A95559" w:rsidP="00A95559">
            <w:r w:rsidRPr="00313C6D">
              <w:t>TRUE         FALSE</w:t>
            </w:r>
          </w:p>
        </w:tc>
      </w:tr>
      <w:tr w:rsidR="00A95559" w14:paraId="4472C9D8" w14:textId="77777777" w:rsidTr="00A95559">
        <w:tc>
          <w:tcPr>
            <w:tcW w:w="495" w:type="dxa"/>
          </w:tcPr>
          <w:p w14:paraId="4A999231" w14:textId="2937F331" w:rsidR="00A95559" w:rsidRDefault="00A95559" w:rsidP="00A95559">
            <w:r>
              <w:t>5.</w:t>
            </w:r>
          </w:p>
        </w:tc>
        <w:tc>
          <w:tcPr>
            <w:tcW w:w="8330" w:type="dxa"/>
          </w:tcPr>
          <w:p w14:paraId="7BF7647E" w14:textId="0FF1B6C8" w:rsidR="00A95559" w:rsidRDefault="000C7E06" w:rsidP="00A95559">
            <w:r w:rsidRPr="000C7E06">
              <w:t>Occupational exposure means that the employee could be reasonably anticipated to come into bodily contact with blood and Other Potentially Infectious Materials (OPIM).</w:t>
            </w:r>
          </w:p>
        </w:tc>
        <w:tc>
          <w:tcPr>
            <w:tcW w:w="1705" w:type="dxa"/>
          </w:tcPr>
          <w:p w14:paraId="5CD72351" w14:textId="0292AEF5" w:rsidR="00A95559" w:rsidRPr="00313C6D" w:rsidRDefault="00A95559" w:rsidP="00A95559">
            <w:r w:rsidRPr="00313C6D">
              <w:t>TRUE         FALSE</w:t>
            </w:r>
          </w:p>
        </w:tc>
      </w:tr>
      <w:tr w:rsidR="00A95559" w14:paraId="43261B54" w14:textId="77777777" w:rsidTr="00A95559">
        <w:tc>
          <w:tcPr>
            <w:tcW w:w="495" w:type="dxa"/>
          </w:tcPr>
          <w:p w14:paraId="547A9018" w14:textId="64DD2DE0" w:rsidR="00A95559" w:rsidRDefault="00A95559" w:rsidP="00A95559">
            <w:r>
              <w:t>6.</w:t>
            </w:r>
          </w:p>
        </w:tc>
        <w:tc>
          <w:tcPr>
            <w:tcW w:w="8330" w:type="dxa"/>
          </w:tcPr>
          <w:p w14:paraId="02B64122" w14:textId="04171246" w:rsidR="00A95559" w:rsidRDefault="000C7E06" w:rsidP="00A95559">
            <w:r>
              <w:t xml:space="preserve">When handling needles a work practice control includes recapping or bending/breaking the needle after use. </w:t>
            </w:r>
          </w:p>
        </w:tc>
        <w:tc>
          <w:tcPr>
            <w:tcW w:w="1705" w:type="dxa"/>
          </w:tcPr>
          <w:p w14:paraId="24ED6AC7" w14:textId="504EA4AD" w:rsidR="00A95559" w:rsidRPr="00313C6D" w:rsidRDefault="00A95559" w:rsidP="00A95559">
            <w:r w:rsidRPr="00313C6D">
              <w:t>TRUE         FALSE</w:t>
            </w:r>
          </w:p>
        </w:tc>
      </w:tr>
      <w:tr w:rsidR="00A95559" w14:paraId="2F21579C" w14:textId="77777777" w:rsidTr="00A95559">
        <w:tc>
          <w:tcPr>
            <w:tcW w:w="495" w:type="dxa"/>
          </w:tcPr>
          <w:p w14:paraId="67ECF74C" w14:textId="5C1CD3AA" w:rsidR="00A95559" w:rsidRDefault="00A95559" w:rsidP="00A95559">
            <w:r>
              <w:t>7.</w:t>
            </w:r>
          </w:p>
        </w:tc>
        <w:tc>
          <w:tcPr>
            <w:tcW w:w="8330" w:type="dxa"/>
          </w:tcPr>
          <w:p w14:paraId="08D7FCF3" w14:textId="150FCA7C" w:rsidR="00A95559" w:rsidRDefault="000C7E06" w:rsidP="00A95559">
            <w:r>
              <w:t>A p</w:t>
            </w:r>
            <w:r w:rsidRPr="000C7E06">
              <w:t>ersons’ culture is made up of values</w:t>
            </w:r>
            <w:r>
              <w:t xml:space="preserve"> solely based on their ethnicity. </w:t>
            </w:r>
          </w:p>
        </w:tc>
        <w:tc>
          <w:tcPr>
            <w:tcW w:w="1705" w:type="dxa"/>
          </w:tcPr>
          <w:p w14:paraId="610F9DB0" w14:textId="3E3D7EC5" w:rsidR="00A95559" w:rsidRPr="00313C6D" w:rsidRDefault="00A95559" w:rsidP="00A95559">
            <w:r w:rsidRPr="00313C6D">
              <w:t>TRUE         FALSE</w:t>
            </w:r>
          </w:p>
        </w:tc>
      </w:tr>
      <w:tr w:rsidR="00A95559" w14:paraId="2501F8E9" w14:textId="77777777" w:rsidTr="00A95559">
        <w:tc>
          <w:tcPr>
            <w:tcW w:w="495" w:type="dxa"/>
          </w:tcPr>
          <w:p w14:paraId="48D1E7B8" w14:textId="322BF5D7" w:rsidR="00A95559" w:rsidRDefault="00A95559" w:rsidP="00A95559">
            <w:r>
              <w:t>8.</w:t>
            </w:r>
          </w:p>
        </w:tc>
        <w:tc>
          <w:tcPr>
            <w:tcW w:w="8330" w:type="dxa"/>
          </w:tcPr>
          <w:p w14:paraId="37B3482C" w14:textId="3BB4F86F" w:rsidR="00A95559" w:rsidRDefault="000C7E06" w:rsidP="00A95559">
            <w:r w:rsidRPr="000C7E06">
              <w:t>It is important that as caregivers we do not judge others based on our own values and beliefs</w:t>
            </w:r>
            <w:r>
              <w:t>.</w:t>
            </w:r>
          </w:p>
        </w:tc>
        <w:tc>
          <w:tcPr>
            <w:tcW w:w="1705" w:type="dxa"/>
          </w:tcPr>
          <w:p w14:paraId="73E4A103" w14:textId="58351E83" w:rsidR="00A95559" w:rsidRPr="00313C6D" w:rsidRDefault="00A95559" w:rsidP="00A95559">
            <w:r w:rsidRPr="00313C6D">
              <w:t>TRUE         FALSE</w:t>
            </w:r>
          </w:p>
        </w:tc>
      </w:tr>
      <w:tr w:rsidR="00A95559" w14:paraId="52F4372C" w14:textId="77777777" w:rsidTr="00A95559">
        <w:tc>
          <w:tcPr>
            <w:tcW w:w="495" w:type="dxa"/>
          </w:tcPr>
          <w:p w14:paraId="565108C4" w14:textId="49F71393" w:rsidR="00A95559" w:rsidRDefault="00A95559" w:rsidP="00A95559">
            <w:r>
              <w:t>9.</w:t>
            </w:r>
          </w:p>
        </w:tc>
        <w:tc>
          <w:tcPr>
            <w:tcW w:w="8330" w:type="dxa"/>
          </w:tcPr>
          <w:p w14:paraId="7DCA3B6A" w14:textId="7D2099BD" w:rsidR="00A95559" w:rsidRDefault="00F940AD" w:rsidP="00A95559">
            <w:r>
              <w:t xml:space="preserve">Risk management can eliminate all risks. </w:t>
            </w:r>
          </w:p>
        </w:tc>
        <w:tc>
          <w:tcPr>
            <w:tcW w:w="1705" w:type="dxa"/>
          </w:tcPr>
          <w:p w14:paraId="52564725" w14:textId="08E0645B" w:rsidR="00A95559" w:rsidRPr="00313C6D" w:rsidRDefault="00A95559" w:rsidP="00A95559">
            <w:r w:rsidRPr="00313C6D">
              <w:t>TRUE         FALSE</w:t>
            </w:r>
          </w:p>
        </w:tc>
      </w:tr>
      <w:tr w:rsidR="00A95559" w14:paraId="40CBD96E" w14:textId="77777777" w:rsidTr="00A95559">
        <w:tc>
          <w:tcPr>
            <w:tcW w:w="495" w:type="dxa"/>
          </w:tcPr>
          <w:p w14:paraId="1363C4BF" w14:textId="31A3F1EF" w:rsidR="00A95559" w:rsidRDefault="00A95559" w:rsidP="00A95559">
            <w:r>
              <w:t>10.</w:t>
            </w:r>
          </w:p>
        </w:tc>
        <w:tc>
          <w:tcPr>
            <w:tcW w:w="8330" w:type="dxa"/>
          </w:tcPr>
          <w:p w14:paraId="757F9339" w14:textId="433797B2" w:rsidR="00A95559" w:rsidRDefault="000C7E06" w:rsidP="00A95559">
            <w:r w:rsidRPr="000C7E06">
              <w:t xml:space="preserve">Incident reports also knows as occurrence reports, safety reports or risk reports, help recognize areas for improvement and </w:t>
            </w:r>
            <w:r>
              <w:t>are</w:t>
            </w:r>
            <w:r w:rsidRPr="000C7E06">
              <w:t xml:space="preserve"> a part of the risk management</w:t>
            </w:r>
            <w:r>
              <w:t xml:space="preserve"> program.</w:t>
            </w:r>
          </w:p>
        </w:tc>
        <w:tc>
          <w:tcPr>
            <w:tcW w:w="1705" w:type="dxa"/>
          </w:tcPr>
          <w:p w14:paraId="3A3FE89E" w14:textId="2376A597" w:rsidR="00A95559" w:rsidRPr="00313C6D" w:rsidRDefault="00A95559" w:rsidP="00A95559">
            <w:r w:rsidRPr="00313C6D">
              <w:t>TRUE         FALSE</w:t>
            </w:r>
          </w:p>
        </w:tc>
      </w:tr>
      <w:tr w:rsidR="00A95559" w14:paraId="4AAC74AF" w14:textId="77777777" w:rsidTr="00A95559">
        <w:tc>
          <w:tcPr>
            <w:tcW w:w="495" w:type="dxa"/>
          </w:tcPr>
          <w:p w14:paraId="6761173E" w14:textId="2AEBDE3F" w:rsidR="00A95559" w:rsidRDefault="00A95559" w:rsidP="00A95559">
            <w:r>
              <w:t>11.</w:t>
            </w:r>
          </w:p>
        </w:tc>
        <w:tc>
          <w:tcPr>
            <w:tcW w:w="8330" w:type="dxa"/>
          </w:tcPr>
          <w:p w14:paraId="12C58DE7" w14:textId="2F3B0E68" w:rsidR="00A95559" w:rsidRDefault="00F940AD" w:rsidP="00A95559">
            <w:r>
              <w:t>Proper documentation that is precise is a healthcare professional’s best defense in any legal issue.</w:t>
            </w:r>
          </w:p>
        </w:tc>
        <w:tc>
          <w:tcPr>
            <w:tcW w:w="1705" w:type="dxa"/>
          </w:tcPr>
          <w:p w14:paraId="3FE18B5E" w14:textId="19BB63FB" w:rsidR="00A95559" w:rsidRPr="00313C6D" w:rsidRDefault="00A95559" w:rsidP="00A95559">
            <w:r w:rsidRPr="00313C6D">
              <w:t>TRUE         FALSE</w:t>
            </w:r>
          </w:p>
        </w:tc>
      </w:tr>
      <w:tr w:rsidR="00A95559" w14:paraId="05A2A64C" w14:textId="77777777" w:rsidTr="00A95559">
        <w:tc>
          <w:tcPr>
            <w:tcW w:w="495" w:type="dxa"/>
          </w:tcPr>
          <w:p w14:paraId="550527C1" w14:textId="02BC51D5" w:rsidR="00A95559" w:rsidRDefault="00A95559" w:rsidP="00A95559">
            <w:r>
              <w:t>12.</w:t>
            </w:r>
          </w:p>
        </w:tc>
        <w:tc>
          <w:tcPr>
            <w:tcW w:w="8330" w:type="dxa"/>
          </w:tcPr>
          <w:p w14:paraId="41D2EA35" w14:textId="7619F0B1" w:rsidR="00A95559" w:rsidRDefault="00F940AD" w:rsidP="00A95559">
            <w:r>
              <w:t xml:space="preserve">Substance (alcohol and drug) use </w:t>
            </w:r>
            <w:r w:rsidR="00231EA3">
              <w:t xml:space="preserve">does not lead to a higher risk for workplace accidents or absenteeism. </w:t>
            </w:r>
            <w:r>
              <w:t xml:space="preserve"> </w:t>
            </w:r>
          </w:p>
        </w:tc>
        <w:tc>
          <w:tcPr>
            <w:tcW w:w="1705" w:type="dxa"/>
          </w:tcPr>
          <w:p w14:paraId="536FDDF3" w14:textId="44F74AA8" w:rsidR="00A95559" w:rsidRPr="00313C6D" w:rsidRDefault="00A95559" w:rsidP="00A95559">
            <w:r w:rsidRPr="00313C6D">
              <w:t>TRUE         FALSE</w:t>
            </w:r>
          </w:p>
        </w:tc>
      </w:tr>
      <w:tr w:rsidR="00A95559" w14:paraId="49AB62EC" w14:textId="77777777" w:rsidTr="00A95559">
        <w:tc>
          <w:tcPr>
            <w:tcW w:w="495" w:type="dxa"/>
          </w:tcPr>
          <w:p w14:paraId="56AB422C" w14:textId="12994964" w:rsidR="00A95559" w:rsidRDefault="00A95559" w:rsidP="00A95559">
            <w:r>
              <w:t>13.</w:t>
            </w:r>
          </w:p>
        </w:tc>
        <w:tc>
          <w:tcPr>
            <w:tcW w:w="8330" w:type="dxa"/>
          </w:tcPr>
          <w:p w14:paraId="0316726C" w14:textId="0B298D18" w:rsidR="00A95559" w:rsidRDefault="00F940AD" w:rsidP="00A95559">
            <w:r w:rsidRPr="00F940AD">
              <w:t>Any sign that indicates a practitioner is under the influence of drugs or alcohol should be reported immediately.</w:t>
            </w:r>
          </w:p>
        </w:tc>
        <w:tc>
          <w:tcPr>
            <w:tcW w:w="1705" w:type="dxa"/>
          </w:tcPr>
          <w:p w14:paraId="0F3043F2" w14:textId="5DF7EAE4" w:rsidR="00A95559" w:rsidRPr="00313C6D" w:rsidRDefault="00A95559" w:rsidP="00A95559">
            <w:r w:rsidRPr="00313C6D">
              <w:t>TRUE         FALSE</w:t>
            </w:r>
          </w:p>
        </w:tc>
      </w:tr>
      <w:tr w:rsidR="00A95559" w14:paraId="1CE43BB2" w14:textId="77777777" w:rsidTr="00A95559">
        <w:tc>
          <w:tcPr>
            <w:tcW w:w="495" w:type="dxa"/>
          </w:tcPr>
          <w:p w14:paraId="4EFED791" w14:textId="4F7EFCA0" w:rsidR="00A95559" w:rsidRDefault="00A95559" w:rsidP="00A95559">
            <w:r>
              <w:t>14.</w:t>
            </w:r>
          </w:p>
        </w:tc>
        <w:tc>
          <w:tcPr>
            <w:tcW w:w="8330" w:type="dxa"/>
          </w:tcPr>
          <w:p w14:paraId="21A0BBBB" w14:textId="22C7BE5E" w:rsidR="00A95559" w:rsidRDefault="00231EA3" w:rsidP="00231EA3">
            <w:r w:rsidRPr="00231EA3">
              <w:t>Anytime a patient is injured by a defective medical device,</w:t>
            </w:r>
            <w:r>
              <w:t xml:space="preserve"> immediately notify your supervisor as </w:t>
            </w:r>
            <w:r w:rsidRPr="00231EA3">
              <w:t>a report must be made to the FDA, under the Safe Medical Devices Act</w:t>
            </w:r>
            <w:r>
              <w:t>.</w:t>
            </w:r>
          </w:p>
        </w:tc>
        <w:tc>
          <w:tcPr>
            <w:tcW w:w="1705" w:type="dxa"/>
          </w:tcPr>
          <w:p w14:paraId="2E4EB78C" w14:textId="0AFB2132" w:rsidR="00A95559" w:rsidRPr="00313C6D" w:rsidRDefault="00A95559" w:rsidP="00A95559">
            <w:r w:rsidRPr="00313C6D">
              <w:t>TRUE         FALSE</w:t>
            </w:r>
          </w:p>
        </w:tc>
      </w:tr>
      <w:tr w:rsidR="00A95559" w14:paraId="40EF850E" w14:textId="77777777" w:rsidTr="00A95559">
        <w:tc>
          <w:tcPr>
            <w:tcW w:w="495" w:type="dxa"/>
          </w:tcPr>
          <w:p w14:paraId="7AD2DA3A" w14:textId="46A807C4" w:rsidR="00A95559" w:rsidRDefault="00A95559" w:rsidP="00A95559">
            <w:r>
              <w:t>15.</w:t>
            </w:r>
          </w:p>
        </w:tc>
        <w:tc>
          <w:tcPr>
            <w:tcW w:w="8330" w:type="dxa"/>
          </w:tcPr>
          <w:p w14:paraId="060AD69D" w14:textId="663D875E" w:rsidR="00A95559" w:rsidRDefault="00231EA3" w:rsidP="00A95559">
            <w:r w:rsidRPr="00231EA3">
              <w:t xml:space="preserve">Extension cords may </w:t>
            </w:r>
            <w:r>
              <w:t>be</w:t>
            </w:r>
            <w:r w:rsidRPr="00231EA3">
              <w:t xml:space="preserve"> </w:t>
            </w:r>
            <w:proofErr w:type="spellStart"/>
            <w:r w:rsidRPr="00231EA3">
              <w:t>used</w:t>
            </w:r>
            <w:proofErr w:type="spellEnd"/>
            <w:r w:rsidRPr="00231EA3">
              <w:t xml:space="preserve"> in patient care areas</w:t>
            </w:r>
            <w:r>
              <w:t xml:space="preserve"> if </w:t>
            </w:r>
            <w:r w:rsidRPr="00231EA3">
              <w:t>be approved by maintenance.</w:t>
            </w:r>
          </w:p>
        </w:tc>
        <w:tc>
          <w:tcPr>
            <w:tcW w:w="1705" w:type="dxa"/>
          </w:tcPr>
          <w:p w14:paraId="68D7FC1B" w14:textId="5F353203" w:rsidR="00A95559" w:rsidRPr="00313C6D" w:rsidRDefault="00A95559" w:rsidP="00A95559">
            <w:r w:rsidRPr="00313C6D">
              <w:t>TRUE         FALSE</w:t>
            </w:r>
          </w:p>
        </w:tc>
      </w:tr>
      <w:tr w:rsidR="00A95559" w14:paraId="4703C5CB" w14:textId="77777777" w:rsidTr="00A95559">
        <w:tc>
          <w:tcPr>
            <w:tcW w:w="495" w:type="dxa"/>
          </w:tcPr>
          <w:p w14:paraId="3FD03D7B" w14:textId="3F7E9639" w:rsidR="00A95559" w:rsidRDefault="00A95559" w:rsidP="00A95559">
            <w:r>
              <w:t>16.</w:t>
            </w:r>
          </w:p>
        </w:tc>
        <w:tc>
          <w:tcPr>
            <w:tcW w:w="8330" w:type="dxa"/>
          </w:tcPr>
          <w:p w14:paraId="32D377E5" w14:textId="454D272F" w:rsidR="00A95559" w:rsidRDefault="00231EA3" w:rsidP="00231EA3">
            <w:pPr>
              <w:tabs>
                <w:tab w:val="left" w:pos="930"/>
              </w:tabs>
            </w:pPr>
            <w:r>
              <w:t xml:space="preserve">Healthcare facilities use the same codes for emergency situations. </w:t>
            </w:r>
          </w:p>
        </w:tc>
        <w:tc>
          <w:tcPr>
            <w:tcW w:w="1705" w:type="dxa"/>
          </w:tcPr>
          <w:p w14:paraId="75AB485B" w14:textId="16CC756F" w:rsidR="00A95559" w:rsidRPr="00313C6D" w:rsidRDefault="00A95559" w:rsidP="00A95559">
            <w:r w:rsidRPr="00313C6D">
              <w:t>TRUE         FALSE</w:t>
            </w:r>
          </w:p>
        </w:tc>
      </w:tr>
      <w:tr w:rsidR="00A95559" w14:paraId="15D62B9C" w14:textId="77777777" w:rsidTr="00A95559">
        <w:tc>
          <w:tcPr>
            <w:tcW w:w="495" w:type="dxa"/>
          </w:tcPr>
          <w:p w14:paraId="76C7C499" w14:textId="42799A63" w:rsidR="00A95559" w:rsidRDefault="00A95559" w:rsidP="00A95559">
            <w:r>
              <w:t>17.</w:t>
            </w:r>
          </w:p>
        </w:tc>
        <w:tc>
          <w:tcPr>
            <w:tcW w:w="8330" w:type="dxa"/>
          </w:tcPr>
          <w:p w14:paraId="68CE2933" w14:textId="2E531B5A" w:rsidR="00A95559" w:rsidRDefault="00231EA3" w:rsidP="00231EA3">
            <w:r w:rsidRPr="00231EA3">
              <w:t>Emergencies may be natural or manmade</w:t>
            </w:r>
            <w:r>
              <w:t>, examples i</w:t>
            </w:r>
            <w:r w:rsidRPr="00231EA3">
              <w:t xml:space="preserve">nclude </w:t>
            </w:r>
            <w:r>
              <w:t>f</w:t>
            </w:r>
            <w:r w:rsidRPr="00231EA3">
              <w:t xml:space="preserve">loods, hurricanes, tornadoes, fires, civil disturbances, </w:t>
            </w:r>
            <w:r>
              <w:t xml:space="preserve">and </w:t>
            </w:r>
            <w:r w:rsidRPr="00231EA3">
              <w:t>workplace violence resulting in bodily harm and trauma</w:t>
            </w:r>
            <w:r w:rsidR="009B6C65">
              <w:t>.</w:t>
            </w:r>
          </w:p>
        </w:tc>
        <w:tc>
          <w:tcPr>
            <w:tcW w:w="1705" w:type="dxa"/>
          </w:tcPr>
          <w:p w14:paraId="480F810A" w14:textId="3CC1DCB8" w:rsidR="00A95559" w:rsidRPr="00313C6D" w:rsidRDefault="00A95559" w:rsidP="00A95559">
            <w:r w:rsidRPr="00313C6D">
              <w:t>TRUE         FALSE</w:t>
            </w:r>
          </w:p>
        </w:tc>
      </w:tr>
      <w:tr w:rsidR="00A95559" w14:paraId="46A779FB" w14:textId="77777777" w:rsidTr="00A95559">
        <w:tc>
          <w:tcPr>
            <w:tcW w:w="495" w:type="dxa"/>
          </w:tcPr>
          <w:p w14:paraId="5453C461" w14:textId="02F5CF69" w:rsidR="00A95559" w:rsidRDefault="00A95559" w:rsidP="00A95559">
            <w:r>
              <w:t>18.</w:t>
            </w:r>
          </w:p>
        </w:tc>
        <w:tc>
          <w:tcPr>
            <w:tcW w:w="8330" w:type="dxa"/>
          </w:tcPr>
          <w:p w14:paraId="2CA1ACBC" w14:textId="717AA26F" w:rsidR="00A95559" w:rsidRDefault="00BE0708" w:rsidP="00A95559">
            <w:r w:rsidRPr="00BE0708">
              <w:t>The goal of hospice is comfort care to include symptom control, pain management, education on what to expect during the dying process and emotional and spiritual support.</w:t>
            </w:r>
          </w:p>
        </w:tc>
        <w:tc>
          <w:tcPr>
            <w:tcW w:w="1705" w:type="dxa"/>
          </w:tcPr>
          <w:p w14:paraId="516C6690" w14:textId="743D5DED" w:rsidR="00A95559" w:rsidRPr="00313C6D" w:rsidRDefault="00A95559" w:rsidP="00A95559">
            <w:r w:rsidRPr="00313C6D">
              <w:t>TRUE         FALSE</w:t>
            </w:r>
          </w:p>
        </w:tc>
      </w:tr>
      <w:tr w:rsidR="00A95559" w14:paraId="59B497C6" w14:textId="77777777" w:rsidTr="00A95559">
        <w:tc>
          <w:tcPr>
            <w:tcW w:w="495" w:type="dxa"/>
          </w:tcPr>
          <w:p w14:paraId="228EC298" w14:textId="743E7705" w:rsidR="00A95559" w:rsidRDefault="00A95559" w:rsidP="00A95559">
            <w:r>
              <w:t xml:space="preserve">19. </w:t>
            </w:r>
          </w:p>
        </w:tc>
        <w:tc>
          <w:tcPr>
            <w:tcW w:w="8330" w:type="dxa"/>
          </w:tcPr>
          <w:p w14:paraId="59CBFAC3" w14:textId="7B2AC6C9" w:rsidR="00A95559" w:rsidRDefault="00BE0708" w:rsidP="00A95559">
            <w:r w:rsidRPr="00BE0708">
              <w:t>The goal of palliative care</w:t>
            </w:r>
            <w:r w:rsidRPr="00BE0708">
              <w:t xml:space="preserve"> </w:t>
            </w:r>
            <w:r w:rsidRPr="00BE0708">
              <w:t>is to cure</w:t>
            </w:r>
            <w:r>
              <w:t xml:space="preserve"> and</w:t>
            </w:r>
            <w:r w:rsidRPr="00BE0708">
              <w:t xml:space="preserve"> </w:t>
            </w:r>
            <w:r w:rsidRPr="00BE0708">
              <w:t xml:space="preserve">to address the impact of serious illness by managing symptoms, providing emotional </w:t>
            </w:r>
            <w:proofErr w:type="gramStart"/>
            <w:r w:rsidRPr="00BE0708">
              <w:t>support</w:t>
            </w:r>
            <w:proofErr w:type="gramEnd"/>
            <w:r w:rsidRPr="00BE0708">
              <w:t xml:space="preserve"> and ensuring that the plan of care aligns with patient and family goals.</w:t>
            </w:r>
          </w:p>
        </w:tc>
        <w:tc>
          <w:tcPr>
            <w:tcW w:w="1705" w:type="dxa"/>
          </w:tcPr>
          <w:p w14:paraId="015FF7DD" w14:textId="71493A31" w:rsidR="00A95559" w:rsidRPr="00313C6D" w:rsidRDefault="00A95559" w:rsidP="00A95559">
            <w:r w:rsidRPr="00313C6D">
              <w:t>TRUE         FALSE</w:t>
            </w:r>
          </w:p>
        </w:tc>
      </w:tr>
      <w:tr w:rsidR="00A95559" w14:paraId="62101574" w14:textId="77777777" w:rsidTr="00A95559">
        <w:tc>
          <w:tcPr>
            <w:tcW w:w="495" w:type="dxa"/>
          </w:tcPr>
          <w:p w14:paraId="79AEB1CB" w14:textId="274149B1" w:rsidR="00A95559" w:rsidRDefault="00A95559" w:rsidP="00A95559">
            <w:r>
              <w:t>20.</w:t>
            </w:r>
          </w:p>
        </w:tc>
        <w:tc>
          <w:tcPr>
            <w:tcW w:w="8330" w:type="dxa"/>
          </w:tcPr>
          <w:p w14:paraId="3DE7BAF9" w14:textId="5F3507C9" w:rsidR="00A95559" w:rsidRDefault="00BE0708" w:rsidP="00A95559">
            <w:r>
              <w:t>Most healthcare facilities use the acronym “RACE” to respond to a fire.  RACE stands for:  Rescue, Alarm, Confine or Contain, and Extinguish.</w:t>
            </w:r>
          </w:p>
        </w:tc>
        <w:tc>
          <w:tcPr>
            <w:tcW w:w="1705" w:type="dxa"/>
          </w:tcPr>
          <w:p w14:paraId="7DFCB09B" w14:textId="214A55A0" w:rsidR="00A95559" w:rsidRPr="00313C6D" w:rsidRDefault="00A95559" w:rsidP="00A95559">
            <w:r w:rsidRPr="00313C6D">
              <w:t>TRUE         FALSE</w:t>
            </w:r>
          </w:p>
        </w:tc>
      </w:tr>
      <w:tr w:rsidR="00A95559" w14:paraId="34231846" w14:textId="77777777" w:rsidTr="00A95559">
        <w:tc>
          <w:tcPr>
            <w:tcW w:w="495" w:type="dxa"/>
          </w:tcPr>
          <w:p w14:paraId="4A8DF270" w14:textId="5647EE42" w:rsidR="00A95559" w:rsidRDefault="00A95559" w:rsidP="00A95559">
            <w:r>
              <w:t>21.</w:t>
            </w:r>
          </w:p>
        </w:tc>
        <w:tc>
          <w:tcPr>
            <w:tcW w:w="8330" w:type="dxa"/>
          </w:tcPr>
          <w:p w14:paraId="429AA22E" w14:textId="51C171F2" w:rsidR="00A95559" w:rsidRDefault="00830808" w:rsidP="00A95559">
            <w:r>
              <w:t>If rescue from a fire is needed, be sure to evacuate all patients outside of the building.</w:t>
            </w:r>
          </w:p>
        </w:tc>
        <w:tc>
          <w:tcPr>
            <w:tcW w:w="1705" w:type="dxa"/>
          </w:tcPr>
          <w:p w14:paraId="414CA357" w14:textId="3BC39D4A" w:rsidR="00A95559" w:rsidRPr="00313C6D" w:rsidRDefault="00A95559" w:rsidP="00A95559">
            <w:r w:rsidRPr="00313C6D">
              <w:t>TRUE         FALSE</w:t>
            </w:r>
          </w:p>
        </w:tc>
      </w:tr>
      <w:tr w:rsidR="00A95559" w14:paraId="7033EFFC" w14:textId="77777777" w:rsidTr="00A95559">
        <w:tc>
          <w:tcPr>
            <w:tcW w:w="495" w:type="dxa"/>
          </w:tcPr>
          <w:p w14:paraId="47A85E11" w14:textId="2C12708D" w:rsidR="00A95559" w:rsidRDefault="00A95559" w:rsidP="00A95559">
            <w:r>
              <w:lastRenderedPageBreak/>
              <w:t>22.</w:t>
            </w:r>
          </w:p>
        </w:tc>
        <w:tc>
          <w:tcPr>
            <w:tcW w:w="8330" w:type="dxa"/>
          </w:tcPr>
          <w:p w14:paraId="212D9442" w14:textId="5CE6B364" w:rsidR="00A95559" w:rsidRDefault="009E716F" w:rsidP="00A95559">
            <w:r>
              <w:t>A pat</w:t>
            </w:r>
            <w:r w:rsidRPr="009E716F">
              <w:t xml:space="preserve">ient’s private healthcare information would </w:t>
            </w:r>
            <w:r>
              <w:t xml:space="preserve">not </w:t>
            </w:r>
            <w:r w:rsidRPr="009E716F">
              <w:t xml:space="preserve">include personal information </w:t>
            </w:r>
            <w:r>
              <w:t xml:space="preserve">such as their home </w:t>
            </w:r>
            <w:r w:rsidRPr="009E716F">
              <w:t>address and social security number</w:t>
            </w:r>
            <w:r>
              <w:t xml:space="preserve">. </w:t>
            </w:r>
          </w:p>
        </w:tc>
        <w:tc>
          <w:tcPr>
            <w:tcW w:w="1705" w:type="dxa"/>
          </w:tcPr>
          <w:p w14:paraId="6C9D78E6" w14:textId="5A75E245" w:rsidR="00A95559" w:rsidRPr="00313C6D" w:rsidRDefault="00A95559" w:rsidP="00A95559">
            <w:r w:rsidRPr="00313C6D">
              <w:t>TRUE         FALSE</w:t>
            </w:r>
          </w:p>
        </w:tc>
      </w:tr>
      <w:tr w:rsidR="00A95559" w14:paraId="2D9A3FB9" w14:textId="77777777" w:rsidTr="009E716F">
        <w:trPr>
          <w:trHeight w:val="980"/>
        </w:trPr>
        <w:tc>
          <w:tcPr>
            <w:tcW w:w="495" w:type="dxa"/>
          </w:tcPr>
          <w:p w14:paraId="138A8E0F" w14:textId="51E41543" w:rsidR="00A95559" w:rsidRDefault="00A95559" w:rsidP="00A95559">
            <w:r>
              <w:t>23.</w:t>
            </w:r>
          </w:p>
        </w:tc>
        <w:tc>
          <w:tcPr>
            <w:tcW w:w="8330" w:type="dxa"/>
          </w:tcPr>
          <w:p w14:paraId="4578A480" w14:textId="2A3E2394" w:rsidR="00A95559" w:rsidRDefault="009E716F" w:rsidP="00A95559">
            <w:r>
              <w:t xml:space="preserve">The </w:t>
            </w:r>
            <w:r w:rsidRPr="009E716F">
              <w:t>HIPAA Privacy Rule created regulations to protect the privacy of personal health information, as well as limit the people who have access to private healthcare information.</w:t>
            </w:r>
          </w:p>
        </w:tc>
        <w:tc>
          <w:tcPr>
            <w:tcW w:w="1705" w:type="dxa"/>
          </w:tcPr>
          <w:p w14:paraId="404B8E2E" w14:textId="7776485B" w:rsidR="00A95559" w:rsidRPr="00313C6D" w:rsidRDefault="00A95559" w:rsidP="00A95559">
            <w:r w:rsidRPr="00313C6D">
              <w:t>TRUE         FALSE</w:t>
            </w:r>
          </w:p>
        </w:tc>
      </w:tr>
      <w:tr w:rsidR="00A95559" w14:paraId="50CE303B" w14:textId="77777777" w:rsidTr="00A95559">
        <w:tc>
          <w:tcPr>
            <w:tcW w:w="495" w:type="dxa"/>
          </w:tcPr>
          <w:p w14:paraId="118B5ADA" w14:textId="2A16EB2E" w:rsidR="00A95559" w:rsidRDefault="00A95559" w:rsidP="00A95559">
            <w:r>
              <w:t>24.</w:t>
            </w:r>
          </w:p>
        </w:tc>
        <w:tc>
          <w:tcPr>
            <w:tcW w:w="8330" w:type="dxa"/>
          </w:tcPr>
          <w:p w14:paraId="2A290AFA" w14:textId="2CC17823" w:rsidR="00A95559" w:rsidRDefault="009E716F" w:rsidP="009E716F">
            <w:r>
              <w:t xml:space="preserve">The Joint Commission National Patient Safety Goals were established </w:t>
            </w:r>
            <w:r w:rsidRPr="009E716F">
              <w:t xml:space="preserve">to help accredited organizations address specific areas of concern </w:t>
            </w:r>
            <w:proofErr w:type="gramStart"/>
            <w:r w:rsidRPr="009E716F">
              <w:t>in regard to</w:t>
            </w:r>
            <w:proofErr w:type="gramEnd"/>
            <w:r w:rsidRPr="009E716F">
              <w:t xml:space="preserve"> patient safety.</w:t>
            </w:r>
          </w:p>
        </w:tc>
        <w:tc>
          <w:tcPr>
            <w:tcW w:w="1705" w:type="dxa"/>
          </w:tcPr>
          <w:p w14:paraId="0396F1FD" w14:textId="0FC2BC5A" w:rsidR="00A95559" w:rsidRPr="00313C6D" w:rsidRDefault="00A95559" w:rsidP="00A95559">
            <w:r w:rsidRPr="00313C6D">
              <w:t>TRUE         FALSE</w:t>
            </w:r>
          </w:p>
        </w:tc>
      </w:tr>
      <w:tr w:rsidR="00A95559" w14:paraId="0534E488" w14:textId="77777777" w:rsidTr="00A95559">
        <w:tc>
          <w:tcPr>
            <w:tcW w:w="495" w:type="dxa"/>
          </w:tcPr>
          <w:p w14:paraId="56945D4D" w14:textId="2587D061" w:rsidR="00A95559" w:rsidRDefault="00A95559" w:rsidP="00A95559">
            <w:r>
              <w:t>25.</w:t>
            </w:r>
          </w:p>
        </w:tc>
        <w:tc>
          <w:tcPr>
            <w:tcW w:w="8330" w:type="dxa"/>
          </w:tcPr>
          <w:p w14:paraId="14CC495D" w14:textId="67CBA532" w:rsidR="00A95559" w:rsidRDefault="009E716F" w:rsidP="00A95559">
            <w:r>
              <w:t>The Joint Commission National Patient Safety Goal 1 was established to improve the accuracy of patient identification by recommending the u</w:t>
            </w:r>
            <w:r w:rsidRPr="009E716F">
              <w:t xml:space="preserve">se </w:t>
            </w:r>
            <w:r>
              <w:t xml:space="preserve">of </w:t>
            </w:r>
            <w:r w:rsidRPr="009E716F">
              <w:t xml:space="preserve">at least two patient identifiers when providing care, </w:t>
            </w:r>
            <w:proofErr w:type="gramStart"/>
            <w:r w:rsidRPr="009E716F">
              <w:t>treatment</w:t>
            </w:r>
            <w:proofErr w:type="gramEnd"/>
            <w:r w:rsidRPr="009E716F">
              <w:t xml:space="preserve"> and services.</w:t>
            </w:r>
          </w:p>
        </w:tc>
        <w:tc>
          <w:tcPr>
            <w:tcW w:w="1705" w:type="dxa"/>
          </w:tcPr>
          <w:p w14:paraId="7C2727F5" w14:textId="3CC094C0" w:rsidR="00A95559" w:rsidRPr="00313C6D" w:rsidRDefault="00A95559" w:rsidP="00A95559">
            <w:r w:rsidRPr="00313C6D">
              <w:t>TRUE         FALSE</w:t>
            </w:r>
          </w:p>
        </w:tc>
      </w:tr>
      <w:tr w:rsidR="00A95559" w14:paraId="54B703D0" w14:textId="77777777" w:rsidTr="00A95559">
        <w:tc>
          <w:tcPr>
            <w:tcW w:w="495" w:type="dxa"/>
          </w:tcPr>
          <w:p w14:paraId="592FF911" w14:textId="069E0096" w:rsidR="00A95559" w:rsidRDefault="00A95559" w:rsidP="00A95559">
            <w:r>
              <w:t>26.</w:t>
            </w:r>
          </w:p>
        </w:tc>
        <w:tc>
          <w:tcPr>
            <w:tcW w:w="8330" w:type="dxa"/>
          </w:tcPr>
          <w:p w14:paraId="2072DBD7" w14:textId="062229A7" w:rsidR="00A95559" w:rsidRDefault="00E93E7D" w:rsidP="00A95559">
            <w:r>
              <w:t>A</w:t>
            </w:r>
            <w:r w:rsidRPr="00E93E7D">
              <w:t>ctions such as verbal outbursts and physical threats</w:t>
            </w:r>
            <w:r>
              <w:t xml:space="preserve"> are considered to be</w:t>
            </w:r>
            <w:r w:rsidRPr="00E93E7D">
              <w:t xml:space="preserve"> intimidating and disruptive behaviors</w:t>
            </w:r>
            <w:r>
              <w:t xml:space="preserve">, whereas </w:t>
            </w:r>
            <w:r w:rsidRPr="00E93E7D">
              <w:t>as passive activities such as refusing to perform assigned tasks or quietly exhibiting uncooperative attitudes during routine activities</w:t>
            </w:r>
            <w:r>
              <w:t xml:space="preserve"> are not considered to be intimidating or disruptive behaviors. </w:t>
            </w:r>
          </w:p>
        </w:tc>
        <w:tc>
          <w:tcPr>
            <w:tcW w:w="1705" w:type="dxa"/>
          </w:tcPr>
          <w:p w14:paraId="716898B3" w14:textId="43174B3D" w:rsidR="00A95559" w:rsidRPr="00313C6D" w:rsidRDefault="00A95559" w:rsidP="00A95559">
            <w:r w:rsidRPr="00313C6D">
              <w:t>TRUE         FALSE</w:t>
            </w:r>
          </w:p>
        </w:tc>
      </w:tr>
      <w:tr w:rsidR="00A95559" w14:paraId="6BF5ED55" w14:textId="77777777" w:rsidTr="00A95559">
        <w:tc>
          <w:tcPr>
            <w:tcW w:w="495" w:type="dxa"/>
          </w:tcPr>
          <w:p w14:paraId="0C1A14EA" w14:textId="1336F490" w:rsidR="00A95559" w:rsidRDefault="00A95559" w:rsidP="00A95559">
            <w:r>
              <w:t>27.</w:t>
            </w:r>
          </w:p>
        </w:tc>
        <w:tc>
          <w:tcPr>
            <w:tcW w:w="8330" w:type="dxa"/>
          </w:tcPr>
          <w:p w14:paraId="5FA0FA05" w14:textId="614AAC2B" w:rsidR="00A95559" w:rsidRDefault="00E93E7D" w:rsidP="00A95559">
            <w:r w:rsidRPr="00E93E7D">
              <w:t>All intimidating and disruptive behaviors are unprofessional and should not be tolerated.</w:t>
            </w:r>
          </w:p>
        </w:tc>
        <w:tc>
          <w:tcPr>
            <w:tcW w:w="1705" w:type="dxa"/>
          </w:tcPr>
          <w:p w14:paraId="3DA487AE" w14:textId="6FAE338E" w:rsidR="00A95559" w:rsidRPr="00313C6D" w:rsidRDefault="00A95559" w:rsidP="00A95559">
            <w:r w:rsidRPr="00313C6D">
              <w:t>TRUE         FALSE</w:t>
            </w:r>
          </w:p>
        </w:tc>
      </w:tr>
      <w:tr w:rsidR="00A95559" w14:paraId="357F2896" w14:textId="77777777" w:rsidTr="00A95559">
        <w:tc>
          <w:tcPr>
            <w:tcW w:w="495" w:type="dxa"/>
          </w:tcPr>
          <w:p w14:paraId="549ECEE3" w14:textId="7064F228" w:rsidR="00A95559" w:rsidRDefault="00A95559" w:rsidP="00A95559">
            <w:r>
              <w:t>28.</w:t>
            </w:r>
          </w:p>
        </w:tc>
        <w:tc>
          <w:tcPr>
            <w:tcW w:w="8330" w:type="dxa"/>
          </w:tcPr>
          <w:p w14:paraId="6B73C1CA" w14:textId="6793E1B7" w:rsidR="00A95559" w:rsidRDefault="00E93E7D" w:rsidP="00A95559">
            <w:r w:rsidRPr="00E93E7D">
              <w:t xml:space="preserve">Mild reactions to latex involve skin redness, hives, or itching. More severe reactions may involve respiratory symptoms, such as runny nose, sneezing, itchy eyes, scratchy throat, </w:t>
            </w:r>
            <w:proofErr w:type="gramStart"/>
            <w:r w:rsidRPr="00E93E7D">
              <w:t>anaphylaxis</w:t>
            </w:r>
            <w:proofErr w:type="gramEnd"/>
            <w:r w:rsidRPr="00E93E7D">
              <w:t xml:space="preserve"> and asthma.</w:t>
            </w:r>
          </w:p>
        </w:tc>
        <w:tc>
          <w:tcPr>
            <w:tcW w:w="1705" w:type="dxa"/>
          </w:tcPr>
          <w:p w14:paraId="52DE4EBA" w14:textId="08FCCAF8" w:rsidR="00A95559" w:rsidRPr="00313C6D" w:rsidRDefault="00A95559" w:rsidP="00A95559">
            <w:r w:rsidRPr="00313C6D">
              <w:t>TRUE         FALSE</w:t>
            </w:r>
          </w:p>
        </w:tc>
      </w:tr>
      <w:tr w:rsidR="00A95559" w14:paraId="18FDCE68" w14:textId="77777777" w:rsidTr="00A95559">
        <w:tc>
          <w:tcPr>
            <w:tcW w:w="495" w:type="dxa"/>
          </w:tcPr>
          <w:p w14:paraId="6A44D55C" w14:textId="483327BA" w:rsidR="00A95559" w:rsidRDefault="00A95559" w:rsidP="00A95559">
            <w:r>
              <w:t>29.</w:t>
            </w:r>
          </w:p>
        </w:tc>
        <w:tc>
          <w:tcPr>
            <w:tcW w:w="8330" w:type="dxa"/>
          </w:tcPr>
          <w:p w14:paraId="6DBA2693" w14:textId="16D9A296" w:rsidR="00A95559" w:rsidRDefault="00E93E7D" w:rsidP="00A95559">
            <w:r w:rsidRPr="00E93E7D">
              <w:t>If you develop symptoms of a latex allergy, avoid direct contact with products containing latex until you can see a physician.</w:t>
            </w:r>
          </w:p>
        </w:tc>
        <w:tc>
          <w:tcPr>
            <w:tcW w:w="1705" w:type="dxa"/>
          </w:tcPr>
          <w:p w14:paraId="1966D4C8" w14:textId="650353A6" w:rsidR="00A95559" w:rsidRPr="00313C6D" w:rsidRDefault="00A95559" w:rsidP="00A95559">
            <w:r w:rsidRPr="00313C6D">
              <w:t>TRUE         FALSE</w:t>
            </w:r>
          </w:p>
        </w:tc>
      </w:tr>
      <w:tr w:rsidR="00A95559" w14:paraId="5462A987" w14:textId="77777777" w:rsidTr="00A95559">
        <w:tc>
          <w:tcPr>
            <w:tcW w:w="495" w:type="dxa"/>
          </w:tcPr>
          <w:p w14:paraId="5BE425C6" w14:textId="050523C0" w:rsidR="00A95559" w:rsidRDefault="00A95559" w:rsidP="00A95559">
            <w:r>
              <w:t>30.</w:t>
            </w:r>
          </w:p>
        </w:tc>
        <w:tc>
          <w:tcPr>
            <w:tcW w:w="8330" w:type="dxa"/>
          </w:tcPr>
          <w:p w14:paraId="5A8A0D65" w14:textId="69E5E485" w:rsidR="00A95559" w:rsidRDefault="00DC0B30" w:rsidP="00A95559">
            <w:r>
              <w:t xml:space="preserve">Medication </w:t>
            </w:r>
            <w:r w:rsidRPr="00DC0B30">
              <w:t>order</w:t>
            </w:r>
            <w:r>
              <w:t>s</w:t>
            </w:r>
            <w:r w:rsidRPr="00DC0B30">
              <w:t xml:space="preserve"> should include the drug name, dosage, </w:t>
            </w:r>
            <w:proofErr w:type="gramStart"/>
            <w:r w:rsidRPr="00DC0B30">
              <w:t>frequency</w:t>
            </w:r>
            <w:proofErr w:type="gramEnd"/>
            <w:r w:rsidRPr="00DC0B30">
              <w:t xml:space="preserve"> and route of administration. If any element is missing, check with the practitioner.</w:t>
            </w:r>
          </w:p>
        </w:tc>
        <w:tc>
          <w:tcPr>
            <w:tcW w:w="1705" w:type="dxa"/>
          </w:tcPr>
          <w:p w14:paraId="7D30CE2E" w14:textId="4BACF30D" w:rsidR="00A95559" w:rsidRPr="00313C6D" w:rsidRDefault="00A95559" w:rsidP="00A95559">
            <w:r w:rsidRPr="00313C6D">
              <w:t>TRUE         FALSE</w:t>
            </w:r>
          </w:p>
        </w:tc>
      </w:tr>
      <w:tr w:rsidR="00A95559" w14:paraId="2197D99A" w14:textId="77777777" w:rsidTr="00A95559">
        <w:tc>
          <w:tcPr>
            <w:tcW w:w="495" w:type="dxa"/>
          </w:tcPr>
          <w:p w14:paraId="01EC3056" w14:textId="1FFF0800" w:rsidR="00A95559" w:rsidRDefault="00A95559" w:rsidP="00A95559">
            <w:r>
              <w:t>31.</w:t>
            </w:r>
          </w:p>
        </w:tc>
        <w:tc>
          <w:tcPr>
            <w:tcW w:w="8330" w:type="dxa"/>
          </w:tcPr>
          <w:p w14:paraId="5D070CB6" w14:textId="49971A8D" w:rsidR="00A95559" w:rsidRDefault="00DC0B30" w:rsidP="00A95559">
            <w:r>
              <w:t>H</w:t>
            </w:r>
            <w:r w:rsidRPr="00DC0B30">
              <w:t>igh-alert medication</w:t>
            </w:r>
            <w:r>
              <w:t>s such as antidiabetic agents and anticoagulants require another</w:t>
            </w:r>
            <w:r w:rsidRPr="00DC0B30">
              <w:t xml:space="preserve"> nurse to perform an independent double check </w:t>
            </w:r>
            <w:r w:rsidR="00A57A1E">
              <w:t xml:space="preserve">only when you are stressed or tired. </w:t>
            </w:r>
          </w:p>
        </w:tc>
        <w:tc>
          <w:tcPr>
            <w:tcW w:w="1705" w:type="dxa"/>
          </w:tcPr>
          <w:p w14:paraId="727F882B" w14:textId="44F51B34" w:rsidR="00A95559" w:rsidRPr="00313C6D" w:rsidRDefault="00A95559" w:rsidP="00A95559">
            <w:r w:rsidRPr="00313C6D">
              <w:t>TRUE         FALSE</w:t>
            </w:r>
          </w:p>
        </w:tc>
      </w:tr>
      <w:tr w:rsidR="00A95559" w14:paraId="7DEE82D9" w14:textId="77777777" w:rsidTr="00A95559">
        <w:tc>
          <w:tcPr>
            <w:tcW w:w="495" w:type="dxa"/>
          </w:tcPr>
          <w:p w14:paraId="5983A5B6" w14:textId="46949A4D" w:rsidR="00A95559" w:rsidRDefault="00A95559" w:rsidP="00A95559">
            <w:r>
              <w:t>32.</w:t>
            </w:r>
          </w:p>
        </w:tc>
        <w:tc>
          <w:tcPr>
            <w:tcW w:w="8330" w:type="dxa"/>
          </w:tcPr>
          <w:p w14:paraId="2A791CDF" w14:textId="3B8E9895" w:rsidR="00A95559" w:rsidRDefault="003D03E7" w:rsidP="00A95559">
            <w:r>
              <w:t>Reducing stress and exercising regularly do not help healthcare workers maintain a healthy back.</w:t>
            </w:r>
          </w:p>
        </w:tc>
        <w:tc>
          <w:tcPr>
            <w:tcW w:w="1705" w:type="dxa"/>
          </w:tcPr>
          <w:p w14:paraId="0355641E" w14:textId="0A217FCC" w:rsidR="00A95559" w:rsidRPr="00313C6D" w:rsidRDefault="00A95559" w:rsidP="00A95559">
            <w:r w:rsidRPr="00313C6D">
              <w:t>TRUE         FALSE</w:t>
            </w:r>
          </w:p>
        </w:tc>
      </w:tr>
      <w:tr w:rsidR="00A95559" w14:paraId="6B0A1529" w14:textId="77777777" w:rsidTr="00A95559">
        <w:tc>
          <w:tcPr>
            <w:tcW w:w="495" w:type="dxa"/>
          </w:tcPr>
          <w:p w14:paraId="421EC8A1" w14:textId="010D9346" w:rsidR="00A95559" w:rsidRDefault="00A95559" w:rsidP="00A95559">
            <w:r>
              <w:t>33.</w:t>
            </w:r>
          </w:p>
        </w:tc>
        <w:tc>
          <w:tcPr>
            <w:tcW w:w="8330" w:type="dxa"/>
          </w:tcPr>
          <w:p w14:paraId="32039464" w14:textId="66794B41" w:rsidR="00A95559" w:rsidRDefault="003D03E7" w:rsidP="00A95559">
            <w:r>
              <w:t xml:space="preserve">Principles of good body mechanics include maintaining a wide base of support, keep your back straight and lower your center of gravity. </w:t>
            </w:r>
          </w:p>
        </w:tc>
        <w:tc>
          <w:tcPr>
            <w:tcW w:w="1705" w:type="dxa"/>
          </w:tcPr>
          <w:p w14:paraId="4E609A3E" w14:textId="423069C9" w:rsidR="00A95559" w:rsidRPr="00313C6D" w:rsidRDefault="00A95559" w:rsidP="00A95559">
            <w:r w:rsidRPr="00313C6D">
              <w:t>TRUE         FALSE</w:t>
            </w:r>
          </w:p>
        </w:tc>
      </w:tr>
      <w:tr w:rsidR="00A95559" w14:paraId="37323973" w14:textId="77777777" w:rsidTr="00A95559">
        <w:tc>
          <w:tcPr>
            <w:tcW w:w="495" w:type="dxa"/>
          </w:tcPr>
          <w:p w14:paraId="7CDAC186" w14:textId="7ACAAEDD" w:rsidR="00A95559" w:rsidRDefault="00A95559" w:rsidP="00A95559">
            <w:r>
              <w:t>34.</w:t>
            </w:r>
          </w:p>
        </w:tc>
        <w:tc>
          <w:tcPr>
            <w:tcW w:w="8330" w:type="dxa"/>
          </w:tcPr>
          <w:p w14:paraId="6F3F26CA" w14:textId="6394A244" w:rsidR="00A95559" w:rsidRDefault="003D03E7" w:rsidP="00A95559">
            <w:r>
              <w:t>C</w:t>
            </w:r>
            <w:r w:rsidRPr="003D03E7">
              <w:t>urrent regulations list seven classes of persons authorized to consent to donation on the deceased’s behalf</w:t>
            </w:r>
            <w:r>
              <w:t xml:space="preserve"> even if the </w:t>
            </w:r>
            <w:r w:rsidRPr="003D03E7">
              <w:t xml:space="preserve">dying or deceased patient has specifically given instructions </w:t>
            </w:r>
            <w:r w:rsidR="00F72C23">
              <w:t>not</w:t>
            </w:r>
            <w:r w:rsidRPr="003D03E7">
              <w:t xml:space="preserve"> to donate.</w:t>
            </w:r>
          </w:p>
        </w:tc>
        <w:tc>
          <w:tcPr>
            <w:tcW w:w="1705" w:type="dxa"/>
          </w:tcPr>
          <w:p w14:paraId="64C00FFD" w14:textId="56571218" w:rsidR="00A95559" w:rsidRPr="00313C6D" w:rsidRDefault="00A95559" w:rsidP="00A95559">
            <w:r w:rsidRPr="00313C6D">
              <w:t>TRUE         FALSE</w:t>
            </w:r>
          </w:p>
        </w:tc>
      </w:tr>
      <w:tr w:rsidR="00A95559" w14:paraId="0AF88ABC" w14:textId="77777777" w:rsidTr="00A95559">
        <w:tc>
          <w:tcPr>
            <w:tcW w:w="495" w:type="dxa"/>
          </w:tcPr>
          <w:p w14:paraId="1CD2B0C5" w14:textId="526D43B5" w:rsidR="00A95559" w:rsidRDefault="00A95559" w:rsidP="00A95559">
            <w:r>
              <w:t>35.</w:t>
            </w:r>
          </w:p>
        </w:tc>
        <w:tc>
          <w:tcPr>
            <w:tcW w:w="8330" w:type="dxa"/>
          </w:tcPr>
          <w:p w14:paraId="59D42DB0" w14:textId="167A05A1" w:rsidR="00A95559" w:rsidRDefault="00F72C23" w:rsidP="00A95559">
            <w:r w:rsidRPr="00F72C23">
              <w:t>Once a</w:t>
            </w:r>
            <w:r>
              <w:t>n organ/tissue</w:t>
            </w:r>
            <w:r w:rsidRPr="00F72C23">
              <w:t xml:space="preserve"> donor is accepted, the organ procurement coordinator (OPC) manages maintenance procedures focus</w:t>
            </w:r>
            <w:r>
              <w:t xml:space="preserve">ing </w:t>
            </w:r>
            <w:r w:rsidRPr="00F72C23">
              <w:t>on protecting organs and tissues through adequate perfusion and oxygenation.</w:t>
            </w:r>
          </w:p>
        </w:tc>
        <w:tc>
          <w:tcPr>
            <w:tcW w:w="1705" w:type="dxa"/>
          </w:tcPr>
          <w:p w14:paraId="3BE994A6" w14:textId="655E06E5" w:rsidR="00A95559" w:rsidRPr="00313C6D" w:rsidRDefault="00A95559" w:rsidP="00A95559">
            <w:r w:rsidRPr="00313C6D">
              <w:t>TRUE         FALSE</w:t>
            </w:r>
          </w:p>
        </w:tc>
      </w:tr>
      <w:tr w:rsidR="00A95559" w14:paraId="38A463C4" w14:textId="77777777" w:rsidTr="00A95559">
        <w:tc>
          <w:tcPr>
            <w:tcW w:w="495" w:type="dxa"/>
          </w:tcPr>
          <w:p w14:paraId="7BEF0D62" w14:textId="4E527E40" w:rsidR="00A95559" w:rsidRDefault="00A95559" w:rsidP="00A95559">
            <w:r>
              <w:t>36.</w:t>
            </w:r>
          </w:p>
        </w:tc>
        <w:tc>
          <w:tcPr>
            <w:tcW w:w="8330" w:type="dxa"/>
          </w:tcPr>
          <w:p w14:paraId="1CE1668F" w14:textId="17A520B6" w:rsidR="00A95559" w:rsidRDefault="00F72C23" w:rsidP="00A95559">
            <w:r>
              <w:t>S</w:t>
            </w:r>
            <w:r w:rsidRPr="00F72C23">
              <w:t>elf</w:t>
            </w:r>
            <w:r>
              <w:t>-</w:t>
            </w:r>
            <w:r w:rsidRPr="00F72C23">
              <w:t>reporting is the gold standard for pain assessment</w:t>
            </w:r>
            <w:r>
              <w:t xml:space="preserve"> as p</w:t>
            </w:r>
            <w:r w:rsidRPr="00F72C23">
              <w:t>ain is an internal experience that cannot be properly measured through physiological signs</w:t>
            </w:r>
            <w:r>
              <w:t>.</w:t>
            </w:r>
          </w:p>
        </w:tc>
        <w:tc>
          <w:tcPr>
            <w:tcW w:w="1705" w:type="dxa"/>
          </w:tcPr>
          <w:p w14:paraId="0E283C77" w14:textId="633B79C6" w:rsidR="00A95559" w:rsidRPr="00313C6D" w:rsidRDefault="00A95559" w:rsidP="00A95559">
            <w:r w:rsidRPr="00313C6D">
              <w:t>TRUE         FALSE</w:t>
            </w:r>
          </w:p>
        </w:tc>
      </w:tr>
      <w:tr w:rsidR="00A95559" w14:paraId="7FAA10FF" w14:textId="77777777" w:rsidTr="00A95559">
        <w:tc>
          <w:tcPr>
            <w:tcW w:w="495" w:type="dxa"/>
          </w:tcPr>
          <w:p w14:paraId="19FB62B7" w14:textId="5345E60A" w:rsidR="00A95559" w:rsidRDefault="00A95559" w:rsidP="00A95559">
            <w:r>
              <w:t>37.</w:t>
            </w:r>
          </w:p>
        </w:tc>
        <w:tc>
          <w:tcPr>
            <w:tcW w:w="8330" w:type="dxa"/>
          </w:tcPr>
          <w:p w14:paraId="5C06B4A3" w14:textId="37453F7A" w:rsidR="00A95559" w:rsidRDefault="00F72C23" w:rsidP="00F72C23">
            <w:r w:rsidRPr="00F72C23">
              <w:t xml:space="preserve">Numeric Pain Rating Scale </w:t>
            </w:r>
            <w:r>
              <w:t>(</w:t>
            </w:r>
            <w:r w:rsidRPr="00F72C23">
              <w:t>1-10 self-reporting pain scale</w:t>
            </w:r>
            <w:r>
              <w:t xml:space="preserve">) </w:t>
            </w:r>
            <w:r w:rsidRPr="00F72C23">
              <w:t>is used for mentally impaired or confused adults.</w:t>
            </w:r>
          </w:p>
        </w:tc>
        <w:tc>
          <w:tcPr>
            <w:tcW w:w="1705" w:type="dxa"/>
          </w:tcPr>
          <w:p w14:paraId="084CA6DD" w14:textId="7BBB810F" w:rsidR="00A95559" w:rsidRPr="00313C6D" w:rsidRDefault="00A95559" w:rsidP="00A95559">
            <w:r w:rsidRPr="00313C6D">
              <w:t>TRUE         FALSE</w:t>
            </w:r>
          </w:p>
        </w:tc>
      </w:tr>
      <w:tr w:rsidR="00A95559" w14:paraId="43606018" w14:textId="77777777" w:rsidTr="00A95559">
        <w:tc>
          <w:tcPr>
            <w:tcW w:w="495" w:type="dxa"/>
          </w:tcPr>
          <w:p w14:paraId="3A5B06FD" w14:textId="6148DC61" w:rsidR="00A95559" w:rsidRDefault="00A95559" w:rsidP="00A95559">
            <w:r>
              <w:t>38.</w:t>
            </w:r>
          </w:p>
        </w:tc>
        <w:tc>
          <w:tcPr>
            <w:tcW w:w="8330" w:type="dxa"/>
          </w:tcPr>
          <w:p w14:paraId="5127F798" w14:textId="3C1A3267" w:rsidR="00A95559" w:rsidRDefault="00F72C23" w:rsidP="00A95559">
            <w:r>
              <w:t xml:space="preserve">Patient’s Bill of Rights include the right to information disclosure, choice of providers and plans, </w:t>
            </w:r>
            <w:r w:rsidR="008454E6">
              <w:t>and the right to conceal personal healthcare information.</w:t>
            </w:r>
          </w:p>
        </w:tc>
        <w:tc>
          <w:tcPr>
            <w:tcW w:w="1705" w:type="dxa"/>
          </w:tcPr>
          <w:p w14:paraId="05525A57" w14:textId="63531E60" w:rsidR="00A95559" w:rsidRPr="00313C6D" w:rsidRDefault="00A95559" w:rsidP="00A95559">
            <w:r w:rsidRPr="00313C6D">
              <w:t>TRUE         FALSE</w:t>
            </w:r>
          </w:p>
        </w:tc>
      </w:tr>
      <w:tr w:rsidR="00A95559" w14:paraId="2638300C" w14:textId="77777777" w:rsidTr="00A95559">
        <w:tc>
          <w:tcPr>
            <w:tcW w:w="495" w:type="dxa"/>
          </w:tcPr>
          <w:p w14:paraId="6353642A" w14:textId="74137907" w:rsidR="00A95559" w:rsidRDefault="00A95559" w:rsidP="00A95559">
            <w:r>
              <w:t>39.</w:t>
            </w:r>
          </w:p>
        </w:tc>
        <w:tc>
          <w:tcPr>
            <w:tcW w:w="8330" w:type="dxa"/>
          </w:tcPr>
          <w:p w14:paraId="11368B3C" w14:textId="0D70AAB9" w:rsidR="00A95559" w:rsidRDefault="008454E6" w:rsidP="00A95559">
            <w:r>
              <w:t>Patient’s Rights outlined by the Joint Commission include the right to have a language interpreter if needed.</w:t>
            </w:r>
          </w:p>
        </w:tc>
        <w:tc>
          <w:tcPr>
            <w:tcW w:w="1705" w:type="dxa"/>
          </w:tcPr>
          <w:p w14:paraId="74882674" w14:textId="06C12185" w:rsidR="00A95559" w:rsidRPr="00313C6D" w:rsidRDefault="00A95559" w:rsidP="00A95559">
            <w:r w:rsidRPr="00313C6D">
              <w:t>TRUE         FALSE</w:t>
            </w:r>
          </w:p>
        </w:tc>
      </w:tr>
      <w:tr w:rsidR="00A95559" w14:paraId="4F702145" w14:textId="77777777" w:rsidTr="00A95559">
        <w:tc>
          <w:tcPr>
            <w:tcW w:w="495" w:type="dxa"/>
          </w:tcPr>
          <w:p w14:paraId="5497F23B" w14:textId="66F108EC" w:rsidR="00A95559" w:rsidRDefault="00A95559" w:rsidP="00A95559">
            <w:r>
              <w:lastRenderedPageBreak/>
              <w:t>40.</w:t>
            </w:r>
          </w:p>
        </w:tc>
        <w:tc>
          <w:tcPr>
            <w:tcW w:w="8330" w:type="dxa"/>
          </w:tcPr>
          <w:p w14:paraId="6434B246" w14:textId="4E60416A" w:rsidR="00A95559" w:rsidRDefault="008454E6" w:rsidP="00A95559">
            <w:r w:rsidRPr="008454E6">
              <w:t xml:space="preserve">Health care providers can unknowingly neglect patients by leaving a patient on the bedpan for an extended period of time, moving walking aid devises out of reach keeping patients in bed, </w:t>
            </w:r>
            <w:r>
              <w:t xml:space="preserve">or </w:t>
            </w:r>
            <w:r w:rsidRPr="008454E6">
              <w:t>charting a patient has been repositioned but forgetting to do so</w:t>
            </w:r>
            <w:r>
              <w:t xml:space="preserve">. </w:t>
            </w:r>
          </w:p>
        </w:tc>
        <w:tc>
          <w:tcPr>
            <w:tcW w:w="1705" w:type="dxa"/>
          </w:tcPr>
          <w:p w14:paraId="54A81666" w14:textId="3A2F9A39" w:rsidR="00A95559" w:rsidRPr="00313C6D" w:rsidRDefault="00A95559" w:rsidP="00A95559">
            <w:r w:rsidRPr="00313C6D">
              <w:t>TRUE         FALSE</w:t>
            </w:r>
          </w:p>
        </w:tc>
      </w:tr>
      <w:tr w:rsidR="00A95559" w14:paraId="405F8180" w14:textId="77777777" w:rsidTr="00A95559">
        <w:tc>
          <w:tcPr>
            <w:tcW w:w="495" w:type="dxa"/>
          </w:tcPr>
          <w:p w14:paraId="1BB92238" w14:textId="2B75B45D" w:rsidR="00A95559" w:rsidRDefault="00A95559" w:rsidP="00A95559">
            <w:r>
              <w:t>41.</w:t>
            </w:r>
          </w:p>
        </w:tc>
        <w:tc>
          <w:tcPr>
            <w:tcW w:w="8330" w:type="dxa"/>
          </w:tcPr>
          <w:p w14:paraId="28628321" w14:textId="631DCC25" w:rsidR="00A95559" w:rsidRDefault="008454E6" w:rsidP="00A95559">
            <w:r w:rsidRPr="008454E6">
              <w:t xml:space="preserve">Anyone of any race, age, sexual orientation, </w:t>
            </w:r>
            <w:proofErr w:type="gramStart"/>
            <w:r w:rsidRPr="008454E6">
              <w:t>religion</w:t>
            </w:r>
            <w:proofErr w:type="gramEnd"/>
            <w:r w:rsidRPr="008454E6">
              <w:t xml:space="preserve"> or gender can be a victim – or perpetrator – of domestic violence.</w:t>
            </w:r>
          </w:p>
        </w:tc>
        <w:tc>
          <w:tcPr>
            <w:tcW w:w="1705" w:type="dxa"/>
          </w:tcPr>
          <w:p w14:paraId="664D5916" w14:textId="4F3C4B4E" w:rsidR="00A95559" w:rsidRPr="00313C6D" w:rsidRDefault="00A95559" w:rsidP="00A95559">
            <w:r w:rsidRPr="00313C6D">
              <w:t>TRUE         FALSE</w:t>
            </w:r>
          </w:p>
        </w:tc>
      </w:tr>
      <w:tr w:rsidR="00A95559" w14:paraId="23BE2970" w14:textId="77777777" w:rsidTr="00A95559">
        <w:tc>
          <w:tcPr>
            <w:tcW w:w="495" w:type="dxa"/>
          </w:tcPr>
          <w:p w14:paraId="2AF7E38B" w14:textId="784600BF" w:rsidR="00A95559" w:rsidRDefault="00A95559" w:rsidP="00A95559">
            <w:r>
              <w:t>42.</w:t>
            </w:r>
          </w:p>
        </w:tc>
        <w:tc>
          <w:tcPr>
            <w:tcW w:w="8330" w:type="dxa"/>
          </w:tcPr>
          <w:p w14:paraId="02E10F63" w14:textId="464E0749" w:rsidR="00A95559" w:rsidRDefault="008454E6" w:rsidP="00A95559">
            <w:r w:rsidRPr="008454E6">
              <w:t xml:space="preserve">Alternative approaches </w:t>
            </w:r>
            <w:r w:rsidR="00B262F9">
              <w:t xml:space="preserve">do not need to </w:t>
            </w:r>
            <w:r w:rsidRPr="008454E6">
              <w:t>be considered prior to the use of restraint</w:t>
            </w:r>
            <w:r w:rsidR="00B262F9">
              <w:t xml:space="preserve"> for non-violent behaviors</w:t>
            </w:r>
            <w:r w:rsidRPr="008454E6">
              <w:t>.</w:t>
            </w:r>
          </w:p>
        </w:tc>
        <w:tc>
          <w:tcPr>
            <w:tcW w:w="1705" w:type="dxa"/>
          </w:tcPr>
          <w:p w14:paraId="0F17EBCF" w14:textId="5721DDEE" w:rsidR="00A95559" w:rsidRPr="00313C6D" w:rsidRDefault="00A95559" w:rsidP="00A95559">
            <w:r w:rsidRPr="00313C6D">
              <w:t>TRUE         FALSE</w:t>
            </w:r>
          </w:p>
        </w:tc>
      </w:tr>
      <w:tr w:rsidR="00A95559" w14:paraId="6597CEA3" w14:textId="77777777" w:rsidTr="00A95559">
        <w:tc>
          <w:tcPr>
            <w:tcW w:w="495" w:type="dxa"/>
          </w:tcPr>
          <w:p w14:paraId="514871DF" w14:textId="2953BE97" w:rsidR="00A95559" w:rsidRDefault="00A95559" w:rsidP="00A95559">
            <w:r>
              <w:t>43.</w:t>
            </w:r>
          </w:p>
        </w:tc>
        <w:tc>
          <w:tcPr>
            <w:tcW w:w="8330" w:type="dxa"/>
          </w:tcPr>
          <w:p w14:paraId="63455D17" w14:textId="7FC08486" w:rsidR="00A95559" w:rsidRDefault="00B262F9" w:rsidP="00A95559">
            <w:r>
              <w:t>Physicians may create standing orders or renewal orders for restraint use.</w:t>
            </w:r>
          </w:p>
        </w:tc>
        <w:tc>
          <w:tcPr>
            <w:tcW w:w="1705" w:type="dxa"/>
          </w:tcPr>
          <w:p w14:paraId="77111677" w14:textId="494BD132" w:rsidR="00A95559" w:rsidRPr="00313C6D" w:rsidRDefault="00A95559" w:rsidP="00A95559">
            <w:r w:rsidRPr="00313C6D">
              <w:t>TRUE         FALSE</w:t>
            </w:r>
          </w:p>
        </w:tc>
      </w:tr>
      <w:tr w:rsidR="00A95559" w14:paraId="0FD00DE9" w14:textId="77777777" w:rsidTr="00A95559">
        <w:tc>
          <w:tcPr>
            <w:tcW w:w="495" w:type="dxa"/>
          </w:tcPr>
          <w:p w14:paraId="0BDF235A" w14:textId="40560C00" w:rsidR="00A95559" w:rsidRDefault="00A95559" w:rsidP="00A95559">
            <w:r>
              <w:t>44.</w:t>
            </w:r>
          </w:p>
        </w:tc>
        <w:tc>
          <w:tcPr>
            <w:tcW w:w="8330" w:type="dxa"/>
          </w:tcPr>
          <w:p w14:paraId="0A5BE8E6" w14:textId="60BFAB48" w:rsidR="00A95559" w:rsidRDefault="00E22AA5" w:rsidP="00A95559">
            <w:r>
              <w:t>W</w:t>
            </w:r>
            <w:r w:rsidRPr="00E22AA5">
              <w:t xml:space="preserve">orkplace violence </w:t>
            </w:r>
            <w:r>
              <w:t xml:space="preserve">includes </w:t>
            </w:r>
            <w:r w:rsidRPr="00E22AA5">
              <w:t>any act of physical violence</w:t>
            </w:r>
            <w:r>
              <w:t>; it does not include threats</w:t>
            </w:r>
            <w:r w:rsidRPr="00E22AA5">
              <w:t xml:space="preserve">, harassment, </w:t>
            </w:r>
            <w:r>
              <w:t xml:space="preserve">or </w:t>
            </w:r>
            <w:r w:rsidRPr="00E22AA5">
              <w:t>intimidation</w:t>
            </w:r>
            <w:r>
              <w:t>.</w:t>
            </w:r>
          </w:p>
        </w:tc>
        <w:tc>
          <w:tcPr>
            <w:tcW w:w="1705" w:type="dxa"/>
          </w:tcPr>
          <w:p w14:paraId="030271B0" w14:textId="7CA54DEB" w:rsidR="00A95559" w:rsidRPr="00313C6D" w:rsidRDefault="00A95559" w:rsidP="00A95559">
            <w:r w:rsidRPr="00313C6D">
              <w:t>TRUE         FALSE</w:t>
            </w:r>
          </w:p>
        </w:tc>
      </w:tr>
      <w:tr w:rsidR="00A95559" w14:paraId="51CA9B87" w14:textId="77777777" w:rsidTr="00A95559">
        <w:tc>
          <w:tcPr>
            <w:tcW w:w="495" w:type="dxa"/>
          </w:tcPr>
          <w:p w14:paraId="3BB25420" w14:textId="4F2C2F80" w:rsidR="00A95559" w:rsidRDefault="00A95559" w:rsidP="00A95559">
            <w:r>
              <w:t>45.</w:t>
            </w:r>
          </w:p>
        </w:tc>
        <w:tc>
          <w:tcPr>
            <w:tcW w:w="8330" w:type="dxa"/>
          </w:tcPr>
          <w:p w14:paraId="43522E1C" w14:textId="379A876A" w:rsidR="00A95559" w:rsidRDefault="00E22AA5" w:rsidP="00A95559">
            <w:r w:rsidRPr="00E22AA5">
              <w:t>Provid</w:t>
            </w:r>
            <w:r>
              <w:t>ing</w:t>
            </w:r>
            <w:r w:rsidRPr="00E22AA5">
              <w:t xml:space="preserve"> on-site security services, entrance security, identification badges to all staff members, special keys to restricted areas, and security cameras help ensure safety</w:t>
            </w:r>
            <w:r w:rsidR="00455C6D">
              <w:t xml:space="preserve"> and prevent workplace violence</w:t>
            </w:r>
            <w:r w:rsidRPr="00E22AA5">
              <w:t>.</w:t>
            </w:r>
          </w:p>
        </w:tc>
        <w:tc>
          <w:tcPr>
            <w:tcW w:w="1705" w:type="dxa"/>
          </w:tcPr>
          <w:p w14:paraId="42BFC3E2" w14:textId="6CAB19A5" w:rsidR="00A95559" w:rsidRPr="00313C6D" w:rsidRDefault="00A95559" w:rsidP="00A95559">
            <w:r w:rsidRPr="00313C6D">
              <w:t>TRUE         FALSE</w:t>
            </w:r>
          </w:p>
        </w:tc>
      </w:tr>
      <w:tr w:rsidR="00A95559" w14:paraId="2E634E72" w14:textId="77777777" w:rsidTr="00A95559">
        <w:tc>
          <w:tcPr>
            <w:tcW w:w="495" w:type="dxa"/>
          </w:tcPr>
          <w:p w14:paraId="64BD6F7E" w14:textId="2146A347" w:rsidR="00A95559" w:rsidRDefault="00A95559" w:rsidP="00A95559">
            <w:r>
              <w:t>46.</w:t>
            </w:r>
          </w:p>
        </w:tc>
        <w:tc>
          <w:tcPr>
            <w:tcW w:w="8330" w:type="dxa"/>
          </w:tcPr>
          <w:p w14:paraId="526B32BA" w14:textId="5E47E1E9" w:rsidR="00A95559" w:rsidRDefault="00455C6D" w:rsidP="00A95559">
            <w:r w:rsidRPr="00455C6D">
              <w:t>Sexual harassment includes any unwanted verbal of physical sexual behaviors and/or sexual requests.</w:t>
            </w:r>
          </w:p>
        </w:tc>
        <w:tc>
          <w:tcPr>
            <w:tcW w:w="1705" w:type="dxa"/>
          </w:tcPr>
          <w:p w14:paraId="7585F05E" w14:textId="7B03B0B8" w:rsidR="00A95559" w:rsidRPr="00313C6D" w:rsidRDefault="00A95559" w:rsidP="00A95559">
            <w:r w:rsidRPr="00313C6D">
              <w:t>TRUE         FALSE</w:t>
            </w:r>
          </w:p>
        </w:tc>
      </w:tr>
      <w:tr w:rsidR="00A95559" w14:paraId="2816203B" w14:textId="77777777" w:rsidTr="00A95559">
        <w:tc>
          <w:tcPr>
            <w:tcW w:w="495" w:type="dxa"/>
          </w:tcPr>
          <w:p w14:paraId="32C52E7A" w14:textId="6136D178" w:rsidR="00A95559" w:rsidRDefault="00A95559" w:rsidP="00A95559">
            <w:r>
              <w:t>47.</w:t>
            </w:r>
          </w:p>
        </w:tc>
        <w:tc>
          <w:tcPr>
            <w:tcW w:w="8330" w:type="dxa"/>
          </w:tcPr>
          <w:p w14:paraId="5194C799" w14:textId="3E676278" w:rsidR="00A95559" w:rsidRDefault="00455C6D" w:rsidP="00A95559">
            <w:r>
              <w:t>J</w:t>
            </w:r>
            <w:r w:rsidRPr="00455C6D">
              <w:t>okes or gestures of a sexual nature</w:t>
            </w:r>
            <w:r>
              <w:t xml:space="preserve">, </w:t>
            </w:r>
            <w:proofErr w:type="gramStart"/>
            <w:r>
              <w:t>as long as</w:t>
            </w:r>
            <w:proofErr w:type="gramEnd"/>
            <w:r>
              <w:t xml:space="preserve"> they are not physical, are not considered examples of sexual harassment. </w:t>
            </w:r>
          </w:p>
        </w:tc>
        <w:tc>
          <w:tcPr>
            <w:tcW w:w="1705" w:type="dxa"/>
          </w:tcPr>
          <w:p w14:paraId="53BA2B26" w14:textId="579F84B2" w:rsidR="00A95559" w:rsidRPr="00313C6D" w:rsidRDefault="00A95559" w:rsidP="00A95559">
            <w:r w:rsidRPr="00313C6D">
              <w:t>TRUE         FALSE</w:t>
            </w:r>
          </w:p>
        </w:tc>
      </w:tr>
      <w:tr w:rsidR="00A95559" w14:paraId="4B6651DB" w14:textId="77777777" w:rsidTr="00A95559">
        <w:tc>
          <w:tcPr>
            <w:tcW w:w="495" w:type="dxa"/>
          </w:tcPr>
          <w:p w14:paraId="73DF3F96" w14:textId="1218F11A" w:rsidR="00A95559" w:rsidRDefault="00A95559" w:rsidP="00A95559">
            <w:r>
              <w:t>48.</w:t>
            </w:r>
          </w:p>
        </w:tc>
        <w:tc>
          <w:tcPr>
            <w:tcW w:w="8330" w:type="dxa"/>
          </w:tcPr>
          <w:p w14:paraId="56975A9F" w14:textId="40931D5F" w:rsidR="00A95559" w:rsidRDefault="00455C6D" w:rsidP="00A95559">
            <w:r>
              <w:t xml:space="preserve">Tuberculosis (TB) </w:t>
            </w:r>
            <w:r w:rsidRPr="00455C6D">
              <w:t xml:space="preserve">is spread when a person with active TB expels the droplets in the air when they cough, sneeze, sing, or speak. </w:t>
            </w:r>
          </w:p>
        </w:tc>
        <w:tc>
          <w:tcPr>
            <w:tcW w:w="1705" w:type="dxa"/>
          </w:tcPr>
          <w:p w14:paraId="077C6CCB" w14:textId="1DB27243" w:rsidR="00A95559" w:rsidRPr="00313C6D" w:rsidRDefault="00A95559" w:rsidP="00A95559">
            <w:r w:rsidRPr="00313C6D">
              <w:t>TRUE         FALSE</w:t>
            </w:r>
          </w:p>
        </w:tc>
      </w:tr>
      <w:tr w:rsidR="00A95559" w14:paraId="7CAF8E2E" w14:textId="77777777" w:rsidTr="00A95559">
        <w:tc>
          <w:tcPr>
            <w:tcW w:w="495" w:type="dxa"/>
          </w:tcPr>
          <w:p w14:paraId="2F5F1B8C" w14:textId="0FE5CA73" w:rsidR="00A95559" w:rsidRDefault="00A95559" w:rsidP="00A95559">
            <w:r>
              <w:t>49.</w:t>
            </w:r>
          </w:p>
        </w:tc>
        <w:tc>
          <w:tcPr>
            <w:tcW w:w="8330" w:type="dxa"/>
          </w:tcPr>
          <w:p w14:paraId="6EB08D4B" w14:textId="157A8CC3" w:rsidR="00A95559" w:rsidRDefault="00455C6D" w:rsidP="00A95559">
            <w:r>
              <w:t xml:space="preserve">If diagnosed early, TB is curable.  </w:t>
            </w:r>
          </w:p>
        </w:tc>
        <w:tc>
          <w:tcPr>
            <w:tcW w:w="1705" w:type="dxa"/>
          </w:tcPr>
          <w:p w14:paraId="0629625F" w14:textId="61D646C2" w:rsidR="00A95559" w:rsidRPr="00313C6D" w:rsidRDefault="00A95559" w:rsidP="00A95559">
            <w:r w:rsidRPr="00313C6D">
              <w:t>TRUE         FALSE</w:t>
            </w:r>
          </w:p>
        </w:tc>
      </w:tr>
      <w:tr w:rsidR="00A95559" w14:paraId="52079190" w14:textId="77777777" w:rsidTr="00A95559">
        <w:tc>
          <w:tcPr>
            <w:tcW w:w="495" w:type="dxa"/>
          </w:tcPr>
          <w:p w14:paraId="75EE7956" w14:textId="2DEDD133" w:rsidR="00A95559" w:rsidRDefault="00A95559" w:rsidP="00A95559">
            <w:r>
              <w:t>50.</w:t>
            </w:r>
          </w:p>
        </w:tc>
        <w:tc>
          <w:tcPr>
            <w:tcW w:w="8330" w:type="dxa"/>
          </w:tcPr>
          <w:p w14:paraId="58B1D78B" w14:textId="2823A9E0" w:rsidR="00A95559" w:rsidRDefault="00DD7D6D" w:rsidP="00A95559">
            <w:r>
              <w:t xml:space="preserve">Universal Precautions are intended to prevent exposure to human blood or other body fluids when the source individual is known to be infectious. </w:t>
            </w:r>
          </w:p>
        </w:tc>
        <w:tc>
          <w:tcPr>
            <w:tcW w:w="1705" w:type="dxa"/>
          </w:tcPr>
          <w:p w14:paraId="39A6E0B7" w14:textId="7465792F" w:rsidR="00A95559" w:rsidRPr="00313C6D" w:rsidRDefault="00A95559" w:rsidP="00A95559">
            <w:r w:rsidRPr="00313C6D">
              <w:t>TRUE         FALSE</w:t>
            </w:r>
          </w:p>
        </w:tc>
      </w:tr>
    </w:tbl>
    <w:p w14:paraId="7F88F334" w14:textId="690E0BD2" w:rsidR="009956B2" w:rsidRDefault="009956B2" w:rsidP="009956B2"/>
    <w:p w14:paraId="21D4F962" w14:textId="77777777" w:rsidR="009956B2" w:rsidRDefault="009956B2" w:rsidP="00A95559">
      <w:pPr>
        <w:pStyle w:val="ListParagraph"/>
      </w:pPr>
    </w:p>
    <w:sectPr w:rsidR="009956B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A3FEF" w14:textId="77777777" w:rsidR="00A60416" w:rsidRDefault="00A60416" w:rsidP="009956B2">
      <w:pPr>
        <w:spacing w:after="0" w:line="240" w:lineRule="auto"/>
      </w:pPr>
      <w:r>
        <w:separator/>
      </w:r>
    </w:p>
  </w:endnote>
  <w:endnote w:type="continuationSeparator" w:id="0">
    <w:p w14:paraId="489FB940" w14:textId="77777777" w:rsidR="00A60416" w:rsidRDefault="00A60416" w:rsidP="00995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8"/>
        <w:szCs w:val="18"/>
      </w:rPr>
      <w:id w:val="888621100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1F4B8F1E" w14:textId="64AFC667" w:rsidR="009956B2" w:rsidRPr="009956B2" w:rsidRDefault="009956B2">
            <w:pPr>
              <w:pStyle w:val="Footer"/>
              <w:jc w:val="center"/>
              <w:rPr>
                <w:sz w:val="18"/>
                <w:szCs w:val="18"/>
              </w:rPr>
            </w:pPr>
            <w:r w:rsidRPr="009956B2">
              <w:rPr>
                <w:sz w:val="18"/>
                <w:szCs w:val="18"/>
              </w:rPr>
              <w:t xml:space="preserve">Page </w:t>
            </w:r>
            <w:r w:rsidRPr="009956B2">
              <w:rPr>
                <w:b/>
                <w:bCs/>
                <w:sz w:val="18"/>
                <w:szCs w:val="18"/>
              </w:rPr>
              <w:fldChar w:fldCharType="begin"/>
            </w:r>
            <w:r w:rsidRPr="009956B2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9956B2">
              <w:rPr>
                <w:b/>
                <w:bCs/>
                <w:sz w:val="18"/>
                <w:szCs w:val="18"/>
              </w:rPr>
              <w:fldChar w:fldCharType="separate"/>
            </w:r>
            <w:r w:rsidRPr="009956B2">
              <w:rPr>
                <w:b/>
                <w:bCs/>
                <w:noProof/>
                <w:sz w:val="18"/>
                <w:szCs w:val="18"/>
              </w:rPr>
              <w:t>2</w:t>
            </w:r>
            <w:r w:rsidRPr="009956B2">
              <w:rPr>
                <w:b/>
                <w:bCs/>
                <w:sz w:val="18"/>
                <w:szCs w:val="18"/>
              </w:rPr>
              <w:fldChar w:fldCharType="end"/>
            </w:r>
            <w:r w:rsidRPr="009956B2">
              <w:rPr>
                <w:sz w:val="18"/>
                <w:szCs w:val="18"/>
              </w:rPr>
              <w:t xml:space="preserve"> of </w:t>
            </w:r>
            <w:r w:rsidRPr="009956B2">
              <w:rPr>
                <w:b/>
                <w:bCs/>
                <w:sz w:val="18"/>
                <w:szCs w:val="18"/>
              </w:rPr>
              <w:fldChar w:fldCharType="begin"/>
            </w:r>
            <w:r w:rsidRPr="009956B2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9956B2">
              <w:rPr>
                <w:b/>
                <w:bCs/>
                <w:sz w:val="18"/>
                <w:szCs w:val="18"/>
              </w:rPr>
              <w:fldChar w:fldCharType="separate"/>
            </w:r>
            <w:r w:rsidRPr="009956B2">
              <w:rPr>
                <w:b/>
                <w:bCs/>
                <w:noProof/>
                <w:sz w:val="18"/>
                <w:szCs w:val="18"/>
              </w:rPr>
              <w:t>2</w:t>
            </w:r>
            <w:r w:rsidRPr="009956B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A6B0949" w14:textId="77777777" w:rsidR="009956B2" w:rsidRPr="009956B2" w:rsidRDefault="009956B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72CA7" w14:textId="77777777" w:rsidR="00A60416" w:rsidRDefault="00A60416" w:rsidP="009956B2">
      <w:pPr>
        <w:spacing w:after="0" w:line="240" w:lineRule="auto"/>
      </w:pPr>
      <w:r>
        <w:separator/>
      </w:r>
    </w:p>
  </w:footnote>
  <w:footnote w:type="continuationSeparator" w:id="0">
    <w:p w14:paraId="77204373" w14:textId="77777777" w:rsidR="00A60416" w:rsidRDefault="00A60416" w:rsidP="00995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4F48A" w14:textId="77777777" w:rsidR="009956B2" w:rsidRPr="009956B2" w:rsidRDefault="009956B2" w:rsidP="009956B2">
    <w:pPr>
      <w:pStyle w:val="Header"/>
      <w:jc w:val="center"/>
      <w:rPr>
        <w:sz w:val="24"/>
        <w:szCs w:val="24"/>
      </w:rPr>
    </w:pPr>
    <w:r w:rsidRPr="009956B2">
      <w:rPr>
        <w:sz w:val="24"/>
        <w:szCs w:val="24"/>
      </w:rPr>
      <w:t>Bird in Hand Staffing</w:t>
    </w:r>
  </w:p>
  <w:p w14:paraId="6A38247E" w14:textId="6508B3C3" w:rsidR="009956B2" w:rsidRDefault="009956B2" w:rsidP="009956B2">
    <w:pPr>
      <w:pStyle w:val="Header"/>
      <w:jc w:val="center"/>
    </w:pPr>
    <w:r w:rsidRPr="009956B2">
      <w:rPr>
        <w:sz w:val="24"/>
        <w:szCs w:val="24"/>
      </w:rPr>
      <w:t>Agency Orientation Post Test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12661"/>
    <w:multiLevelType w:val="hybridMultilevel"/>
    <w:tmpl w:val="AE08F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523B5"/>
    <w:multiLevelType w:val="hybridMultilevel"/>
    <w:tmpl w:val="1ED884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DC2DB5"/>
    <w:multiLevelType w:val="hybridMultilevel"/>
    <w:tmpl w:val="56C2E0CA"/>
    <w:lvl w:ilvl="0" w:tplc="4ADA0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7E9D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C8C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EC3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410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80D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00D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4A5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B26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36D10FC"/>
    <w:multiLevelType w:val="hybridMultilevel"/>
    <w:tmpl w:val="678E53E2"/>
    <w:lvl w:ilvl="0" w:tplc="6D921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101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F2F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78E4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A2D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C67D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6CA6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3A90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8AD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6C27989"/>
    <w:multiLevelType w:val="hybridMultilevel"/>
    <w:tmpl w:val="B70AA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B2"/>
    <w:rsid w:val="000C7E06"/>
    <w:rsid w:val="00204C14"/>
    <w:rsid w:val="00231EA3"/>
    <w:rsid w:val="00313C6D"/>
    <w:rsid w:val="003D03E7"/>
    <w:rsid w:val="00455C6D"/>
    <w:rsid w:val="006721B0"/>
    <w:rsid w:val="00700A43"/>
    <w:rsid w:val="00830808"/>
    <w:rsid w:val="008454E6"/>
    <w:rsid w:val="009956B2"/>
    <w:rsid w:val="009B6C65"/>
    <w:rsid w:val="009E716F"/>
    <w:rsid w:val="00A57A1E"/>
    <w:rsid w:val="00A60416"/>
    <w:rsid w:val="00A921FC"/>
    <w:rsid w:val="00A95559"/>
    <w:rsid w:val="00B262F9"/>
    <w:rsid w:val="00BE0708"/>
    <w:rsid w:val="00D20A9B"/>
    <w:rsid w:val="00DC0B30"/>
    <w:rsid w:val="00DD7D6D"/>
    <w:rsid w:val="00E22AA5"/>
    <w:rsid w:val="00E93E7D"/>
    <w:rsid w:val="00F72C23"/>
    <w:rsid w:val="00F9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F882B"/>
  <w15:chartTrackingRefBased/>
  <w15:docId w15:val="{C5FBFFF5-B8BD-4150-A87C-77E75DF0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6B2"/>
  </w:style>
  <w:style w:type="paragraph" w:styleId="Footer">
    <w:name w:val="footer"/>
    <w:basedOn w:val="Normal"/>
    <w:link w:val="FooterChar"/>
    <w:uiPriority w:val="99"/>
    <w:unhideWhenUsed/>
    <w:rsid w:val="00995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6B2"/>
  </w:style>
  <w:style w:type="paragraph" w:styleId="ListParagraph">
    <w:name w:val="List Paragraph"/>
    <w:basedOn w:val="Normal"/>
    <w:uiPriority w:val="34"/>
    <w:qFormat/>
    <w:rsid w:val="009956B2"/>
    <w:pPr>
      <w:ind w:left="720"/>
      <w:contextualSpacing/>
    </w:pPr>
  </w:style>
  <w:style w:type="table" w:styleId="TableGrid">
    <w:name w:val="Table Grid"/>
    <w:basedOn w:val="TableNormal"/>
    <w:uiPriority w:val="39"/>
    <w:rsid w:val="00995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2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3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87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Heilstedt</dc:creator>
  <cp:keywords/>
  <dc:description/>
  <cp:lastModifiedBy>Lori Heilstedt</cp:lastModifiedBy>
  <cp:revision>2</cp:revision>
  <dcterms:created xsi:type="dcterms:W3CDTF">2020-08-12T23:02:00Z</dcterms:created>
  <dcterms:modified xsi:type="dcterms:W3CDTF">2020-08-12T23:02:00Z</dcterms:modified>
</cp:coreProperties>
</file>