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2608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0EE76A47" w:rsidR="001A3EB2" w:rsidRDefault="00673244">
      <w:r>
        <w:rPr>
          <w:noProof/>
        </w:rPr>
        <w:drawing>
          <wp:anchor distT="0" distB="0" distL="114300" distR="114300" simplePos="0" relativeHeight="251677184" behindDoc="0" locked="0" layoutInCell="1" allowOverlap="1" wp14:anchorId="2092EA2A" wp14:editId="391B181D">
            <wp:simplePos x="0" y="0"/>
            <wp:positionH relativeFrom="column">
              <wp:posOffset>4956810</wp:posOffset>
            </wp:positionH>
            <wp:positionV relativeFrom="paragraph">
              <wp:posOffset>270510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6519192B" w:rsidR="001A3EB2" w:rsidRDefault="001A3EB2"/>
    <w:p w14:paraId="29582E9F" w14:textId="3C5DD482" w:rsidR="0059127A" w:rsidRDefault="004C40A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Gift Funds</w:t>
      </w:r>
    </w:p>
    <w:p w14:paraId="71B7AE64" w14:textId="185D0FEF" w:rsidR="007E13C5" w:rsidRPr="00620A1F" w:rsidRDefault="004C40A2" w:rsidP="00620A1F">
      <w:pPr>
        <w:spacing w:after="0"/>
        <w:jc w:val="center"/>
        <w:rPr>
          <w:rFonts w:ascii="Times New Roman" w:hAnsi="Times New Roman" w:cs="Times New Roman"/>
        </w:rPr>
      </w:pPr>
      <w:r w:rsidRPr="00620A1F">
        <w:rPr>
          <w:rFonts w:ascii="Times New Roman" w:hAnsi="Times New Roman" w:cs="Times New Roman"/>
        </w:rPr>
        <w:t xml:space="preserve">Gift funds can be provided as a Gift of Equity or </w:t>
      </w:r>
      <w:r w:rsidR="005C2D0E" w:rsidRPr="00620A1F">
        <w:rPr>
          <w:rFonts w:ascii="Times New Roman" w:hAnsi="Times New Roman" w:cs="Times New Roman"/>
        </w:rPr>
        <w:t xml:space="preserve">actual monetary funds.  </w:t>
      </w:r>
      <w:r w:rsidR="0037302C" w:rsidRPr="00620A1F">
        <w:rPr>
          <w:rFonts w:ascii="Times New Roman" w:hAnsi="Times New Roman" w:cs="Times New Roman"/>
        </w:rPr>
        <w:t xml:space="preserve">Here is a chart that helps </w:t>
      </w:r>
      <w:r w:rsidR="002B4A17" w:rsidRPr="00620A1F">
        <w:rPr>
          <w:rFonts w:ascii="Times New Roman" w:hAnsi="Times New Roman" w:cs="Times New Roman"/>
        </w:rPr>
        <w:t>identify who and the limitations of these type of gifts.</w:t>
      </w:r>
    </w:p>
    <w:tbl>
      <w:tblPr>
        <w:tblStyle w:val="GridTable5Dark-Accent4"/>
        <w:tblW w:w="10890" w:type="dxa"/>
        <w:tblLook w:val="04A0" w:firstRow="1" w:lastRow="0" w:firstColumn="1" w:lastColumn="0" w:noHBand="0" w:noVBand="1"/>
      </w:tblPr>
      <w:tblGrid>
        <w:gridCol w:w="2340"/>
        <w:gridCol w:w="4230"/>
        <w:gridCol w:w="4320"/>
      </w:tblGrid>
      <w:tr w:rsidR="00A65B81" w14:paraId="633771D3" w14:textId="77777777" w:rsidTr="00CC7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A47900"/>
          </w:tcPr>
          <w:p w14:paraId="426CCE69" w14:textId="56E3261E" w:rsidR="00A65B81" w:rsidRPr="007E0F29" w:rsidRDefault="00CC7746" w:rsidP="00CC7746">
            <w:pPr>
              <w:tabs>
                <w:tab w:val="left" w:pos="570"/>
                <w:tab w:val="center" w:pos="53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65B81" w:rsidRPr="007E0F29">
              <w:rPr>
                <w:rFonts w:ascii="Times New Roman" w:hAnsi="Times New Roman" w:cs="Times New Roman"/>
                <w:sz w:val="28"/>
                <w:szCs w:val="28"/>
              </w:rPr>
              <w:t>Gift</w:t>
            </w:r>
            <w:r w:rsidR="004800FA" w:rsidRPr="007E0F29">
              <w:rPr>
                <w:rFonts w:ascii="Times New Roman" w:hAnsi="Times New Roman" w:cs="Times New Roman"/>
                <w:sz w:val="28"/>
                <w:szCs w:val="28"/>
              </w:rPr>
              <w:t xml:space="preserve"> Funds</w:t>
            </w:r>
          </w:p>
        </w:tc>
      </w:tr>
      <w:tr w:rsidR="00A65B81" w14:paraId="0F877A38" w14:textId="77777777" w:rsidTr="00CC7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47900"/>
          </w:tcPr>
          <w:p w14:paraId="6116AA21" w14:textId="4CA56922" w:rsidR="00A65B81" w:rsidRPr="007E0F29" w:rsidRDefault="003A1201" w:rsidP="007E1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4230" w:type="dxa"/>
          </w:tcPr>
          <w:p w14:paraId="3D89A535" w14:textId="2D27240E" w:rsidR="00A65B81" w:rsidRPr="007E0F29" w:rsidRDefault="003A1201" w:rsidP="007E1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Who Can Gift?</w:t>
            </w:r>
          </w:p>
        </w:tc>
        <w:tc>
          <w:tcPr>
            <w:tcW w:w="4320" w:type="dxa"/>
          </w:tcPr>
          <w:p w14:paraId="6493A756" w14:textId="20FD6B2D" w:rsidR="00A65B81" w:rsidRPr="007E0F29" w:rsidRDefault="003A1201" w:rsidP="007E1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Specific Guidelines to Be Aware Of</w:t>
            </w:r>
          </w:p>
        </w:tc>
      </w:tr>
      <w:tr w:rsidR="00A65B81" w14:paraId="11EC5224" w14:textId="77777777" w:rsidTr="00CC7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47900"/>
          </w:tcPr>
          <w:p w14:paraId="5B686001" w14:textId="555B8C3E" w:rsidR="00A65B81" w:rsidRPr="00D9073D" w:rsidRDefault="003A1201" w:rsidP="007E13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73D">
              <w:rPr>
                <w:rFonts w:ascii="Times New Roman" w:hAnsi="Times New Roman" w:cs="Times New Roman"/>
                <w:sz w:val="32"/>
                <w:szCs w:val="32"/>
              </w:rPr>
              <w:t>Fannie Mae</w:t>
            </w:r>
            <w:r w:rsidR="009F7F50" w:rsidRPr="00D9073D">
              <w:rPr>
                <w:rFonts w:ascii="Times New Roman" w:hAnsi="Times New Roman" w:cs="Times New Roman"/>
                <w:sz w:val="32"/>
                <w:szCs w:val="32"/>
              </w:rPr>
              <w:t xml:space="preserve"> &amp; Freddie Mac</w:t>
            </w:r>
          </w:p>
        </w:tc>
        <w:tc>
          <w:tcPr>
            <w:tcW w:w="4230" w:type="dxa"/>
          </w:tcPr>
          <w:p w14:paraId="09FE6A29" w14:textId="5358D013" w:rsidR="00A65B81" w:rsidRPr="007E0F29" w:rsidRDefault="00B95EBB" w:rsidP="00550B07">
            <w:pPr>
              <w:pStyle w:val="ListParagraph"/>
              <w:numPr>
                <w:ilvl w:val="0"/>
                <w:numId w:val="9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A relative, defined by FNMA as the borrower’s spouse, child or other dependent, or any individual who is related to the borrower by blood, marriage, </w:t>
            </w:r>
            <w:proofErr w:type="gramStart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adoption</w:t>
            </w:r>
            <w:proofErr w:type="gramEnd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or legal </w:t>
            </w:r>
            <w:r w:rsidR="00D9073D" w:rsidRPr="007E0F29">
              <w:rPr>
                <w:rFonts w:ascii="Times New Roman" w:hAnsi="Times New Roman" w:cs="Times New Roman"/>
                <w:sz w:val="20"/>
                <w:szCs w:val="20"/>
              </w:rPr>
              <w:t>guardianship.</w:t>
            </w:r>
          </w:p>
          <w:p w14:paraId="048A9FE5" w14:textId="77777777" w:rsidR="00550B07" w:rsidRPr="007E0F29" w:rsidRDefault="00550B07" w:rsidP="00550B07">
            <w:pPr>
              <w:pStyle w:val="ListParagraph"/>
              <w:numPr>
                <w:ilvl w:val="0"/>
                <w:numId w:val="9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Fiancé or Fiancée or domestic partner</w:t>
            </w:r>
          </w:p>
          <w:p w14:paraId="4E37DFE7" w14:textId="39ACA2ED" w:rsidR="00550B07" w:rsidRPr="007E0F29" w:rsidRDefault="00550B07" w:rsidP="00C84367">
            <w:pPr>
              <w:ind w:left="-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CF50D3A" w14:textId="789B88F4" w:rsidR="00A65B81" w:rsidRPr="007E0F29" w:rsidRDefault="00E47472" w:rsidP="00183A9E">
            <w:pPr>
              <w:pStyle w:val="ListParagraph"/>
              <w:numPr>
                <w:ilvl w:val="0"/>
                <w:numId w:val="10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Primary and Second home purchase only</w:t>
            </w:r>
          </w:p>
          <w:p w14:paraId="52725E66" w14:textId="05FCF5C8" w:rsidR="00E47472" w:rsidRPr="007E0F29" w:rsidRDefault="00E47472" w:rsidP="00183A9E">
            <w:pPr>
              <w:pStyle w:val="ListParagraph"/>
              <w:numPr>
                <w:ilvl w:val="0"/>
                <w:numId w:val="10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May not be a gift from a party to the </w:t>
            </w:r>
            <w:r w:rsidR="004507FA" w:rsidRPr="007E0F29">
              <w:rPr>
                <w:rFonts w:ascii="Times New Roman" w:hAnsi="Times New Roman" w:cs="Times New Roman"/>
                <w:sz w:val="20"/>
                <w:szCs w:val="20"/>
              </w:rPr>
              <w:t>transaction (</w:t>
            </w:r>
            <w:r w:rsidR="00357A97" w:rsidRPr="007E0F2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004ABF6D" w14:textId="77777777" w:rsidR="00357A97" w:rsidRPr="007E0F29" w:rsidRDefault="00357A97" w:rsidP="00183A9E">
            <w:pPr>
              <w:pStyle w:val="ListParagraph"/>
              <w:numPr>
                <w:ilvl w:val="0"/>
                <w:numId w:val="10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Gift letter and proof of </w:t>
            </w:r>
            <w:r w:rsidR="006440A0"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transfer of </w:t>
            </w:r>
            <w:r w:rsidR="00AA7E66" w:rsidRPr="007E0F29">
              <w:rPr>
                <w:rFonts w:ascii="Times New Roman" w:hAnsi="Times New Roman" w:cs="Times New Roman"/>
                <w:sz w:val="20"/>
                <w:szCs w:val="20"/>
              </w:rPr>
              <w:t>funds from the donor’s bank account</w:t>
            </w:r>
          </w:p>
          <w:p w14:paraId="50957D14" w14:textId="6F4C1BEA" w:rsidR="00AA7E66" w:rsidRPr="007E0F29" w:rsidRDefault="00AA7E66" w:rsidP="00183A9E">
            <w:pPr>
              <w:pStyle w:val="ListParagraph"/>
              <w:numPr>
                <w:ilvl w:val="0"/>
                <w:numId w:val="10"/>
              </w:numPr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Second home purchase will require a minimum 5% of the borrower’s own funds if LTV &gt;80%</w:t>
            </w:r>
          </w:p>
        </w:tc>
      </w:tr>
      <w:tr w:rsidR="00A65B81" w14:paraId="34232CB5" w14:textId="77777777" w:rsidTr="00CC7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47900"/>
          </w:tcPr>
          <w:p w14:paraId="3217FBCE" w14:textId="41AC6522" w:rsidR="00A65B81" w:rsidRPr="00D9073D" w:rsidRDefault="005F2874" w:rsidP="007E13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73D">
              <w:rPr>
                <w:rFonts w:ascii="Times New Roman" w:hAnsi="Times New Roman" w:cs="Times New Roman"/>
                <w:sz w:val="32"/>
                <w:szCs w:val="32"/>
              </w:rPr>
              <w:t>FHA</w:t>
            </w:r>
          </w:p>
        </w:tc>
        <w:tc>
          <w:tcPr>
            <w:tcW w:w="4230" w:type="dxa"/>
          </w:tcPr>
          <w:p w14:paraId="33196B48" w14:textId="77777777" w:rsidR="00A65B81" w:rsidRPr="007E0F29" w:rsidRDefault="005F2874" w:rsidP="007E1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Family Member is defined as:</w:t>
            </w:r>
          </w:p>
          <w:p w14:paraId="7E536E2F" w14:textId="77777777" w:rsidR="005F2874" w:rsidRPr="007E0F29" w:rsidRDefault="005F2874" w:rsidP="005F2874">
            <w:pPr>
              <w:pStyle w:val="ListParagraph"/>
              <w:numPr>
                <w:ilvl w:val="0"/>
                <w:numId w:val="12"/>
              </w:numPr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Child, foster child, </w:t>
            </w:r>
            <w:proofErr w:type="gramStart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proofErr w:type="gramEnd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or grandparent</w:t>
            </w:r>
          </w:p>
          <w:p w14:paraId="4C2ABF28" w14:textId="77777777" w:rsidR="005F2874" w:rsidRPr="007E0F29" w:rsidRDefault="00972786" w:rsidP="005F2874">
            <w:pPr>
              <w:pStyle w:val="ListParagraph"/>
              <w:numPr>
                <w:ilvl w:val="0"/>
                <w:numId w:val="12"/>
              </w:numPr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Spouse or domestic partner</w:t>
            </w:r>
          </w:p>
          <w:p w14:paraId="187AC253" w14:textId="77777777" w:rsidR="00972786" w:rsidRPr="007E0F29" w:rsidRDefault="00972786" w:rsidP="005F2874">
            <w:pPr>
              <w:pStyle w:val="ListParagraph"/>
              <w:numPr>
                <w:ilvl w:val="0"/>
                <w:numId w:val="12"/>
              </w:numPr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Legally adopted son or daughter, including a child who is placed with the borrower by an authorized agency for legal adoption</w:t>
            </w:r>
          </w:p>
          <w:p w14:paraId="483E5E71" w14:textId="5A06A399" w:rsidR="00972786" w:rsidRPr="007E0F29" w:rsidRDefault="00A65B06" w:rsidP="005F2874">
            <w:pPr>
              <w:pStyle w:val="ListParagraph"/>
              <w:numPr>
                <w:ilvl w:val="0"/>
                <w:numId w:val="12"/>
              </w:numPr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Brother, </w:t>
            </w:r>
            <w:r w:rsidR="00D9073D" w:rsidRPr="007E0F29">
              <w:rPr>
                <w:rFonts w:ascii="Times New Roman" w:hAnsi="Times New Roman" w:cs="Times New Roman"/>
                <w:sz w:val="20"/>
                <w:szCs w:val="20"/>
              </w:rPr>
              <w:t>stepbrother</w:t>
            </w:r>
            <w:r w:rsidR="00CC3468" w:rsidRPr="007E0F29">
              <w:rPr>
                <w:rFonts w:ascii="Times New Roman" w:hAnsi="Times New Roman" w:cs="Times New Roman"/>
                <w:sz w:val="20"/>
                <w:szCs w:val="20"/>
              </w:rPr>
              <w:t>, sister, stepsister</w:t>
            </w:r>
          </w:p>
          <w:p w14:paraId="2DCE13B4" w14:textId="77777777" w:rsidR="00CC3468" w:rsidRPr="007E0F29" w:rsidRDefault="00CC3468" w:rsidP="005F2874">
            <w:pPr>
              <w:pStyle w:val="ListParagraph"/>
              <w:numPr>
                <w:ilvl w:val="0"/>
                <w:numId w:val="12"/>
              </w:numPr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Uncle or aunt</w:t>
            </w:r>
          </w:p>
          <w:p w14:paraId="5D23E7AC" w14:textId="43C00A0D" w:rsidR="00CC3468" w:rsidRPr="007E0F29" w:rsidRDefault="00CC3468" w:rsidP="005F2874">
            <w:pPr>
              <w:pStyle w:val="ListParagraph"/>
              <w:numPr>
                <w:ilvl w:val="0"/>
                <w:numId w:val="12"/>
              </w:numPr>
              <w:ind w:left="346" w:hanging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Son-in-law, daughter-in-law, father-in-law, mother-in-law, </w:t>
            </w:r>
            <w:proofErr w:type="gramStart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brother-in-law</w:t>
            </w:r>
            <w:proofErr w:type="gramEnd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or sister-in-law of the borrower</w:t>
            </w:r>
          </w:p>
        </w:tc>
        <w:tc>
          <w:tcPr>
            <w:tcW w:w="4320" w:type="dxa"/>
          </w:tcPr>
          <w:p w14:paraId="269250AC" w14:textId="62D52E9F" w:rsidR="00A65B81" w:rsidRPr="007E0F29" w:rsidRDefault="002A3A0B" w:rsidP="007E1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Gift of equity may be limited to 85% LTV unless:</w:t>
            </w:r>
          </w:p>
          <w:p w14:paraId="2427A132" w14:textId="07B9D5D8" w:rsidR="002A3A0B" w:rsidRPr="007E0F29" w:rsidRDefault="00EE7673" w:rsidP="002A3A0B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Residence is </w:t>
            </w:r>
            <w:r w:rsidR="00501B87" w:rsidRPr="007E0F29">
              <w:rPr>
                <w:rFonts w:ascii="Times New Roman" w:hAnsi="Times New Roman" w:cs="Times New Roman"/>
                <w:sz w:val="20"/>
                <w:szCs w:val="20"/>
              </w:rPr>
              <w:t>being sold is the family member’s primary residence or</w:t>
            </w:r>
          </w:p>
          <w:p w14:paraId="4F4CBCDC" w14:textId="77777777" w:rsidR="00501B87" w:rsidRPr="007E0F29" w:rsidRDefault="00501B87" w:rsidP="002A3A0B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Purchasing family member has been renting</w:t>
            </w:r>
            <w:r w:rsidR="009224E4" w:rsidRPr="007E0F29">
              <w:rPr>
                <w:rFonts w:ascii="Times New Roman" w:hAnsi="Times New Roman" w:cs="Times New Roman"/>
                <w:sz w:val="20"/>
                <w:szCs w:val="20"/>
              </w:rPr>
              <w:t>/occupying the residence 6 months prior to the contract date</w:t>
            </w:r>
          </w:p>
          <w:p w14:paraId="313999C5" w14:textId="206F581D" w:rsidR="009224E4" w:rsidRPr="007E0F29" w:rsidRDefault="009224E4" w:rsidP="00922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Gift documentation needed:</w:t>
            </w:r>
          </w:p>
          <w:p w14:paraId="5793B0D9" w14:textId="77777777" w:rsidR="009224E4" w:rsidRPr="007E0F29" w:rsidRDefault="009224E4" w:rsidP="009224E4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Gift letter, for equity or monetary gifts</w:t>
            </w:r>
          </w:p>
          <w:p w14:paraId="7F9B704B" w14:textId="77777777" w:rsidR="009224E4" w:rsidRPr="007E0F29" w:rsidRDefault="00873852" w:rsidP="009224E4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Proof of deposit in borrower bank account</w:t>
            </w:r>
          </w:p>
          <w:p w14:paraId="1D86E23C" w14:textId="77777777" w:rsidR="00873852" w:rsidRPr="007E0F29" w:rsidRDefault="00873852" w:rsidP="009224E4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Donor’s bank statement for 30 days that includes the withdrawal of gift funds</w:t>
            </w:r>
          </w:p>
          <w:p w14:paraId="457BA985" w14:textId="399E52ED" w:rsidR="00244BF0" w:rsidRPr="007E0F29" w:rsidRDefault="00244BF0" w:rsidP="009224E4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Verification of large deposits will be required</w:t>
            </w:r>
          </w:p>
        </w:tc>
      </w:tr>
      <w:tr w:rsidR="00A65B81" w14:paraId="29723824" w14:textId="77777777" w:rsidTr="00CC77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47900"/>
          </w:tcPr>
          <w:p w14:paraId="4476E9FB" w14:textId="525CF402" w:rsidR="00A65B81" w:rsidRPr="00D9073D" w:rsidRDefault="00244BF0" w:rsidP="007E13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73D">
              <w:rPr>
                <w:rFonts w:ascii="Times New Roman" w:hAnsi="Times New Roman" w:cs="Times New Roman"/>
                <w:sz w:val="32"/>
                <w:szCs w:val="32"/>
              </w:rPr>
              <w:t>USDA</w:t>
            </w:r>
          </w:p>
        </w:tc>
        <w:tc>
          <w:tcPr>
            <w:tcW w:w="4230" w:type="dxa"/>
          </w:tcPr>
          <w:p w14:paraId="20FB0DF0" w14:textId="38E2B822" w:rsidR="00A65B81" w:rsidRPr="007E0F29" w:rsidRDefault="00244BF0" w:rsidP="007E1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Anyone that does not have an interest in the sale of the property</w:t>
            </w:r>
          </w:p>
        </w:tc>
        <w:tc>
          <w:tcPr>
            <w:tcW w:w="4320" w:type="dxa"/>
          </w:tcPr>
          <w:p w14:paraId="3677B93F" w14:textId="77777777" w:rsidR="00A65B81" w:rsidRPr="007E0F29" w:rsidRDefault="00335A9E" w:rsidP="0063570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Gift letter</w:t>
            </w:r>
          </w:p>
          <w:p w14:paraId="5A527C2A" w14:textId="4DE91B0D" w:rsidR="00335A9E" w:rsidRPr="007E0F29" w:rsidRDefault="00335A9E" w:rsidP="00635707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Documentation of gift </w:t>
            </w:r>
            <w:proofErr w:type="gramStart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similar to</w:t>
            </w:r>
            <w:proofErr w:type="gramEnd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FHA requirements</w:t>
            </w:r>
          </w:p>
        </w:tc>
      </w:tr>
      <w:tr w:rsidR="00A65B81" w14:paraId="5EFE87CB" w14:textId="77777777" w:rsidTr="00CC77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47900"/>
          </w:tcPr>
          <w:p w14:paraId="1DE0919A" w14:textId="0F184E73" w:rsidR="00A65B81" w:rsidRPr="00D9073D" w:rsidRDefault="00335A9E" w:rsidP="007E13C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73D">
              <w:rPr>
                <w:rFonts w:ascii="Times New Roman" w:hAnsi="Times New Roman" w:cs="Times New Roman"/>
                <w:sz w:val="32"/>
                <w:szCs w:val="32"/>
              </w:rPr>
              <w:t>VA</w:t>
            </w:r>
          </w:p>
        </w:tc>
        <w:tc>
          <w:tcPr>
            <w:tcW w:w="4230" w:type="dxa"/>
          </w:tcPr>
          <w:p w14:paraId="4B3E703A" w14:textId="090F3A53" w:rsidR="00A65B81" w:rsidRPr="007E0F29" w:rsidRDefault="00335A9E" w:rsidP="007E1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No Specific Guidance</w:t>
            </w:r>
            <w:r w:rsidR="00635707"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from VA.  Most Lenders will not allow from a</w:t>
            </w:r>
            <w:r w:rsidR="00B00972"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party to the transaction, except for Gift of Equity</w:t>
            </w:r>
          </w:p>
        </w:tc>
        <w:tc>
          <w:tcPr>
            <w:tcW w:w="4320" w:type="dxa"/>
          </w:tcPr>
          <w:p w14:paraId="35642C26" w14:textId="558DBD42" w:rsidR="00A65B81" w:rsidRPr="007E0F29" w:rsidRDefault="00B00972" w:rsidP="0063570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Documentation </w:t>
            </w:r>
            <w:proofErr w:type="gramStart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>similar to</w:t>
            </w:r>
            <w:proofErr w:type="gramEnd"/>
            <w:r w:rsidRPr="007E0F29">
              <w:rPr>
                <w:rFonts w:ascii="Times New Roman" w:hAnsi="Times New Roman" w:cs="Times New Roman"/>
                <w:sz w:val="20"/>
                <w:szCs w:val="20"/>
              </w:rPr>
              <w:t xml:space="preserve"> FHA requirements</w:t>
            </w:r>
          </w:p>
        </w:tc>
      </w:tr>
    </w:tbl>
    <w:p w14:paraId="003C858D" w14:textId="3AB8D05C" w:rsidR="002B4A17" w:rsidRPr="00673244" w:rsidRDefault="003F3282" w:rsidP="0067324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73244">
        <w:rPr>
          <w:rFonts w:ascii="Times New Roman" w:hAnsi="Times New Roman" w:cs="Times New Roman"/>
          <w:sz w:val="20"/>
          <w:szCs w:val="20"/>
        </w:rPr>
        <w:t xml:space="preserve">Gift of Equity may only be provided by the seller of the home and the seller must meet the </w:t>
      </w:r>
      <w:r w:rsidR="00426B88" w:rsidRPr="00673244">
        <w:rPr>
          <w:rFonts w:ascii="Times New Roman" w:hAnsi="Times New Roman" w:cs="Times New Roman"/>
          <w:sz w:val="20"/>
          <w:szCs w:val="20"/>
        </w:rPr>
        <w:t>program</w:t>
      </w:r>
      <w:r w:rsidRPr="00673244">
        <w:rPr>
          <w:rFonts w:ascii="Times New Roman" w:hAnsi="Times New Roman" w:cs="Times New Roman"/>
          <w:sz w:val="20"/>
          <w:szCs w:val="20"/>
        </w:rPr>
        <w:t xml:space="preserve"> relationship requirements.</w:t>
      </w:r>
    </w:p>
    <w:p w14:paraId="687FE7AF" w14:textId="32898900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27A36C45">
                <wp:simplePos x="0" y="0"/>
                <wp:positionH relativeFrom="column">
                  <wp:posOffset>5619750</wp:posOffset>
                </wp:positionH>
                <wp:positionV relativeFrom="paragraph">
                  <wp:posOffset>153035</wp:posOffset>
                </wp:positionV>
                <wp:extent cx="971550" cy="9715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2.05pt;width:76.5pt;height:7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F2ED0" id="Straight Connector 34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620A1F">
      <w:headerReference w:type="default" r:id="rId9"/>
      <w:footerReference w:type="default" r:id="rId10"/>
      <w:pgSz w:w="12240" w:h="15840"/>
      <w:pgMar w:top="360" w:right="990" w:bottom="72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0597" w14:textId="77777777" w:rsidR="00BE4624" w:rsidRDefault="00BE4624" w:rsidP="00AC6DD2">
      <w:pPr>
        <w:spacing w:after="0" w:line="240" w:lineRule="auto"/>
      </w:pPr>
      <w:r>
        <w:separator/>
      </w:r>
    </w:p>
  </w:endnote>
  <w:endnote w:type="continuationSeparator" w:id="0">
    <w:p w14:paraId="695CE4D1" w14:textId="77777777" w:rsidR="00BE4624" w:rsidRDefault="00BE4624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2D47" w14:textId="77777777" w:rsidR="00BE4624" w:rsidRDefault="00BE4624" w:rsidP="00AC6DD2">
      <w:pPr>
        <w:spacing w:after="0" w:line="240" w:lineRule="auto"/>
      </w:pPr>
      <w:r>
        <w:separator/>
      </w:r>
    </w:p>
  </w:footnote>
  <w:footnote w:type="continuationSeparator" w:id="0">
    <w:p w14:paraId="3BEAE3EB" w14:textId="77777777" w:rsidR="00BE4624" w:rsidRDefault="00BE4624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66" name="Graphic 6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67" name="Graphic 67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68" name="Graphic 68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69" name="Graphic 69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70" name="Graphic 70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6E1"/>
    <w:multiLevelType w:val="hybridMultilevel"/>
    <w:tmpl w:val="289E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447"/>
    <w:multiLevelType w:val="hybridMultilevel"/>
    <w:tmpl w:val="AA1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548F"/>
    <w:multiLevelType w:val="hybridMultilevel"/>
    <w:tmpl w:val="7760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81E27"/>
    <w:multiLevelType w:val="hybridMultilevel"/>
    <w:tmpl w:val="CC8E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341"/>
    <w:multiLevelType w:val="hybridMultilevel"/>
    <w:tmpl w:val="9D0C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A614C"/>
    <w:multiLevelType w:val="hybridMultilevel"/>
    <w:tmpl w:val="F51A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C2C7F"/>
    <w:multiLevelType w:val="hybridMultilevel"/>
    <w:tmpl w:val="E24C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24861"/>
    <w:multiLevelType w:val="hybridMultilevel"/>
    <w:tmpl w:val="C798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E26"/>
    <w:multiLevelType w:val="hybridMultilevel"/>
    <w:tmpl w:val="AF7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447F6"/>
    <w:multiLevelType w:val="hybridMultilevel"/>
    <w:tmpl w:val="D3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572BA"/>
    <w:multiLevelType w:val="hybridMultilevel"/>
    <w:tmpl w:val="97E6F190"/>
    <w:lvl w:ilvl="0" w:tplc="7C4AA16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83B4175"/>
    <w:multiLevelType w:val="hybridMultilevel"/>
    <w:tmpl w:val="802CB46A"/>
    <w:lvl w:ilvl="0" w:tplc="30C8B4BE">
      <w:start w:val="1"/>
      <w:numFmt w:val="decimal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7EA147DB"/>
    <w:multiLevelType w:val="hybridMultilevel"/>
    <w:tmpl w:val="AABE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A3F6D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83A9E"/>
    <w:rsid w:val="001A26DD"/>
    <w:rsid w:val="001A30AC"/>
    <w:rsid w:val="001A3EB2"/>
    <w:rsid w:val="001B0129"/>
    <w:rsid w:val="001C4363"/>
    <w:rsid w:val="001C494B"/>
    <w:rsid w:val="001C4A5F"/>
    <w:rsid w:val="001D0C75"/>
    <w:rsid w:val="001E00CE"/>
    <w:rsid w:val="001E13CE"/>
    <w:rsid w:val="0020292F"/>
    <w:rsid w:val="0021481E"/>
    <w:rsid w:val="00216030"/>
    <w:rsid w:val="00223F0B"/>
    <w:rsid w:val="00232E55"/>
    <w:rsid w:val="00234E64"/>
    <w:rsid w:val="00235102"/>
    <w:rsid w:val="00244BF0"/>
    <w:rsid w:val="00253055"/>
    <w:rsid w:val="00275C92"/>
    <w:rsid w:val="00275F5F"/>
    <w:rsid w:val="00277CCC"/>
    <w:rsid w:val="002A3A0B"/>
    <w:rsid w:val="002B4A17"/>
    <w:rsid w:val="002B73B2"/>
    <w:rsid w:val="002D3D09"/>
    <w:rsid w:val="002E6001"/>
    <w:rsid w:val="003135E2"/>
    <w:rsid w:val="00313CCE"/>
    <w:rsid w:val="00315F31"/>
    <w:rsid w:val="00321FD5"/>
    <w:rsid w:val="003260B8"/>
    <w:rsid w:val="00335A9E"/>
    <w:rsid w:val="003400F6"/>
    <w:rsid w:val="00357981"/>
    <w:rsid w:val="00357A97"/>
    <w:rsid w:val="00361FF2"/>
    <w:rsid w:val="00364C28"/>
    <w:rsid w:val="00364C34"/>
    <w:rsid w:val="00366223"/>
    <w:rsid w:val="003664E2"/>
    <w:rsid w:val="0037302C"/>
    <w:rsid w:val="0037661E"/>
    <w:rsid w:val="003A1201"/>
    <w:rsid w:val="003B1DC6"/>
    <w:rsid w:val="003C4563"/>
    <w:rsid w:val="003D6549"/>
    <w:rsid w:val="003E5F9C"/>
    <w:rsid w:val="003F3282"/>
    <w:rsid w:val="003F6BAD"/>
    <w:rsid w:val="004040F4"/>
    <w:rsid w:val="00410CF6"/>
    <w:rsid w:val="00412828"/>
    <w:rsid w:val="00412C31"/>
    <w:rsid w:val="004214BF"/>
    <w:rsid w:val="00425B85"/>
    <w:rsid w:val="00426B88"/>
    <w:rsid w:val="004325F2"/>
    <w:rsid w:val="00433071"/>
    <w:rsid w:val="0044234C"/>
    <w:rsid w:val="00446B8A"/>
    <w:rsid w:val="004507FA"/>
    <w:rsid w:val="00464A89"/>
    <w:rsid w:val="004800FA"/>
    <w:rsid w:val="004852D9"/>
    <w:rsid w:val="004B69F8"/>
    <w:rsid w:val="004C40A2"/>
    <w:rsid w:val="004C589F"/>
    <w:rsid w:val="004C6240"/>
    <w:rsid w:val="004C7D99"/>
    <w:rsid w:val="004D080E"/>
    <w:rsid w:val="004D4BBB"/>
    <w:rsid w:val="004D608B"/>
    <w:rsid w:val="00501B87"/>
    <w:rsid w:val="00501C3A"/>
    <w:rsid w:val="00504A64"/>
    <w:rsid w:val="005076BE"/>
    <w:rsid w:val="00524336"/>
    <w:rsid w:val="0052781A"/>
    <w:rsid w:val="00527A11"/>
    <w:rsid w:val="005333F5"/>
    <w:rsid w:val="005412E7"/>
    <w:rsid w:val="005446D3"/>
    <w:rsid w:val="0054567D"/>
    <w:rsid w:val="00550B07"/>
    <w:rsid w:val="005609C0"/>
    <w:rsid w:val="0059127A"/>
    <w:rsid w:val="00595437"/>
    <w:rsid w:val="005B31C1"/>
    <w:rsid w:val="005B4EEF"/>
    <w:rsid w:val="005C2D0E"/>
    <w:rsid w:val="005C48B5"/>
    <w:rsid w:val="005D0B28"/>
    <w:rsid w:val="005D0E01"/>
    <w:rsid w:val="005E7C3E"/>
    <w:rsid w:val="005F2874"/>
    <w:rsid w:val="00620A1F"/>
    <w:rsid w:val="006241FD"/>
    <w:rsid w:val="00626604"/>
    <w:rsid w:val="00635707"/>
    <w:rsid w:val="006440A0"/>
    <w:rsid w:val="00657909"/>
    <w:rsid w:val="00665B80"/>
    <w:rsid w:val="00673244"/>
    <w:rsid w:val="0068123D"/>
    <w:rsid w:val="00684102"/>
    <w:rsid w:val="0069524F"/>
    <w:rsid w:val="00697B31"/>
    <w:rsid w:val="00697CAF"/>
    <w:rsid w:val="006A202E"/>
    <w:rsid w:val="006B0D9A"/>
    <w:rsid w:val="006C1F17"/>
    <w:rsid w:val="006C3549"/>
    <w:rsid w:val="006D0D7C"/>
    <w:rsid w:val="006E258E"/>
    <w:rsid w:val="00701300"/>
    <w:rsid w:val="00724B7C"/>
    <w:rsid w:val="00730C65"/>
    <w:rsid w:val="00731ACF"/>
    <w:rsid w:val="00746B56"/>
    <w:rsid w:val="00746C3A"/>
    <w:rsid w:val="00750CFF"/>
    <w:rsid w:val="00755D55"/>
    <w:rsid w:val="007626EE"/>
    <w:rsid w:val="00763CE9"/>
    <w:rsid w:val="007644CE"/>
    <w:rsid w:val="007712BF"/>
    <w:rsid w:val="00773C4C"/>
    <w:rsid w:val="007809F6"/>
    <w:rsid w:val="00787266"/>
    <w:rsid w:val="007939BA"/>
    <w:rsid w:val="007B04AD"/>
    <w:rsid w:val="007B6014"/>
    <w:rsid w:val="007D4BD2"/>
    <w:rsid w:val="007E0F29"/>
    <w:rsid w:val="007E13C5"/>
    <w:rsid w:val="007F4B29"/>
    <w:rsid w:val="00812102"/>
    <w:rsid w:val="00813B52"/>
    <w:rsid w:val="0081671D"/>
    <w:rsid w:val="008246F5"/>
    <w:rsid w:val="00827C53"/>
    <w:rsid w:val="00831246"/>
    <w:rsid w:val="00845305"/>
    <w:rsid w:val="008469BF"/>
    <w:rsid w:val="008513B3"/>
    <w:rsid w:val="00862CBD"/>
    <w:rsid w:val="00873852"/>
    <w:rsid w:val="008961CB"/>
    <w:rsid w:val="00896E75"/>
    <w:rsid w:val="008A0758"/>
    <w:rsid w:val="008A3904"/>
    <w:rsid w:val="008B2504"/>
    <w:rsid w:val="008B3E90"/>
    <w:rsid w:val="008C540D"/>
    <w:rsid w:val="008C6B94"/>
    <w:rsid w:val="008C6CA2"/>
    <w:rsid w:val="008D4202"/>
    <w:rsid w:val="008D447A"/>
    <w:rsid w:val="008F1892"/>
    <w:rsid w:val="008F6ACA"/>
    <w:rsid w:val="00907A53"/>
    <w:rsid w:val="00910999"/>
    <w:rsid w:val="009224E4"/>
    <w:rsid w:val="0093318C"/>
    <w:rsid w:val="00941162"/>
    <w:rsid w:val="00944CEF"/>
    <w:rsid w:val="00963FA2"/>
    <w:rsid w:val="00970C4D"/>
    <w:rsid w:val="00972786"/>
    <w:rsid w:val="00984309"/>
    <w:rsid w:val="00990F90"/>
    <w:rsid w:val="00993934"/>
    <w:rsid w:val="009A6FD5"/>
    <w:rsid w:val="009A78E0"/>
    <w:rsid w:val="009B4385"/>
    <w:rsid w:val="009B5E82"/>
    <w:rsid w:val="009C0D0F"/>
    <w:rsid w:val="009C7120"/>
    <w:rsid w:val="009D276A"/>
    <w:rsid w:val="009D58D1"/>
    <w:rsid w:val="009E7B06"/>
    <w:rsid w:val="009F7F50"/>
    <w:rsid w:val="00A016DF"/>
    <w:rsid w:val="00A10E38"/>
    <w:rsid w:val="00A163F7"/>
    <w:rsid w:val="00A17DFD"/>
    <w:rsid w:val="00A43877"/>
    <w:rsid w:val="00A46870"/>
    <w:rsid w:val="00A53AD0"/>
    <w:rsid w:val="00A57A3F"/>
    <w:rsid w:val="00A63E35"/>
    <w:rsid w:val="00A65B06"/>
    <w:rsid w:val="00A65B81"/>
    <w:rsid w:val="00A7143D"/>
    <w:rsid w:val="00A761DA"/>
    <w:rsid w:val="00A8276D"/>
    <w:rsid w:val="00AA7E66"/>
    <w:rsid w:val="00AC6DD2"/>
    <w:rsid w:val="00AE60CE"/>
    <w:rsid w:val="00AF40E5"/>
    <w:rsid w:val="00B00972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2844"/>
    <w:rsid w:val="00B83C04"/>
    <w:rsid w:val="00B95EBB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D680F"/>
    <w:rsid w:val="00BE0E0D"/>
    <w:rsid w:val="00BE4624"/>
    <w:rsid w:val="00C023D5"/>
    <w:rsid w:val="00C02415"/>
    <w:rsid w:val="00C06045"/>
    <w:rsid w:val="00C06A99"/>
    <w:rsid w:val="00C11AFD"/>
    <w:rsid w:val="00C32C26"/>
    <w:rsid w:val="00C3795E"/>
    <w:rsid w:val="00C47BF1"/>
    <w:rsid w:val="00C841E6"/>
    <w:rsid w:val="00C84367"/>
    <w:rsid w:val="00C844E1"/>
    <w:rsid w:val="00C8654F"/>
    <w:rsid w:val="00C8663F"/>
    <w:rsid w:val="00CA22F9"/>
    <w:rsid w:val="00CB21E1"/>
    <w:rsid w:val="00CB5143"/>
    <w:rsid w:val="00CB5C9B"/>
    <w:rsid w:val="00CC3468"/>
    <w:rsid w:val="00CC63A8"/>
    <w:rsid w:val="00CC6705"/>
    <w:rsid w:val="00CC7746"/>
    <w:rsid w:val="00CF1A7D"/>
    <w:rsid w:val="00CF409B"/>
    <w:rsid w:val="00D03E1A"/>
    <w:rsid w:val="00D07892"/>
    <w:rsid w:val="00D11E1F"/>
    <w:rsid w:val="00D353AC"/>
    <w:rsid w:val="00D400E7"/>
    <w:rsid w:val="00D45068"/>
    <w:rsid w:val="00D54A15"/>
    <w:rsid w:val="00D9073D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12E1F"/>
    <w:rsid w:val="00E34A1F"/>
    <w:rsid w:val="00E360DB"/>
    <w:rsid w:val="00E47472"/>
    <w:rsid w:val="00E5057A"/>
    <w:rsid w:val="00E638D2"/>
    <w:rsid w:val="00E91655"/>
    <w:rsid w:val="00E965A9"/>
    <w:rsid w:val="00EA2A72"/>
    <w:rsid w:val="00EA56A3"/>
    <w:rsid w:val="00EC0D77"/>
    <w:rsid w:val="00EC2FDB"/>
    <w:rsid w:val="00EC3196"/>
    <w:rsid w:val="00ED186D"/>
    <w:rsid w:val="00EE3961"/>
    <w:rsid w:val="00EE5F35"/>
    <w:rsid w:val="00EE7673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613E2"/>
    <w:rsid w:val="00F734E9"/>
    <w:rsid w:val="00F741C6"/>
    <w:rsid w:val="00F862D1"/>
    <w:rsid w:val="00FB07D5"/>
    <w:rsid w:val="00FB4505"/>
    <w:rsid w:val="00FC20BB"/>
    <w:rsid w:val="00FD2755"/>
    <w:rsid w:val="00FD55AB"/>
    <w:rsid w:val="00FE0523"/>
    <w:rsid w:val="00FE5E5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3C4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73</cp:revision>
  <dcterms:created xsi:type="dcterms:W3CDTF">2021-02-18T23:31:00Z</dcterms:created>
  <dcterms:modified xsi:type="dcterms:W3CDTF">2022-02-03T17:25:00Z</dcterms:modified>
</cp:coreProperties>
</file>