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496" w:rsidRPr="005B0E57" w:rsidRDefault="00526FD2" w:rsidP="00526FD2">
      <w:pPr>
        <w:pStyle w:val="Heading1"/>
        <w:jc w:val="center"/>
        <w:rPr>
          <w:rFonts w:ascii="Times New Roman" w:hAnsi="Times New Roman" w:cs="Times New Roman"/>
          <w:bCs w:val="0"/>
          <w:color w:val="000000" w:themeColor="text1"/>
          <w:sz w:val="32"/>
          <w:szCs w:val="32"/>
        </w:rPr>
      </w:pPr>
      <w:r w:rsidRPr="005B0E57">
        <w:rPr>
          <w:rFonts w:ascii="Times New Roman" w:hAnsi="Times New Roman" w:cs="Times New Roman"/>
          <w:bCs w:val="0"/>
          <w:color w:val="000000" w:themeColor="text1"/>
          <w:sz w:val="32"/>
          <w:szCs w:val="32"/>
        </w:rPr>
        <w:t>SELF-CONTAINED MOBILE FOOD SERVICE</w:t>
      </w:r>
    </w:p>
    <w:p w:rsidR="00526FD2" w:rsidRDefault="00526FD2" w:rsidP="00526FD2"/>
    <w:p w:rsidR="00C55496" w:rsidRDefault="00526FD2" w:rsidP="00526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 obtain a state-wide operating permit for a self-contained mobile food service unit</w:t>
      </w:r>
    </w:p>
    <w:p w:rsidR="00526FD2" w:rsidRDefault="00526FD2" w:rsidP="00526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6FD2" w:rsidRDefault="00526FD2" w:rsidP="00526FD2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526FD2" w:rsidRPr="00443112" w:rsidRDefault="00526FD2" w:rsidP="00526F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43112">
        <w:rPr>
          <w:rFonts w:ascii="Times New Roman" w:hAnsi="Times New Roman" w:cs="Times New Roman"/>
          <w:b/>
          <w:bCs/>
          <w:sz w:val="24"/>
          <w:szCs w:val="24"/>
        </w:rPr>
        <w:t>Plans shall be prepared and submitted by a Kentucky licensed plumber</w:t>
      </w:r>
      <w:r w:rsidR="005B0E57" w:rsidRPr="0044311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26FD2" w:rsidRPr="00443112" w:rsidRDefault="00526FD2" w:rsidP="00526FD2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526FD2" w:rsidRPr="00443112" w:rsidRDefault="00526FD2" w:rsidP="00526F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43112">
        <w:rPr>
          <w:rFonts w:ascii="Times New Roman" w:hAnsi="Times New Roman" w:cs="Times New Roman"/>
          <w:b/>
          <w:bCs/>
          <w:sz w:val="24"/>
          <w:szCs w:val="24"/>
        </w:rPr>
        <w:t>Plan shall include a floor plan which shows equipment layout/ location, along with a completed plan review checklist provided by the health department (form DFS-203)</w:t>
      </w:r>
      <w:r w:rsidR="005B0E57" w:rsidRPr="0044311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26FD2" w:rsidRPr="00443112" w:rsidRDefault="00526FD2" w:rsidP="00526FD2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526FD2" w:rsidRPr="00443112" w:rsidRDefault="00526FD2" w:rsidP="00526F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43112">
        <w:rPr>
          <w:rFonts w:ascii="Times New Roman" w:hAnsi="Times New Roman" w:cs="Times New Roman"/>
          <w:b/>
          <w:bCs/>
          <w:sz w:val="24"/>
          <w:szCs w:val="24"/>
        </w:rPr>
        <w:t xml:space="preserve">Plans shall include a plumbing riser diagram along with a completed plumbing plan application form, which can be obtained at the health department or downloaded from </w:t>
      </w:r>
      <w:hyperlink r:id="rId8" w:history="1">
        <w:r w:rsidRPr="00443112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www.abchdkentucky.com</w:t>
        </w:r>
      </w:hyperlink>
      <w:r w:rsidR="005B0E57" w:rsidRPr="0044311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26FD2" w:rsidRPr="00443112" w:rsidRDefault="00526FD2" w:rsidP="00526FD2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526FD2" w:rsidRPr="00443112" w:rsidRDefault="00526FD2" w:rsidP="00526F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43112">
        <w:rPr>
          <w:rFonts w:ascii="Times New Roman" w:hAnsi="Times New Roman" w:cs="Times New Roman"/>
          <w:b/>
          <w:bCs/>
          <w:sz w:val="24"/>
          <w:szCs w:val="24"/>
        </w:rPr>
        <w:t>Fees for plan review are $60 for a new unit or $40 for a remodel/ upgrade. Checks and money orders are payable to the Ashland-Boyd County Health Department.</w:t>
      </w:r>
    </w:p>
    <w:p w:rsidR="00526FD2" w:rsidRPr="00443112" w:rsidRDefault="00526FD2" w:rsidP="00526FD2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443112" w:rsidRPr="00443112" w:rsidRDefault="00526FD2" w:rsidP="00526F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43112">
        <w:rPr>
          <w:rFonts w:ascii="Times New Roman" w:hAnsi="Times New Roman" w:cs="Times New Roman"/>
          <w:b/>
          <w:bCs/>
          <w:sz w:val="24"/>
          <w:szCs w:val="24"/>
        </w:rPr>
        <w:t>Once plans are reviewed and approved by the ABCHD, they are then forwarded to the state plumbing inspector at the Kentu</w:t>
      </w:r>
      <w:r w:rsidR="00443112">
        <w:rPr>
          <w:rFonts w:ascii="Times New Roman" w:hAnsi="Times New Roman" w:cs="Times New Roman"/>
          <w:b/>
          <w:bCs/>
          <w:sz w:val="24"/>
          <w:szCs w:val="24"/>
        </w:rPr>
        <w:t>cky Division of Plumbing. Lloyd Martin</w:t>
      </w:r>
      <w:r w:rsidRPr="00443112">
        <w:rPr>
          <w:rFonts w:ascii="Times New Roman" w:hAnsi="Times New Roman" w:cs="Times New Roman"/>
          <w:b/>
          <w:bCs/>
          <w:sz w:val="24"/>
          <w:szCs w:val="24"/>
        </w:rPr>
        <w:t xml:space="preserve"> is the state plumbing inspector for the Ashland-Boyd County </w:t>
      </w:r>
      <w:r w:rsidR="00443112">
        <w:rPr>
          <w:rFonts w:ascii="Times New Roman" w:hAnsi="Times New Roman" w:cs="Times New Roman"/>
          <w:b/>
          <w:bCs/>
          <w:sz w:val="24"/>
          <w:szCs w:val="24"/>
        </w:rPr>
        <w:t>area. He can be contacted at</w:t>
      </w:r>
      <w:r w:rsidRPr="00443112">
        <w:rPr>
          <w:rFonts w:ascii="Times New Roman" w:hAnsi="Times New Roman" w:cs="Times New Roman"/>
          <w:b/>
          <w:bCs/>
          <w:sz w:val="24"/>
          <w:szCs w:val="24"/>
        </w:rPr>
        <w:t xml:space="preserve"> ABCHD at (606) 324-6530 </w:t>
      </w:r>
    </w:p>
    <w:p w:rsidR="00526FD2" w:rsidRPr="00443112" w:rsidRDefault="00443112" w:rsidP="0044311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526FD2" w:rsidRPr="00443112">
        <w:rPr>
          <w:rFonts w:ascii="Times New Roman" w:hAnsi="Times New Roman" w:cs="Times New Roman"/>
          <w:b/>
          <w:bCs/>
          <w:sz w:val="24"/>
          <w:szCs w:val="24"/>
        </w:rPr>
        <w:t>on Mondays and Thursdays from 8 am – 9:30 am.</w:t>
      </w:r>
    </w:p>
    <w:p w:rsidR="00526FD2" w:rsidRPr="00443112" w:rsidRDefault="00526FD2" w:rsidP="00526FD2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526FD2" w:rsidRPr="00443112" w:rsidRDefault="00526FD2" w:rsidP="00526F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43112">
        <w:rPr>
          <w:rFonts w:ascii="Times New Roman" w:hAnsi="Times New Roman" w:cs="Times New Roman"/>
          <w:b/>
          <w:bCs/>
          <w:sz w:val="24"/>
          <w:szCs w:val="24"/>
        </w:rPr>
        <w:t>When all plans have been approved, a pre-opening inspection will be conducted. Prior to this inspection, a completed profile sheet must be submitted to the health department, along with a check/ money order for the annual operating fee of $160. Permit fees are required by December 31</w:t>
      </w:r>
      <w:r w:rsidRPr="0044311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443112">
        <w:rPr>
          <w:rFonts w:ascii="Times New Roman" w:hAnsi="Times New Roman" w:cs="Times New Roman"/>
          <w:b/>
          <w:bCs/>
          <w:sz w:val="24"/>
          <w:szCs w:val="24"/>
        </w:rPr>
        <w:t xml:space="preserve"> each year.</w:t>
      </w:r>
    </w:p>
    <w:p w:rsidR="005B0E57" w:rsidRPr="005B0E57" w:rsidRDefault="005B0E57" w:rsidP="005B0E57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5B0E57" w:rsidRDefault="005B0E57" w:rsidP="005B0E57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5B0E57" w:rsidRPr="004F7361" w:rsidRDefault="005B0E57" w:rsidP="005B0E57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 w:rsidRPr="004F7361">
        <w:rPr>
          <w:rFonts w:ascii="Times New Roman" w:hAnsi="Times New Roman" w:cs="Times New Roman"/>
          <w:b/>
          <w:bCs/>
        </w:rPr>
        <w:t>ABCHD Environmental Health Program Manager</w:t>
      </w:r>
    </w:p>
    <w:p w:rsidR="005B0E57" w:rsidRPr="004F7361" w:rsidRDefault="005B0E57" w:rsidP="005B0E57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 w:rsidRPr="004F7361">
        <w:rPr>
          <w:rFonts w:ascii="Times New Roman" w:hAnsi="Times New Roman" w:cs="Times New Roman"/>
          <w:b/>
          <w:bCs/>
        </w:rPr>
        <w:t>Shelby Hall</w:t>
      </w:r>
    </w:p>
    <w:p w:rsidR="005B0E57" w:rsidRDefault="005B0E57" w:rsidP="005B0E57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 w:rsidRPr="004F7361">
        <w:rPr>
          <w:rFonts w:ascii="Times New Roman" w:hAnsi="Times New Roman" w:cs="Times New Roman"/>
          <w:b/>
          <w:bCs/>
        </w:rPr>
        <w:t>(606) 324-7141</w:t>
      </w:r>
    </w:p>
    <w:p w:rsidR="00131C12" w:rsidRDefault="00131C12" w:rsidP="00131C12">
      <w:pPr>
        <w:pStyle w:val="ListParagraph"/>
        <w:rPr>
          <w:rFonts w:ascii="Arial" w:hAnsi="Arial" w:cs="Arial"/>
          <w:sz w:val="35"/>
          <w:szCs w:val="35"/>
        </w:rPr>
      </w:pPr>
    </w:p>
    <w:p w:rsidR="003D489D" w:rsidRDefault="003D489D" w:rsidP="00131C12">
      <w:pPr>
        <w:pStyle w:val="ListParagraph"/>
        <w:jc w:val="center"/>
        <w:rPr>
          <w:rFonts w:ascii="Arial" w:hAnsi="Arial" w:cs="Arial"/>
          <w:sz w:val="35"/>
          <w:szCs w:val="35"/>
        </w:rPr>
      </w:pPr>
    </w:p>
    <w:p w:rsidR="003D489D" w:rsidRDefault="003D489D" w:rsidP="00131C12">
      <w:pPr>
        <w:pStyle w:val="ListParagraph"/>
        <w:jc w:val="center"/>
        <w:rPr>
          <w:rFonts w:ascii="Arial" w:hAnsi="Arial" w:cs="Arial"/>
          <w:sz w:val="35"/>
          <w:szCs w:val="35"/>
        </w:rPr>
      </w:pPr>
    </w:p>
    <w:p w:rsidR="00131C12" w:rsidRDefault="00131C12" w:rsidP="00131C12">
      <w:pPr>
        <w:pStyle w:val="ListParagraph"/>
        <w:jc w:val="center"/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>PLUMBING REQUIREMENTS</w:t>
      </w:r>
    </w:p>
    <w:p w:rsidR="00131C12" w:rsidRDefault="00131C12" w:rsidP="00131C12">
      <w:pPr>
        <w:pStyle w:val="ListParagraph"/>
        <w:jc w:val="center"/>
        <w:rPr>
          <w:rFonts w:ascii="Arial" w:hAnsi="Arial" w:cs="Arial"/>
          <w:sz w:val="35"/>
          <w:szCs w:val="35"/>
        </w:rPr>
      </w:pPr>
    </w:p>
    <w:p w:rsidR="00131C12" w:rsidRDefault="00131C12" w:rsidP="00131C12">
      <w:pPr>
        <w:pStyle w:val="ListParagraph"/>
        <w:rPr>
          <w:rFonts w:ascii="Arial" w:hAnsi="Arial" w:cs="Arial"/>
          <w:sz w:val="28"/>
          <w:szCs w:val="28"/>
        </w:rPr>
      </w:pPr>
    </w:p>
    <w:p w:rsidR="00131C12" w:rsidRDefault="00131C12" w:rsidP="00131C12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ym w:font="Symbol" w:char="F0B7"/>
      </w:r>
      <w:r>
        <w:rPr>
          <w:rFonts w:ascii="Arial" w:hAnsi="Arial" w:cs="Arial"/>
          <w:sz w:val="28"/>
          <w:szCs w:val="28"/>
        </w:rPr>
        <w:t>Hand sink in prep area</w:t>
      </w:r>
    </w:p>
    <w:p w:rsidR="00131C12" w:rsidRDefault="00131C12" w:rsidP="00131C12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ym w:font="Symbol" w:char="F0B7"/>
      </w:r>
      <w:r>
        <w:rPr>
          <w:rFonts w:ascii="Arial" w:hAnsi="Arial" w:cs="Arial"/>
          <w:sz w:val="28"/>
          <w:szCs w:val="28"/>
        </w:rPr>
        <w:t>Hot and cold water under pressure (approved by Division of Plumbing)</w:t>
      </w:r>
    </w:p>
    <w:p w:rsidR="00131C12" w:rsidRDefault="00131C12" w:rsidP="00131C12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ym w:font="Symbol" w:char="F0B7"/>
      </w:r>
      <w:r>
        <w:rPr>
          <w:rFonts w:ascii="Arial" w:hAnsi="Arial" w:cs="Arial"/>
          <w:sz w:val="28"/>
          <w:szCs w:val="28"/>
        </w:rPr>
        <w:t>Hot water tank (approved by Division of Plumbing), which can provide a minimum water temperature of 110º F during times of peak usage</w:t>
      </w:r>
    </w:p>
    <w:p w:rsidR="00131C12" w:rsidRDefault="00131C12" w:rsidP="00131C12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ym w:font="Symbol" w:char="F0B7"/>
      </w:r>
      <w:r>
        <w:rPr>
          <w:rFonts w:ascii="Arial" w:hAnsi="Arial" w:cs="Arial"/>
          <w:sz w:val="28"/>
          <w:szCs w:val="28"/>
        </w:rPr>
        <w:t xml:space="preserve">Tanks for portable water supply and waste water must be constructed of National Sanitation Foundation (NSF)approved material </w:t>
      </w:r>
    </w:p>
    <w:p w:rsidR="00131C12" w:rsidRDefault="00131C12" w:rsidP="00131C12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ym w:font="Symbol" w:char="F0B7"/>
      </w:r>
      <w:r>
        <w:rPr>
          <w:rFonts w:ascii="Arial" w:hAnsi="Arial" w:cs="Arial"/>
          <w:sz w:val="28"/>
          <w:szCs w:val="28"/>
        </w:rPr>
        <w:t>3-compartment sink with 2 drain boards</w:t>
      </w:r>
    </w:p>
    <w:p w:rsidR="00131C12" w:rsidRDefault="00131C12" w:rsidP="00131C12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ym w:font="Symbol" w:char="F0B7"/>
      </w:r>
      <w:r>
        <w:rPr>
          <w:rFonts w:ascii="Arial" w:hAnsi="Arial" w:cs="Arial"/>
          <w:sz w:val="28"/>
          <w:szCs w:val="28"/>
        </w:rPr>
        <w:t>Public restrooms must be available at location</w:t>
      </w:r>
    </w:p>
    <w:p w:rsidR="00131C12" w:rsidRDefault="00131C12" w:rsidP="00131C12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ym w:font="Symbol" w:char="F0B7"/>
      </w:r>
      <w:r>
        <w:rPr>
          <w:rFonts w:ascii="Arial" w:hAnsi="Arial" w:cs="Arial"/>
          <w:sz w:val="28"/>
          <w:szCs w:val="28"/>
        </w:rPr>
        <w:t>Waste water retention tank must be 50% larger than fresh water supply</w:t>
      </w:r>
    </w:p>
    <w:p w:rsidR="00131C12" w:rsidRDefault="00131C12" w:rsidP="00131C12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ym w:font="Symbol" w:char="F0B7"/>
      </w:r>
      <w:r>
        <w:rPr>
          <w:rFonts w:ascii="Arial" w:hAnsi="Arial" w:cs="Arial"/>
          <w:sz w:val="28"/>
          <w:szCs w:val="28"/>
        </w:rPr>
        <w:t>Must have a minimum of 50 ft. candles lighting on food prep surfaces in food prep area; lights must be properly shielded</w:t>
      </w:r>
    </w:p>
    <w:p w:rsidR="00131C12" w:rsidRDefault="00131C12" w:rsidP="00131C12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ym w:font="Symbol" w:char="F0B7"/>
      </w:r>
      <w:r>
        <w:rPr>
          <w:rFonts w:ascii="Arial" w:hAnsi="Arial" w:cs="Arial"/>
          <w:sz w:val="28"/>
          <w:szCs w:val="28"/>
        </w:rPr>
        <w:t xml:space="preserve">Surfaces of floors, walls and ceilings must be hard, smooth, cleanable and non-absorbent. </w:t>
      </w:r>
    </w:p>
    <w:p w:rsidR="00131C12" w:rsidRDefault="00131C12" w:rsidP="00131C12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ym w:font="Symbol" w:char="F0B7"/>
      </w:r>
      <w:r>
        <w:rPr>
          <w:rFonts w:ascii="Arial" w:hAnsi="Arial" w:cs="Arial"/>
          <w:sz w:val="28"/>
          <w:szCs w:val="28"/>
        </w:rPr>
        <w:t>Hood/ventilation system for smoke/grease vapors may need approval from Kentucky Department of Housing, Building &amp; Construction (502-573-0373)</w:t>
      </w:r>
    </w:p>
    <w:p w:rsidR="00131C12" w:rsidRDefault="00131C12" w:rsidP="00131C12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ym w:font="Symbol" w:char="F0B7"/>
      </w:r>
      <w:r>
        <w:rPr>
          <w:rFonts w:ascii="Arial" w:hAnsi="Arial" w:cs="Arial"/>
          <w:sz w:val="28"/>
          <w:szCs w:val="28"/>
        </w:rPr>
        <w:t>Copy of proposed menu</w:t>
      </w:r>
    </w:p>
    <w:p w:rsidR="00131C12" w:rsidRDefault="00131C12" w:rsidP="00131C12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:rsidR="00131C12" w:rsidRDefault="00131C12" w:rsidP="00131C12">
      <w:pPr>
        <w:pStyle w:val="ListParagraph"/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131C12" w:rsidRDefault="00131C12" w:rsidP="00131C12">
      <w:pPr>
        <w:pStyle w:val="ListParagraph"/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State Plumbing Inspector for Boyd County:</w:t>
      </w:r>
    </w:p>
    <w:p w:rsidR="007859D5" w:rsidRDefault="007859D5" w:rsidP="00131C12">
      <w:pPr>
        <w:pStyle w:val="ListParagraph"/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Lloyd Martin</w:t>
      </w:r>
      <w:bookmarkStart w:id="0" w:name="_GoBack"/>
      <w:bookmarkEnd w:id="0"/>
    </w:p>
    <w:p w:rsidR="00131C12" w:rsidRDefault="00131C12" w:rsidP="00131C12">
      <w:pPr>
        <w:pStyle w:val="ListParagraph"/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606-324-6530</w:t>
      </w:r>
    </w:p>
    <w:p w:rsidR="00131C12" w:rsidRPr="004F7361" w:rsidRDefault="00131C12" w:rsidP="00131C12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sz w:val="28"/>
          <w:szCs w:val="28"/>
        </w:rPr>
        <w:t xml:space="preserve">Office hours: Monday &amp; Thursday 8 a.m. –9:30 </w:t>
      </w:r>
      <w:proofErr w:type="spellStart"/>
      <w:r>
        <w:rPr>
          <w:rFonts w:ascii="Arial" w:hAnsi="Arial" w:cs="Arial"/>
          <w:sz w:val="28"/>
          <w:szCs w:val="28"/>
        </w:rPr>
        <w:t>a.m</w:t>
      </w:r>
      <w:proofErr w:type="spellEnd"/>
    </w:p>
    <w:p w:rsidR="00526FD2" w:rsidRPr="00526FD2" w:rsidRDefault="00526FD2" w:rsidP="00526FD2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C55496" w:rsidRDefault="00C55496" w:rsidP="00C55496">
      <w:pPr>
        <w:rPr>
          <w:rFonts w:ascii="Tahoma" w:hAnsi="Tahoma" w:cs="Tahoma"/>
          <w:b/>
          <w:bCs/>
        </w:rPr>
      </w:pPr>
    </w:p>
    <w:p w:rsidR="00C55496" w:rsidRDefault="00C55496" w:rsidP="00131C12">
      <w:pPr>
        <w:pStyle w:val="Title"/>
      </w:pPr>
    </w:p>
    <w:p w:rsidR="00C55496" w:rsidRDefault="00C55496" w:rsidP="00131C12">
      <w:pPr>
        <w:pStyle w:val="Heading2"/>
      </w:pPr>
    </w:p>
    <w:p w:rsidR="00C55496" w:rsidRDefault="00C55496" w:rsidP="00C55496">
      <w:pPr>
        <w:rPr>
          <w:rFonts w:ascii="Tahoma" w:hAnsi="Tahoma" w:cs="Tahoma"/>
          <w:b/>
          <w:bCs/>
        </w:rPr>
      </w:pPr>
    </w:p>
    <w:p w:rsidR="00C55496" w:rsidRDefault="00C55496" w:rsidP="00C55496">
      <w:pPr>
        <w:rPr>
          <w:rFonts w:ascii="Tahoma" w:hAnsi="Tahoma" w:cs="Tahoma"/>
          <w:b/>
          <w:bCs/>
        </w:rPr>
      </w:pPr>
    </w:p>
    <w:p w:rsidR="00C55496" w:rsidRDefault="00C55496" w:rsidP="00C55496">
      <w:pPr>
        <w:rPr>
          <w:rFonts w:ascii="Tahoma" w:hAnsi="Tahoma" w:cs="Tahoma"/>
          <w:b/>
          <w:bCs/>
        </w:rPr>
      </w:pPr>
    </w:p>
    <w:p w:rsidR="00C55496" w:rsidRDefault="00C55496" w:rsidP="00C55496">
      <w:pPr>
        <w:rPr>
          <w:rFonts w:ascii="Tahoma" w:hAnsi="Tahoma" w:cs="Tahoma"/>
          <w:b/>
          <w:bCs/>
        </w:rPr>
      </w:pPr>
    </w:p>
    <w:p w:rsidR="00C450B0" w:rsidRPr="003B32A7" w:rsidRDefault="00C450B0" w:rsidP="003B32A7">
      <w:pPr>
        <w:rPr>
          <w:rFonts w:ascii="Times New Roman" w:hAnsi="Times New Roman" w:cs="Times New Roman"/>
          <w:sz w:val="20"/>
          <w:szCs w:val="20"/>
        </w:rPr>
      </w:pPr>
    </w:p>
    <w:sectPr w:rsidR="00C450B0" w:rsidRPr="003B32A7" w:rsidSect="00360B3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5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74D" w:rsidRDefault="00A7474D" w:rsidP="00B62F3F">
      <w:r>
        <w:separator/>
      </w:r>
    </w:p>
  </w:endnote>
  <w:endnote w:type="continuationSeparator" w:id="0">
    <w:p w:rsidR="00A7474D" w:rsidRDefault="00A7474D" w:rsidP="00B6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F3F" w:rsidRDefault="00B62F3F" w:rsidP="00B62F3F">
    <w:pPr>
      <w:pStyle w:val="Footer"/>
      <w:jc w:val="right"/>
    </w:pPr>
  </w:p>
  <w:p w:rsidR="00B62F3F" w:rsidRDefault="00B62F3F" w:rsidP="00B62F3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8CA" w:rsidRDefault="000D48CA" w:rsidP="000D48CA">
    <w:pPr>
      <w:pStyle w:val="Footer"/>
      <w:jc w:val="right"/>
    </w:pPr>
    <w:r>
      <w:rPr>
        <w:noProof/>
      </w:rPr>
      <w:drawing>
        <wp:inline distT="0" distB="0" distL="0" distR="0" wp14:anchorId="08E98C9E" wp14:editId="02C43503">
          <wp:extent cx="914400" cy="798513"/>
          <wp:effectExtent l="0" t="0" r="0" b="1905"/>
          <wp:docPr id="8" name="Picture 8" descr="C:\Users\kristym.bolen\Desktop\PHLogo2Color_000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C:\Users\kristym.bolen\Desktop\PHLogo2Color_000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985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74D" w:rsidRDefault="00A7474D" w:rsidP="00B62F3F">
      <w:r>
        <w:separator/>
      </w:r>
    </w:p>
  </w:footnote>
  <w:footnote w:type="continuationSeparator" w:id="0">
    <w:p w:rsidR="00A7474D" w:rsidRDefault="00A7474D" w:rsidP="00B62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3A0" w:rsidRPr="000A276D" w:rsidRDefault="003803A0" w:rsidP="000A276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8CA" w:rsidRPr="003B32A7" w:rsidRDefault="00360B3E" w:rsidP="000D48CA">
    <w:pPr>
      <w:jc w:val="right"/>
      <w:rPr>
        <w:rFonts w:ascii="Times New Roman" w:hAnsi="Times New Roman" w:cs="Times New Roman"/>
        <w:b/>
        <w:color w:val="333399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185D8F4" wp14:editId="26E0D7B1">
              <wp:simplePos x="0" y="0"/>
              <wp:positionH relativeFrom="margin">
                <wp:posOffset>1971675</wp:posOffset>
              </wp:positionH>
              <wp:positionV relativeFrom="page">
                <wp:posOffset>1488965</wp:posOffset>
              </wp:positionV>
              <wp:extent cx="4886325" cy="9525"/>
              <wp:effectExtent l="0" t="0" r="28575" b="28575"/>
              <wp:wrapSquare wrapText="bothSides"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886325" cy="952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53D0ABF" id="Straight Connector 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155.25pt,117.25pt" to="540pt,1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Vg1QEAAIIDAAAOAAAAZHJzL2Uyb0RvYy54bWysU01v2zAMvQ/YfxB0X+x6TZsacYohQXcZ&#10;tgDddmdkyRagL1BanPz7UYoXdNutqA8CRVJPfE/P68eTNewoMWrvOn6zqDmTTvheu6HjP74/fVhx&#10;FhO4Hox3suNnGfnj5v279RRa2fjRm14iIxAX2yl0fEwptFUVxSgtxIUP0lFRebSQaItD1SNMhG5N&#10;1dT1XTV57AN6IWOk7O5S5JuCr5QU6ZtSUSZmOk6zpbJiWQ95rTZraAeEMGoxjwGvmMKCdnTpFWoH&#10;Cdgv1P9BWS3QR6/SQnhbeaW0kIUDsbmp/2HzPEKQhQuJE8NVpvh2sOLrcY9M9x1vOHNg6YmeE4Ie&#10;xsS23jkS0CNrsk5TiC21b90e510Me8ykTwotU0aHn2SBIgMRY6ei8vmqsjwlJih5u1rdfWyWnAmq&#10;PSwpIrjqgpLRAsb0WXrLctBxo13WAFo4fonp0vqnJaedf9LGUB5a49hEEzzUS3pqAWQnZSBRaAMR&#10;jG7gDMxAPhUJC2T0Rvf5eD4dcThsDbIjkFfu60+72/t5sr/a8t07iOOlr5RyG7RWJ7Ky0bbjqzp/&#10;82njclUWM84MspQX8XJ08P25aFrlHT10kWM2ZXbSyz3FL3+dzW8AAAD//wMAUEsDBBQABgAIAAAA&#10;IQBwO/z24AAAAAwBAAAPAAAAZHJzL2Rvd25yZXYueG1sTI9BT8MwDIXvSPyHyEjcWNKNTVNpOiEk&#10;OMCJDgTcvDa0hcapknRr+fW4J7jZfk/P38t2o+3E0fjQOtKQLBQIQ6WrWqo1vOzvr7YgQkSqsHNk&#10;NEwmwC4/P8swrdyJns2xiLXgEAopamhi7FMpQ9kYi2HhekOsfTpvMfLqa1l5PHG47eRSqY202BJ/&#10;aLA3d40pv4vBavjAt4d1UkzvP/i4/xrJ+WF6fdL68mK8vQERzRj/zDDjMzrkzHRwA1VBdBpWiVqz&#10;VcNydc3D7FBbxfUO82mjQOaZ/F8i/wUAAP//AwBQSwECLQAUAAYACAAAACEAtoM4kv4AAADhAQAA&#10;EwAAAAAAAAAAAAAAAAAAAAAAW0NvbnRlbnRfVHlwZXNdLnhtbFBLAQItABQABgAIAAAAIQA4/SH/&#10;1gAAAJQBAAALAAAAAAAAAAAAAAAAAC8BAABfcmVscy8ucmVsc1BLAQItABQABgAIAAAAIQAQoLVg&#10;1QEAAIIDAAAOAAAAAAAAAAAAAAAAAC4CAABkcnMvZTJvRG9jLnhtbFBLAQItABQABgAIAAAAIQBw&#10;O/z24AAAAAwBAAAPAAAAAAAAAAAAAAAAAC8EAABkcnMvZG93bnJldi54bWxQSwUGAAAAAAQABADz&#10;AAAAPAUAAAAA&#10;" strokecolor="#70ad47" strokeweight="1.5pt">
              <v:stroke joinstyle="miter"/>
              <w10:wrap type="square" anchorx="margin" anchory="page"/>
            </v:line>
          </w:pict>
        </mc:Fallback>
      </mc:AlternateContent>
    </w:r>
    <w:r w:rsidR="003803A0">
      <w:rPr>
        <w:rFonts w:ascii="Times New Roman" w:hAnsi="Times New Roman" w:cs="Times New Roman"/>
        <w:b/>
        <w:color w:val="333399"/>
        <w:sz w:val="24"/>
        <w:szCs w:val="24"/>
      </w:rPr>
      <w:t>Environmental Services</w:t>
    </w:r>
  </w:p>
  <w:p w:rsidR="000D48CA" w:rsidRPr="003B32A7" w:rsidRDefault="000D48CA" w:rsidP="000D48CA">
    <w:pPr>
      <w:jc w:val="right"/>
      <w:rPr>
        <w:rFonts w:ascii="Times New Roman" w:hAnsi="Times New Roman" w:cs="Times New Roman"/>
        <w:b/>
        <w:color w:val="333399"/>
        <w:sz w:val="20"/>
        <w:szCs w:val="20"/>
      </w:rPr>
    </w:pPr>
    <w:r w:rsidRPr="003B32A7">
      <w:rPr>
        <w:rFonts w:ascii="Times New Roman" w:hAnsi="Times New Roman" w:cs="Times New Roman"/>
        <w:b/>
        <w:color w:val="333399"/>
        <w:sz w:val="20"/>
        <w:szCs w:val="20"/>
      </w:rPr>
      <w:t>2924 Holt Street</w:t>
    </w:r>
  </w:p>
  <w:p w:rsidR="000D48CA" w:rsidRPr="003B32A7" w:rsidRDefault="000D48CA" w:rsidP="000D48CA">
    <w:pPr>
      <w:jc w:val="right"/>
      <w:rPr>
        <w:rFonts w:ascii="Times New Roman" w:hAnsi="Times New Roman" w:cs="Times New Roman"/>
        <w:sz w:val="20"/>
        <w:szCs w:val="20"/>
      </w:rPr>
    </w:pPr>
    <w:r w:rsidRPr="003B32A7">
      <w:rPr>
        <w:rFonts w:ascii="Times New Roman" w:hAnsi="Times New Roman" w:cs="Times New Roman"/>
        <w:b/>
        <w:color w:val="333399"/>
        <w:sz w:val="20"/>
        <w:szCs w:val="20"/>
      </w:rPr>
      <w:t>Ashland, KY. 41101</w:t>
    </w:r>
  </w:p>
  <w:p w:rsidR="000D48CA" w:rsidRDefault="000D48CA" w:rsidP="000D48CA">
    <w:pPr>
      <w:pStyle w:val="Header"/>
      <w:jc w:val="righ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5E49DB1" wp14:editId="2E824447">
          <wp:simplePos x="0" y="0"/>
          <wp:positionH relativeFrom="column">
            <wp:posOffset>3175</wp:posOffset>
          </wp:positionH>
          <wp:positionV relativeFrom="page">
            <wp:posOffset>452120</wp:posOffset>
          </wp:positionV>
          <wp:extent cx="1854200" cy="1381125"/>
          <wp:effectExtent l="0" t="0" r="0" b="9525"/>
          <wp:wrapSquare wrapText="bothSides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59" t="4215" r="12290" b="13453"/>
                  <a:stretch/>
                </pic:blipFill>
                <pic:spPr>
                  <a:xfrm>
                    <a:off x="0" y="0"/>
                    <a:ext cx="1854200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23D0"/>
    <w:multiLevelType w:val="hybridMultilevel"/>
    <w:tmpl w:val="D73A5A70"/>
    <w:lvl w:ilvl="0" w:tplc="CD7814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D94DC8"/>
    <w:multiLevelType w:val="hybridMultilevel"/>
    <w:tmpl w:val="6FB262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75CE9"/>
    <w:multiLevelType w:val="hybridMultilevel"/>
    <w:tmpl w:val="4D6473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8768FD"/>
    <w:multiLevelType w:val="hybridMultilevel"/>
    <w:tmpl w:val="DE6A2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F119B"/>
    <w:multiLevelType w:val="hybridMultilevel"/>
    <w:tmpl w:val="48F4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A7"/>
    <w:rsid w:val="000A276D"/>
    <w:rsid w:val="000D48CA"/>
    <w:rsid w:val="00131C12"/>
    <w:rsid w:val="0014062D"/>
    <w:rsid w:val="001E0F41"/>
    <w:rsid w:val="00290D4E"/>
    <w:rsid w:val="002B33FE"/>
    <w:rsid w:val="00360B3E"/>
    <w:rsid w:val="003803A0"/>
    <w:rsid w:val="003B32A7"/>
    <w:rsid w:val="003B4A76"/>
    <w:rsid w:val="003C699C"/>
    <w:rsid w:val="003D489D"/>
    <w:rsid w:val="003D546A"/>
    <w:rsid w:val="00443112"/>
    <w:rsid w:val="004F7361"/>
    <w:rsid w:val="00523DB6"/>
    <w:rsid w:val="00526FD2"/>
    <w:rsid w:val="00580E58"/>
    <w:rsid w:val="005B0E57"/>
    <w:rsid w:val="005B5090"/>
    <w:rsid w:val="00635577"/>
    <w:rsid w:val="006435A2"/>
    <w:rsid w:val="00770AE2"/>
    <w:rsid w:val="0077543C"/>
    <w:rsid w:val="007859D5"/>
    <w:rsid w:val="007B7E37"/>
    <w:rsid w:val="008C4C7D"/>
    <w:rsid w:val="008D6CAA"/>
    <w:rsid w:val="0091224C"/>
    <w:rsid w:val="0092211A"/>
    <w:rsid w:val="00927805"/>
    <w:rsid w:val="009A23AA"/>
    <w:rsid w:val="009D2CF2"/>
    <w:rsid w:val="00A0062A"/>
    <w:rsid w:val="00A34D51"/>
    <w:rsid w:val="00A40F5A"/>
    <w:rsid w:val="00A7474D"/>
    <w:rsid w:val="00AE7722"/>
    <w:rsid w:val="00AF22DA"/>
    <w:rsid w:val="00B51C3D"/>
    <w:rsid w:val="00B62F3F"/>
    <w:rsid w:val="00C2011B"/>
    <w:rsid w:val="00C450B0"/>
    <w:rsid w:val="00C55496"/>
    <w:rsid w:val="00C84381"/>
    <w:rsid w:val="00D65F8A"/>
    <w:rsid w:val="00DC5499"/>
    <w:rsid w:val="00ED7DDA"/>
    <w:rsid w:val="00F43373"/>
    <w:rsid w:val="00F50E15"/>
    <w:rsid w:val="00F934CE"/>
    <w:rsid w:val="00FB46E6"/>
    <w:rsid w:val="00FD0530"/>
    <w:rsid w:val="00FD6458"/>
    <w:rsid w:val="00F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4C08D09"/>
  <w15:docId w15:val="{6CFCAD2B-E8DA-4CFE-ACC5-11FB3A39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D6CAA"/>
    <w:pPr>
      <w:keepNext/>
      <w:outlineLvl w:val="1"/>
    </w:pPr>
    <w:rPr>
      <w:rFonts w:ascii="Tahoma" w:eastAsia="Times New Roman" w:hAnsi="Tahoma" w:cs="Tahoma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F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F3F"/>
  </w:style>
  <w:style w:type="paragraph" w:styleId="Footer">
    <w:name w:val="footer"/>
    <w:basedOn w:val="Normal"/>
    <w:link w:val="FooterChar"/>
    <w:uiPriority w:val="99"/>
    <w:unhideWhenUsed/>
    <w:rsid w:val="00B62F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F3F"/>
  </w:style>
  <w:style w:type="paragraph" w:styleId="BalloonText">
    <w:name w:val="Balloon Text"/>
    <w:basedOn w:val="Normal"/>
    <w:link w:val="BalloonTextChar"/>
    <w:uiPriority w:val="99"/>
    <w:semiHidden/>
    <w:unhideWhenUsed/>
    <w:rsid w:val="00B62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F3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D6CAA"/>
    <w:rPr>
      <w:rFonts w:ascii="Tahoma" w:eastAsia="Times New Roman" w:hAnsi="Tahoma" w:cs="Tahoma"/>
      <w:b/>
      <w:bCs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D54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34D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6FD2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31C1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C1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hdkentucky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F3074-4C25-4A57-9679-2F91A01F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Sowley, Melitza L (LHD - Ash-Boyd Co)</dc:creator>
  <cp:lastModifiedBy>Tracy J. Stapleton</cp:lastModifiedBy>
  <cp:revision>5</cp:revision>
  <cp:lastPrinted>2019-10-28T13:12:00Z</cp:lastPrinted>
  <dcterms:created xsi:type="dcterms:W3CDTF">2019-10-28T13:18:00Z</dcterms:created>
  <dcterms:modified xsi:type="dcterms:W3CDTF">2019-10-28T13:59:00Z</dcterms:modified>
</cp:coreProperties>
</file>