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50" w:rsidRDefault="00FD0A10">
      <w:pPr>
        <w:pStyle w:val="Heading1"/>
        <w:jc w:val="center"/>
      </w:pPr>
      <w:r>
        <w:t>Peri</w:t>
      </w:r>
      <w:r w:rsidR="00582350">
        <w:t>dontal Disease</w:t>
      </w:r>
    </w:p>
    <w:p w:rsidR="00582350" w:rsidRDefault="00582350"/>
    <w:p w:rsidR="00582350" w:rsidRDefault="00582350">
      <w:r>
        <w:rPr>
          <w:noProof/>
          <w:sz w:val="20"/>
          <w:lang w:val="en-US"/>
        </w:rPr>
        <w:pict>
          <v:shapetype id="_x0000_t202" coordsize="21600,21600" o:spt="202" path="m,l,21600r21600,l21600,xe">
            <v:stroke joinstyle="miter"/>
            <v:path gradientshapeok="t" o:connecttype="rect"/>
          </v:shapetype>
          <v:shape id="_x0000_s1027" type="#_x0000_t202" style="position:absolute;margin-left:45pt;margin-top:7.05pt;width:439pt;height:163.95pt;z-index:251657728" stroked="f">
            <v:textbox style="mso-next-textbox:#_x0000_s1027">
              <w:txbxContent>
                <w:p w:rsidR="00582350" w:rsidRDefault="005946ED">
                  <w:r>
                    <w:rPr>
                      <w:noProof/>
                      <w:lang w:eastAsia="en-CA"/>
                    </w:rPr>
                    <w:drawing>
                      <wp:inline distT="0" distB="0" distL="0" distR="0">
                        <wp:extent cx="5391150" cy="1990725"/>
                        <wp:effectExtent l="19050" t="0" r="0" b="0"/>
                        <wp:docPr id="1" name="Picture 1" descr="xra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ay-4"/>
                                <pic:cNvPicPr>
                                  <a:picLocks noChangeAspect="1" noChangeArrowheads="1"/>
                                </pic:cNvPicPr>
                              </pic:nvPicPr>
                              <pic:blipFill>
                                <a:blip r:embed="rId5"/>
                                <a:srcRect/>
                                <a:stretch>
                                  <a:fillRect/>
                                </a:stretch>
                              </pic:blipFill>
                              <pic:spPr bwMode="auto">
                                <a:xfrm>
                                  <a:off x="0" y="0"/>
                                  <a:ext cx="5391150" cy="1990725"/>
                                </a:xfrm>
                                <a:prstGeom prst="rect">
                                  <a:avLst/>
                                </a:prstGeom>
                                <a:noFill/>
                                <a:ln w="9525">
                                  <a:noFill/>
                                  <a:miter lim="800000"/>
                                  <a:headEnd/>
                                  <a:tailEnd/>
                                </a:ln>
                              </pic:spPr>
                            </pic:pic>
                          </a:graphicData>
                        </a:graphic>
                      </wp:inline>
                    </w:drawing>
                  </w:r>
                </w:p>
              </w:txbxContent>
            </v:textbox>
          </v:shape>
        </w:pict>
      </w:r>
    </w:p>
    <w:p w:rsidR="00582350" w:rsidRDefault="00582350"/>
    <w:p w:rsidR="00582350" w:rsidRDefault="00582350"/>
    <w:p w:rsidR="00582350" w:rsidRDefault="00582350"/>
    <w:p w:rsidR="00582350" w:rsidRDefault="00582350"/>
    <w:p w:rsidR="00582350" w:rsidRDefault="00582350"/>
    <w:p w:rsidR="00582350" w:rsidRDefault="00582350"/>
    <w:p w:rsidR="00582350" w:rsidRDefault="00582350"/>
    <w:p w:rsidR="00582350" w:rsidRDefault="00582350"/>
    <w:p w:rsidR="00582350" w:rsidRDefault="00582350"/>
    <w:p w:rsidR="00582350" w:rsidRDefault="00582350"/>
    <w:p w:rsidR="00582350" w:rsidRDefault="00582350">
      <w:pPr>
        <w:rPr>
          <w:sz w:val="20"/>
        </w:rPr>
      </w:pPr>
    </w:p>
    <w:p w:rsidR="00582350" w:rsidRDefault="00582350">
      <w:pPr>
        <w:rPr>
          <w:sz w:val="20"/>
        </w:rPr>
      </w:pPr>
    </w:p>
    <w:p w:rsidR="00582350" w:rsidRDefault="00582350">
      <w:pPr>
        <w:rPr>
          <w:sz w:val="20"/>
        </w:rPr>
      </w:pPr>
      <w:r>
        <w:rPr>
          <w:sz w:val="20"/>
        </w:rPr>
        <w:t xml:space="preserve">Periodontal disease is any disorder of the gums or other supporting structures of the teeth.  </w:t>
      </w:r>
    </w:p>
    <w:p w:rsidR="00582350" w:rsidRDefault="00582350">
      <w:pPr>
        <w:numPr>
          <w:ilvl w:val="0"/>
          <w:numId w:val="1"/>
        </w:numPr>
        <w:rPr>
          <w:sz w:val="20"/>
        </w:rPr>
      </w:pPr>
      <w:r>
        <w:rPr>
          <w:sz w:val="20"/>
        </w:rPr>
        <w:t xml:space="preserve">Gingivitis (inflammation of the gums) – is the early stage of periodontal disease:  caused by plaque that adheres to the teeth which causes the gums to become infected and swollen.  If ignored, gingivitis can lead to pyorrhoea or periodontitis, where the bone supporting the teeth begins to erode as a result of the infection.  </w:t>
      </w:r>
    </w:p>
    <w:p w:rsidR="00582350" w:rsidRDefault="00582350">
      <w:pPr>
        <w:numPr>
          <w:ilvl w:val="0"/>
          <w:numId w:val="1"/>
        </w:numPr>
        <w:rPr>
          <w:sz w:val="20"/>
        </w:rPr>
      </w:pPr>
      <w:r>
        <w:rPr>
          <w:sz w:val="20"/>
        </w:rPr>
        <w:t>Stomatitis (inflammation of the oral tissues of the mouth, such as the lips, palate, inside the cheeks, etc.) – which can product swollen gums that bleed easily.  Sores may develop in the mouth, such as oral herpes or canker sores.</w:t>
      </w:r>
    </w:p>
    <w:p w:rsidR="00582350" w:rsidRDefault="00582350">
      <w:pPr>
        <w:rPr>
          <w:sz w:val="20"/>
        </w:rPr>
      </w:pPr>
    </w:p>
    <w:p w:rsidR="00582350" w:rsidRDefault="00582350">
      <w:pPr>
        <w:rPr>
          <w:sz w:val="20"/>
          <w:u w:val="single"/>
        </w:rPr>
      </w:pPr>
      <w:r>
        <w:rPr>
          <w:sz w:val="20"/>
          <w:u w:val="single"/>
        </w:rPr>
        <w:t>Causes of Periodontal Disease:</w:t>
      </w:r>
    </w:p>
    <w:p w:rsidR="00582350" w:rsidRDefault="00582350">
      <w:pPr>
        <w:rPr>
          <w:sz w:val="20"/>
        </w:rPr>
      </w:pPr>
      <w:r>
        <w:rPr>
          <w:sz w:val="20"/>
        </w:rPr>
        <w:t xml:space="preserve">Problems in the mouth are usually a reflection of nutritional deficiencies and/or underlying disorders in the body.  </w:t>
      </w:r>
    </w:p>
    <w:p w:rsidR="00582350" w:rsidRDefault="00582350">
      <w:pPr>
        <w:numPr>
          <w:ilvl w:val="0"/>
          <w:numId w:val="2"/>
        </w:numPr>
        <w:rPr>
          <w:sz w:val="20"/>
        </w:rPr>
      </w:pPr>
      <w:r>
        <w:rPr>
          <w:sz w:val="20"/>
        </w:rPr>
        <w:t xml:space="preserve">Nutritional Deficiencies:  </w:t>
      </w:r>
    </w:p>
    <w:p w:rsidR="00582350" w:rsidRDefault="00582350">
      <w:pPr>
        <w:numPr>
          <w:ilvl w:val="3"/>
          <w:numId w:val="2"/>
        </w:numPr>
        <w:rPr>
          <w:sz w:val="20"/>
        </w:rPr>
      </w:pPr>
      <w:r>
        <w:rPr>
          <w:sz w:val="20"/>
        </w:rPr>
        <w:t>Bleeding gums may signal a Vitamin C deficiency</w:t>
      </w:r>
    </w:p>
    <w:p w:rsidR="00582350" w:rsidRDefault="00582350">
      <w:pPr>
        <w:numPr>
          <w:ilvl w:val="3"/>
          <w:numId w:val="2"/>
        </w:numPr>
        <w:rPr>
          <w:sz w:val="20"/>
        </w:rPr>
      </w:pPr>
      <w:r>
        <w:rPr>
          <w:sz w:val="20"/>
        </w:rPr>
        <w:t>Dryness and cracking at the corners of the mouth may indicate a deficiency of B Complex</w:t>
      </w:r>
    </w:p>
    <w:p w:rsidR="00582350" w:rsidRDefault="00582350">
      <w:pPr>
        <w:numPr>
          <w:ilvl w:val="0"/>
          <w:numId w:val="2"/>
        </w:numPr>
        <w:rPr>
          <w:sz w:val="20"/>
        </w:rPr>
      </w:pPr>
      <w:r>
        <w:rPr>
          <w:sz w:val="20"/>
        </w:rPr>
        <w:t>Improper brushing</w:t>
      </w:r>
    </w:p>
    <w:p w:rsidR="00582350" w:rsidRDefault="00582350">
      <w:pPr>
        <w:numPr>
          <w:ilvl w:val="0"/>
          <w:numId w:val="2"/>
        </w:numPr>
        <w:rPr>
          <w:sz w:val="20"/>
        </w:rPr>
      </w:pPr>
      <w:r>
        <w:rPr>
          <w:sz w:val="20"/>
        </w:rPr>
        <w:t>Poor food choices, including too much sugar consumption or refined carbohydrates</w:t>
      </w:r>
    </w:p>
    <w:p w:rsidR="00582350" w:rsidRDefault="00582350">
      <w:pPr>
        <w:numPr>
          <w:ilvl w:val="0"/>
          <w:numId w:val="2"/>
        </w:numPr>
        <w:rPr>
          <w:sz w:val="20"/>
        </w:rPr>
      </w:pPr>
      <w:r>
        <w:rPr>
          <w:sz w:val="20"/>
        </w:rPr>
        <w:t>Chronic illness</w:t>
      </w:r>
    </w:p>
    <w:p w:rsidR="00582350" w:rsidRDefault="00582350">
      <w:pPr>
        <w:numPr>
          <w:ilvl w:val="0"/>
          <w:numId w:val="2"/>
        </w:numPr>
        <w:rPr>
          <w:sz w:val="20"/>
        </w:rPr>
      </w:pPr>
      <w:r>
        <w:rPr>
          <w:sz w:val="20"/>
        </w:rPr>
        <w:t>Glandular disorders</w:t>
      </w:r>
    </w:p>
    <w:p w:rsidR="00582350" w:rsidRDefault="00582350">
      <w:pPr>
        <w:numPr>
          <w:ilvl w:val="0"/>
          <w:numId w:val="2"/>
        </w:numPr>
        <w:rPr>
          <w:sz w:val="20"/>
        </w:rPr>
      </w:pPr>
      <w:r>
        <w:rPr>
          <w:sz w:val="20"/>
        </w:rPr>
        <w:t>Blood Disease</w:t>
      </w:r>
    </w:p>
    <w:p w:rsidR="00582350" w:rsidRDefault="00582350">
      <w:pPr>
        <w:numPr>
          <w:ilvl w:val="0"/>
          <w:numId w:val="2"/>
        </w:numPr>
        <w:rPr>
          <w:sz w:val="20"/>
        </w:rPr>
      </w:pPr>
      <w:r>
        <w:rPr>
          <w:sz w:val="20"/>
        </w:rPr>
        <w:t>Smoking</w:t>
      </w:r>
    </w:p>
    <w:p w:rsidR="00582350" w:rsidRDefault="00582350">
      <w:pPr>
        <w:numPr>
          <w:ilvl w:val="0"/>
          <w:numId w:val="2"/>
        </w:numPr>
        <w:rPr>
          <w:sz w:val="20"/>
        </w:rPr>
      </w:pPr>
      <w:r>
        <w:rPr>
          <w:sz w:val="20"/>
        </w:rPr>
        <w:t>Excessive alcohol consumption</w:t>
      </w:r>
    </w:p>
    <w:p w:rsidR="00582350" w:rsidRDefault="00582350">
      <w:pPr>
        <w:numPr>
          <w:ilvl w:val="0"/>
          <w:numId w:val="2"/>
        </w:numPr>
      </w:pPr>
      <w:r>
        <w:rPr>
          <w:sz w:val="20"/>
        </w:rPr>
        <w:t>Drugs that cause interference with nutrient absorption</w:t>
      </w:r>
    </w:p>
    <w:p w:rsidR="00582350" w:rsidRDefault="00582350">
      <w:pPr>
        <w:rPr>
          <w:sz w:val="20"/>
        </w:rPr>
      </w:pPr>
    </w:p>
    <w:p w:rsidR="00582350" w:rsidRDefault="00582350">
      <w:pPr>
        <w:rPr>
          <w:sz w:val="20"/>
          <w:u w:val="single"/>
        </w:rPr>
      </w:pPr>
      <w:r>
        <w:rPr>
          <w:sz w:val="20"/>
          <w:u w:val="single"/>
        </w:rPr>
        <w:t>Recommended Supplements:</w:t>
      </w:r>
    </w:p>
    <w:p w:rsidR="00582350" w:rsidRDefault="00582350">
      <w:pPr>
        <w:numPr>
          <w:ilvl w:val="0"/>
          <w:numId w:val="4"/>
        </w:numPr>
        <w:rPr>
          <w:sz w:val="20"/>
          <w:u w:val="single"/>
        </w:rPr>
      </w:pPr>
      <w:r>
        <w:rPr>
          <w:sz w:val="20"/>
        </w:rPr>
        <w:t>Step 1:</w:t>
      </w:r>
    </w:p>
    <w:p w:rsidR="00582350" w:rsidRDefault="00582350">
      <w:pPr>
        <w:numPr>
          <w:ilvl w:val="3"/>
          <w:numId w:val="4"/>
        </w:numPr>
        <w:rPr>
          <w:sz w:val="20"/>
          <w:u w:val="single"/>
        </w:rPr>
      </w:pPr>
      <w:r>
        <w:rPr>
          <w:sz w:val="20"/>
        </w:rPr>
        <w:t>CoQ</w:t>
      </w:r>
      <w:r w:rsidR="005946ED">
        <w:rPr>
          <w:sz w:val="20"/>
        </w:rPr>
        <w:t>Heart</w:t>
      </w:r>
      <w:r>
        <w:rPr>
          <w:sz w:val="20"/>
        </w:rPr>
        <w:t xml:space="preserve"> – increases tissue oxygenation</w:t>
      </w:r>
    </w:p>
    <w:p w:rsidR="00582350" w:rsidRDefault="00582350">
      <w:pPr>
        <w:numPr>
          <w:ilvl w:val="3"/>
          <w:numId w:val="4"/>
        </w:numPr>
        <w:rPr>
          <w:sz w:val="20"/>
          <w:u w:val="single"/>
        </w:rPr>
      </w:pPr>
      <w:r>
        <w:rPr>
          <w:sz w:val="20"/>
        </w:rPr>
        <w:t>Vitamin C with bioflavonoids – promotes healing, especially of healing gums.  Bioflavonoids retard plaque growth</w:t>
      </w:r>
    </w:p>
    <w:p w:rsidR="00582350" w:rsidRDefault="00582350">
      <w:pPr>
        <w:numPr>
          <w:ilvl w:val="3"/>
          <w:numId w:val="4"/>
        </w:numPr>
        <w:rPr>
          <w:sz w:val="20"/>
          <w:u w:val="single"/>
        </w:rPr>
      </w:pPr>
      <w:r>
        <w:rPr>
          <w:sz w:val="20"/>
        </w:rPr>
        <w:t xml:space="preserve">Probiotics (Shaklee Optiflora 2-Part System) </w:t>
      </w:r>
    </w:p>
    <w:p w:rsidR="00582350" w:rsidRDefault="00582350">
      <w:pPr>
        <w:numPr>
          <w:ilvl w:val="3"/>
          <w:numId w:val="4"/>
        </w:numPr>
        <w:rPr>
          <w:sz w:val="20"/>
          <w:u w:val="single"/>
        </w:rPr>
      </w:pPr>
      <w:r>
        <w:rPr>
          <w:sz w:val="20"/>
        </w:rPr>
        <w:t>VIVIX – for tissue repair &amp; regeneration</w:t>
      </w:r>
    </w:p>
    <w:p w:rsidR="00582350" w:rsidRDefault="00582350">
      <w:pPr>
        <w:numPr>
          <w:ilvl w:val="3"/>
          <w:numId w:val="4"/>
        </w:numPr>
        <w:rPr>
          <w:sz w:val="20"/>
          <w:u w:val="single"/>
        </w:rPr>
      </w:pPr>
      <w:r>
        <w:rPr>
          <w:sz w:val="20"/>
        </w:rPr>
        <w:t>Multiple Vitamin/Mineral (Shaklee Vita Lea) – a smorgasbord of nutrients essential for healing of gum tissue</w:t>
      </w:r>
    </w:p>
    <w:p w:rsidR="00582350" w:rsidRDefault="00582350">
      <w:pPr>
        <w:numPr>
          <w:ilvl w:val="2"/>
          <w:numId w:val="4"/>
        </w:numPr>
        <w:rPr>
          <w:sz w:val="20"/>
          <w:u w:val="single"/>
        </w:rPr>
      </w:pPr>
      <w:r>
        <w:rPr>
          <w:sz w:val="20"/>
        </w:rPr>
        <w:t>Step 2:</w:t>
      </w:r>
    </w:p>
    <w:p w:rsidR="00582350" w:rsidRDefault="00582350">
      <w:pPr>
        <w:numPr>
          <w:ilvl w:val="3"/>
          <w:numId w:val="4"/>
        </w:numPr>
        <w:rPr>
          <w:sz w:val="20"/>
          <w:u w:val="single"/>
        </w:rPr>
      </w:pPr>
      <w:r>
        <w:rPr>
          <w:sz w:val="20"/>
        </w:rPr>
        <w:t>Calcium/Magnesium Complex – helps prevent bone loss around the gums</w:t>
      </w:r>
    </w:p>
    <w:p w:rsidR="00582350" w:rsidRDefault="005946ED">
      <w:pPr>
        <w:numPr>
          <w:ilvl w:val="3"/>
          <w:numId w:val="4"/>
        </w:numPr>
        <w:rPr>
          <w:sz w:val="20"/>
          <w:u w:val="single"/>
        </w:rPr>
      </w:pPr>
      <w:r>
        <w:rPr>
          <w:sz w:val="20"/>
        </w:rPr>
        <w:t>Carotinoids (Shaklee Carotomax)</w:t>
      </w:r>
      <w:r w:rsidR="00582350">
        <w:rPr>
          <w:sz w:val="20"/>
        </w:rPr>
        <w:t xml:space="preserve"> – for gum tissue repair</w:t>
      </w:r>
    </w:p>
    <w:p w:rsidR="00582350" w:rsidRDefault="00582350">
      <w:pPr>
        <w:numPr>
          <w:ilvl w:val="3"/>
          <w:numId w:val="4"/>
        </w:numPr>
        <w:rPr>
          <w:sz w:val="20"/>
          <w:u w:val="single"/>
        </w:rPr>
      </w:pPr>
      <w:r>
        <w:rPr>
          <w:sz w:val="20"/>
        </w:rPr>
        <w:t>Vitamin E – antioxidant</w:t>
      </w:r>
    </w:p>
    <w:p w:rsidR="00582350" w:rsidRDefault="00582350">
      <w:pPr>
        <w:numPr>
          <w:ilvl w:val="3"/>
          <w:numId w:val="4"/>
        </w:numPr>
        <w:rPr>
          <w:sz w:val="20"/>
          <w:u w:val="single"/>
        </w:rPr>
      </w:pPr>
      <w:r>
        <w:rPr>
          <w:sz w:val="20"/>
        </w:rPr>
        <w:t>B Complex – needed for proper digestion and healthy mouth tissues</w:t>
      </w:r>
    </w:p>
    <w:p w:rsidR="00582350" w:rsidRDefault="00582350">
      <w:pPr>
        <w:numPr>
          <w:ilvl w:val="3"/>
          <w:numId w:val="4"/>
        </w:numPr>
        <w:rPr>
          <w:sz w:val="20"/>
          <w:u w:val="single"/>
        </w:rPr>
      </w:pPr>
      <w:r>
        <w:rPr>
          <w:sz w:val="20"/>
        </w:rPr>
        <w:t>Zinc – supports healing</w:t>
      </w:r>
    </w:p>
    <w:p w:rsidR="00582350" w:rsidRDefault="00582350">
      <w:pPr>
        <w:ind w:left="818"/>
        <w:rPr>
          <w:sz w:val="20"/>
          <w:u w:val="single"/>
        </w:rPr>
      </w:pPr>
    </w:p>
    <w:p w:rsidR="00582350" w:rsidRDefault="00582350">
      <w:pPr>
        <w:rPr>
          <w:sz w:val="20"/>
        </w:rPr>
      </w:pPr>
      <w:r>
        <w:rPr>
          <w:sz w:val="20"/>
        </w:rPr>
        <w:t xml:space="preserve">NOTE:  If gums are infected, </w:t>
      </w:r>
    </w:p>
    <w:p w:rsidR="00582350" w:rsidRDefault="00582350">
      <w:pPr>
        <w:numPr>
          <w:ilvl w:val="3"/>
          <w:numId w:val="4"/>
        </w:numPr>
        <w:rPr>
          <w:sz w:val="20"/>
          <w:u w:val="single"/>
        </w:rPr>
      </w:pPr>
      <w:r>
        <w:rPr>
          <w:sz w:val="20"/>
        </w:rPr>
        <w:t>use Garlic daily</w:t>
      </w:r>
    </w:p>
    <w:p w:rsidR="00582350" w:rsidRDefault="00582350">
      <w:pPr>
        <w:numPr>
          <w:ilvl w:val="3"/>
          <w:numId w:val="4"/>
        </w:numPr>
        <w:rPr>
          <w:sz w:val="20"/>
          <w:u w:val="single"/>
        </w:rPr>
      </w:pPr>
      <w:r>
        <w:rPr>
          <w:sz w:val="20"/>
        </w:rPr>
        <w:t xml:space="preserve">use a rotation of Shaklee Defend &amp; Resist until the infection is gone  </w:t>
      </w:r>
    </w:p>
    <w:p w:rsidR="00582350" w:rsidRPr="00FD0A10" w:rsidRDefault="00582350">
      <w:pPr>
        <w:numPr>
          <w:ilvl w:val="3"/>
          <w:numId w:val="4"/>
        </w:numPr>
        <w:rPr>
          <w:sz w:val="20"/>
          <w:u w:val="single"/>
        </w:rPr>
      </w:pPr>
      <w:r>
        <w:rPr>
          <w:sz w:val="20"/>
        </w:rPr>
        <w:t xml:space="preserve">Use NutriFeron on a daily basis. </w:t>
      </w:r>
    </w:p>
    <w:p w:rsidR="00FD0A10" w:rsidRDefault="00FD0A10" w:rsidP="00FD0A10">
      <w:pPr>
        <w:rPr>
          <w:sz w:val="20"/>
        </w:rPr>
      </w:pPr>
    </w:p>
    <w:tbl>
      <w:tblPr>
        <w:tblW w:w="5000" w:type="pct"/>
        <w:tblCellSpacing w:w="0" w:type="dxa"/>
        <w:tblCellMar>
          <w:left w:w="0" w:type="dxa"/>
          <w:right w:w="0" w:type="dxa"/>
        </w:tblCellMar>
        <w:tblLook w:val="04A0"/>
      </w:tblPr>
      <w:tblGrid>
        <w:gridCol w:w="10642"/>
        <w:gridCol w:w="199"/>
      </w:tblGrid>
      <w:tr w:rsidR="00FD0A10" w:rsidRPr="00FD0A10" w:rsidTr="00FD0A10">
        <w:trPr>
          <w:tblCellSpacing w:w="0" w:type="dxa"/>
        </w:trPr>
        <w:tc>
          <w:tcPr>
            <w:tcW w:w="0" w:type="auto"/>
            <w:tcMar>
              <w:top w:w="0" w:type="dxa"/>
              <w:left w:w="0" w:type="dxa"/>
              <w:bottom w:w="75" w:type="dxa"/>
              <w:right w:w="0" w:type="dxa"/>
            </w:tcMar>
            <w:vAlign w:val="center"/>
            <w:hideMark/>
          </w:tcPr>
          <w:p w:rsidR="00FD0A10" w:rsidRPr="00FD0A10" w:rsidRDefault="00FD0A10">
            <w:pPr>
              <w:rPr>
                <w:rFonts w:eastAsia="Calibri" w:cs="Tahoma"/>
                <w:sz w:val="22"/>
                <w:szCs w:val="22"/>
                <w:u w:val="single"/>
              </w:rPr>
            </w:pPr>
            <w:r w:rsidRPr="00FD0A10">
              <w:rPr>
                <w:rFonts w:eastAsia="Calibri" w:cs="Tahoma"/>
                <w:sz w:val="22"/>
                <w:szCs w:val="22"/>
                <w:u w:val="single"/>
              </w:rPr>
              <w:lastRenderedPageBreak/>
              <w:t>Testimonies re Vivix and Periodontal Disease</w:t>
            </w:r>
          </w:p>
        </w:tc>
        <w:tc>
          <w:tcPr>
            <w:tcW w:w="0" w:type="auto"/>
            <w:tcMar>
              <w:top w:w="0" w:type="dxa"/>
              <w:left w:w="0" w:type="dxa"/>
              <w:bottom w:w="75" w:type="dxa"/>
              <w:right w:w="75" w:type="dxa"/>
            </w:tcMar>
            <w:vAlign w:val="center"/>
            <w:hideMark/>
          </w:tcPr>
          <w:p w:rsidR="00FD0A10" w:rsidRPr="00FD0A10" w:rsidRDefault="00FD0A10">
            <w:pPr>
              <w:rPr>
                <w:rFonts w:cs="Tahoma"/>
                <w:sz w:val="22"/>
                <w:szCs w:val="22"/>
              </w:rPr>
            </w:pPr>
          </w:p>
        </w:tc>
      </w:tr>
    </w:tbl>
    <w:p w:rsidR="00FD0A10" w:rsidRDefault="00FD0A10" w:rsidP="00FD0A10">
      <w:pPr>
        <w:rPr>
          <w:rFonts w:cs="Tahoma"/>
          <w:color w:val="000000"/>
          <w:sz w:val="22"/>
          <w:szCs w:val="22"/>
        </w:rPr>
      </w:pPr>
      <w:r>
        <w:rPr>
          <w:rFonts w:cs="Tahoma"/>
          <w:color w:val="000000"/>
          <w:sz w:val="22"/>
          <w:szCs w:val="22"/>
        </w:rPr>
        <w:t>Linnie Kern</w:t>
      </w:r>
      <w:r w:rsidRPr="00FD0A10">
        <w:rPr>
          <w:rFonts w:cs="Tahoma"/>
          <w:color w:val="000000"/>
          <w:sz w:val="22"/>
          <w:szCs w:val="22"/>
        </w:rPr>
        <w:t xml:space="preserve"> </w:t>
      </w:r>
    </w:p>
    <w:p w:rsidR="00FD0A10" w:rsidRPr="00FD0A10" w:rsidRDefault="00FD0A10" w:rsidP="00FD0A10">
      <w:pPr>
        <w:rPr>
          <w:rFonts w:eastAsia="Calibri" w:cs="Tahoma"/>
          <w:color w:val="000000"/>
          <w:sz w:val="22"/>
          <w:szCs w:val="22"/>
        </w:rPr>
      </w:pPr>
      <w:r w:rsidRPr="00FD0A10">
        <w:rPr>
          <w:rFonts w:cs="Tahoma"/>
          <w:color w:val="000000"/>
          <w:sz w:val="22"/>
          <w:szCs w:val="22"/>
        </w:rPr>
        <w:t>In July 2008, my hygentist and dentist confirmed I had peri</w:t>
      </w:r>
      <w:r>
        <w:rPr>
          <w:rFonts w:cs="Tahoma"/>
          <w:color w:val="000000"/>
          <w:sz w:val="22"/>
          <w:szCs w:val="22"/>
        </w:rPr>
        <w:t>o</w:t>
      </w:r>
      <w:r w:rsidRPr="00FD0A10">
        <w:rPr>
          <w:rFonts w:cs="Tahoma"/>
          <w:color w:val="000000"/>
          <w:sz w:val="22"/>
          <w:szCs w:val="22"/>
        </w:rPr>
        <w:t>dontal disease in my lower back right tooth. The gap was 6mm. I could either have surgery or I could squirt an antibacterial liquid into the gap every day for the rest of my life. I choose the liquid, instead of surgery. One month later, Vivix is introduced. I took 1 teaspoon every day for anti-aging reasons, not sure what I would see different in the great health I was already experiencing. 7 months later, my 6mm gap was reduced to "normal"...3 mm. After last week's appointment, 3 years later, it still remains 3 mm. My hygentist and dentist are still amazed and tell their patients! I love Vivix and it tastes so good!</w:t>
      </w:r>
      <w:r>
        <w:rPr>
          <w:rFonts w:cs="Tahoma"/>
          <w:color w:val="000000"/>
          <w:sz w:val="22"/>
          <w:szCs w:val="22"/>
        </w:rPr>
        <w:t xml:space="preserve">  </w:t>
      </w:r>
    </w:p>
    <w:p w:rsidR="00FD0A10" w:rsidRPr="00FD0A10" w:rsidRDefault="00FD0A10" w:rsidP="00FD0A10">
      <w:pPr>
        <w:rPr>
          <w:rFonts w:cs="Tahoma"/>
          <w:color w:val="1F497D"/>
          <w:sz w:val="22"/>
          <w:szCs w:val="22"/>
        </w:rPr>
      </w:pPr>
    </w:p>
    <w:p w:rsidR="00FD0A10" w:rsidRPr="00FD0A10" w:rsidRDefault="00FD0A10" w:rsidP="00FD0A10">
      <w:pPr>
        <w:rPr>
          <w:rFonts w:cs="Tahoma"/>
          <w:color w:val="000000"/>
          <w:sz w:val="22"/>
          <w:szCs w:val="22"/>
        </w:rPr>
      </w:pPr>
      <w:r w:rsidRPr="00FD0A10">
        <w:rPr>
          <w:rFonts w:cs="Tahoma"/>
          <w:color w:val="000000"/>
          <w:sz w:val="22"/>
          <w:szCs w:val="22"/>
        </w:rPr>
        <w:t>Peggy McCrystal</w:t>
      </w:r>
    </w:p>
    <w:p w:rsidR="00FD0A10" w:rsidRPr="00FD0A10" w:rsidRDefault="00FD0A10" w:rsidP="00FD0A10">
      <w:pPr>
        <w:rPr>
          <w:rFonts w:cs="Tahoma"/>
          <w:color w:val="000000"/>
          <w:sz w:val="22"/>
          <w:szCs w:val="22"/>
        </w:rPr>
      </w:pPr>
      <w:r w:rsidRPr="00FD0A10">
        <w:rPr>
          <w:rFonts w:cs="Tahoma"/>
          <w:color w:val="000000"/>
          <w:sz w:val="22"/>
          <w:szCs w:val="22"/>
        </w:rPr>
        <w:t>I had a similar experience...pockets on several teeth ranged from 5mm to 8mm.  After vivix and I hate to say this...but with my move to the beach I didn't see a dentist for over 2 years. I was sure that when I went I was looking at surgery on my entire mouth.  Surprise there was not a pocket over 3mm.  410.208.3069.home</w:t>
      </w:r>
    </w:p>
    <w:p w:rsidR="00FD0A10" w:rsidRPr="00FD0A10" w:rsidRDefault="00FD0A10" w:rsidP="00FD0A10">
      <w:pPr>
        <w:rPr>
          <w:rFonts w:cs="Tahoma"/>
          <w:color w:val="000000"/>
          <w:sz w:val="22"/>
          <w:szCs w:val="22"/>
        </w:rPr>
      </w:pPr>
      <w:r w:rsidRPr="00FD0A10">
        <w:rPr>
          <w:rFonts w:cs="Tahoma"/>
          <w:color w:val="000000"/>
          <w:sz w:val="22"/>
          <w:szCs w:val="22"/>
        </w:rPr>
        <w:t>301.529.3579.cell</w:t>
      </w:r>
    </w:p>
    <w:p w:rsidR="00FD0A10" w:rsidRDefault="00FD0A10" w:rsidP="00FD0A10">
      <w:pPr>
        <w:rPr>
          <w:sz w:val="20"/>
          <w:u w:val="single"/>
        </w:rPr>
      </w:pPr>
    </w:p>
    <w:sectPr w:rsidR="00FD0A10">
      <w:pgSz w:w="12240" w:h="15840"/>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3B04"/>
    <w:multiLevelType w:val="hybridMultilevel"/>
    <w:tmpl w:val="82C435A0"/>
    <w:lvl w:ilvl="0" w:tplc="163EB44C">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262"/>
        </w:tabs>
        <w:ind w:left="-262" w:hanging="360"/>
      </w:pPr>
      <w:rPr>
        <w:rFonts w:ascii="Courier New" w:hAnsi="Courier New" w:hint="default"/>
      </w:rPr>
    </w:lvl>
    <w:lvl w:ilvl="2" w:tplc="04090005">
      <w:start w:val="1"/>
      <w:numFmt w:val="bullet"/>
      <w:lvlText w:val=""/>
      <w:lvlJc w:val="left"/>
      <w:pPr>
        <w:tabs>
          <w:tab w:val="num" w:pos="458"/>
        </w:tabs>
        <w:ind w:left="458" w:hanging="360"/>
      </w:pPr>
      <w:rPr>
        <w:rFonts w:ascii="Wingdings" w:hAnsi="Wingdings" w:hint="default"/>
      </w:rPr>
    </w:lvl>
    <w:lvl w:ilvl="3" w:tplc="0409000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1">
    <w:nsid w:val="38861F0B"/>
    <w:multiLevelType w:val="hybridMultilevel"/>
    <w:tmpl w:val="2B301686"/>
    <w:lvl w:ilvl="0" w:tplc="163EB44C">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2">
    <w:nsid w:val="3C2939A1"/>
    <w:multiLevelType w:val="hybridMultilevel"/>
    <w:tmpl w:val="352A021E"/>
    <w:lvl w:ilvl="0" w:tplc="163EB44C">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262"/>
        </w:tabs>
        <w:ind w:left="-262" w:hanging="360"/>
      </w:pPr>
      <w:rPr>
        <w:rFonts w:ascii="Courier New" w:hAnsi="Courier New" w:hint="default"/>
      </w:rPr>
    </w:lvl>
    <w:lvl w:ilvl="2" w:tplc="04090005">
      <w:start w:val="1"/>
      <w:numFmt w:val="bullet"/>
      <w:lvlText w:val=""/>
      <w:lvlJc w:val="left"/>
      <w:pPr>
        <w:tabs>
          <w:tab w:val="num" w:pos="458"/>
        </w:tabs>
        <w:ind w:left="458" w:hanging="360"/>
      </w:pPr>
      <w:rPr>
        <w:rFonts w:ascii="Wingdings" w:hAnsi="Wingdings" w:hint="default"/>
      </w:rPr>
    </w:lvl>
    <w:lvl w:ilvl="3" w:tplc="04090001">
      <w:start w:val="1"/>
      <w:numFmt w:val="bullet"/>
      <w:lvlText w:val=""/>
      <w:lvlJc w:val="left"/>
      <w:pPr>
        <w:tabs>
          <w:tab w:val="num" w:pos="1178"/>
        </w:tabs>
        <w:ind w:left="1178" w:hanging="360"/>
      </w:pPr>
      <w:rPr>
        <w:rFonts w:ascii="Symbol" w:hAnsi="Symbol" w:hint="default"/>
      </w:rPr>
    </w:lvl>
    <w:lvl w:ilvl="4" w:tplc="04090003">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3">
    <w:nsid w:val="5C0321D3"/>
    <w:multiLevelType w:val="hybridMultilevel"/>
    <w:tmpl w:val="88DCCE50"/>
    <w:lvl w:ilvl="0" w:tplc="163EB44C">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FD0A10"/>
    <w:rsid w:val="00582350"/>
    <w:rsid w:val="005946ED"/>
    <w:rsid w:val="00FD0A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A10"/>
    <w:rPr>
      <w:color w:val="0000FF"/>
      <w:u w:val="single"/>
    </w:rPr>
  </w:style>
</w:styles>
</file>

<file path=word/webSettings.xml><?xml version="1.0" encoding="utf-8"?>
<w:webSettings xmlns:r="http://schemas.openxmlformats.org/officeDocument/2006/relationships" xmlns:w="http://schemas.openxmlformats.org/wordprocessingml/2006/main">
  <w:divs>
    <w:div w:id="18866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Periodontal Disease</vt:lpstr>
    </vt:vector>
  </TitlesOfParts>
  <Company>Hewlett-Packard</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Periodontal Disease</dc:title>
  <dc:creator>Martha Willmore</dc:creator>
  <cp:lastModifiedBy>Ivan</cp:lastModifiedBy>
  <cp:revision>2</cp:revision>
  <dcterms:created xsi:type="dcterms:W3CDTF">2013-05-28T16:48:00Z</dcterms:created>
  <dcterms:modified xsi:type="dcterms:W3CDTF">2013-05-28T16:48:00Z</dcterms:modified>
</cp:coreProperties>
</file>