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A172C" w14:textId="15C0006A" w:rsidR="005E217E" w:rsidRPr="005E217E" w:rsidRDefault="00AB7B83" w:rsidP="005E217E">
      <w:pPr>
        <w:pStyle w:val="Heading1"/>
      </w:pPr>
      <w:bookmarkStart w:id="0" w:name="_Toc50116943"/>
      <w:bookmarkStart w:id="1" w:name="_Toc450306575"/>
      <w:bookmarkStart w:id="2" w:name="_Toc450307291"/>
      <w:r>
        <w:t>It is Time to Solve</w:t>
      </w:r>
      <w:r w:rsidR="005C6537">
        <w:t xml:space="preserve"> </w:t>
      </w:r>
      <w:r w:rsidR="004E7A2B">
        <w:t>Iowa</w:t>
      </w:r>
      <w:r w:rsidR="009D2E98">
        <w:t>’s</w:t>
      </w:r>
      <w:r w:rsidR="00ED65FC">
        <w:t xml:space="preserve"> </w:t>
      </w:r>
      <w:r w:rsidR="009D2E98">
        <w:br/>
      </w:r>
      <w:r w:rsidR="00ED65FC">
        <w:t>Direct Service Workforce</w:t>
      </w:r>
      <w:r w:rsidR="005C6537">
        <w:t xml:space="preserve"> Crisis</w:t>
      </w:r>
    </w:p>
    <w:p w14:paraId="68D7E027" w14:textId="4BAADDC4" w:rsidR="005F29C5" w:rsidRPr="005E217E" w:rsidRDefault="00742FE2" w:rsidP="005E217E">
      <w:pPr>
        <w:pStyle w:val="Subtitle"/>
        <w:spacing w:after="240"/>
        <w:jc w:val="center"/>
        <w:rPr>
          <w:color w:val="00529B" w:themeColor="accent1"/>
          <w:sz w:val="30"/>
          <w:szCs w:val="30"/>
        </w:rPr>
      </w:pPr>
      <w:r>
        <w:rPr>
          <w:color w:val="00529B" w:themeColor="accent1"/>
          <w:sz w:val="30"/>
          <w:szCs w:val="30"/>
        </w:rPr>
        <w:t>The</w:t>
      </w:r>
      <w:r w:rsidR="00264D52">
        <w:rPr>
          <w:color w:val="00529B" w:themeColor="accent1"/>
          <w:sz w:val="30"/>
          <w:szCs w:val="30"/>
        </w:rPr>
        <w:t xml:space="preserve"> Case for </w:t>
      </w:r>
      <w:r w:rsidR="00AF3CB1">
        <w:rPr>
          <w:color w:val="00529B" w:themeColor="accent1"/>
          <w:sz w:val="30"/>
          <w:szCs w:val="30"/>
        </w:rPr>
        <w:t>Strengthen</w:t>
      </w:r>
      <w:r w:rsidR="00264D52">
        <w:rPr>
          <w:color w:val="00529B" w:themeColor="accent1"/>
          <w:sz w:val="30"/>
          <w:szCs w:val="30"/>
        </w:rPr>
        <w:t>ing</w:t>
      </w:r>
      <w:r w:rsidR="00AF3CB1">
        <w:rPr>
          <w:color w:val="00529B" w:themeColor="accent1"/>
          <w:sz w:val="30"/>
          <w:szCs w:val="30"/>
        </w:rPr>
        <w:t xml:space="preserve"> and Stabiliz</w:t>
      </w:r>
      <w:r w:rsidR="00264D52">
        <w:rPr>
          <w:color w:val="00529B" w:themeColor="accent1"/>
          <w:sz w:val="30"/>
          <w:szCs w:val="30"/>
        </w:rPr>
        <w:t>ing</w:t>
      </w:r>
      <w:r w:rsidR="00AF3CB1">
        <w:rPr>
          <w:color w:val="00529B" w:themeColor="accent1"/>
          <w:sz w:val="30"/>
          <w:szCs w:val="30"/>
        </w:rPr>
        <w:t xml:space="preserve"> </w:t>
      </w:r>
      <w:r w:rsidR="009D2E98">
        <w:rPr>
          <w:color w:val="00529B" w:themeColor="accent1"/>
          <w:sz w:val="30"/>
          <w:szCs w:val="30"/>
        </w:rPr>
        <w:t>This</w:t>
      </w:r>
      <w:r w:rsidR="00AF3CB1">
        <w:rPr>
          <w:color w:val="00529B" w:themeColor="accent1"/>
          <w:sz w:val="30"/>
          <w:szCs w:val="30"/>
        </w:rPr>
        <w:t xml:space="preserve"> Essential Workforce</w:t>
      </w:r>
    </w:p>
    <w:p w14:paraId="626DD1D3" w14:textId="3FB9753B" w:rsidR="00584003" w:rsidRPr="004F2ED6" w:rsidRDefault="004F2ED6" w:rsidP="00584003">
      <w:pPr>
        <w:rPr>
          <w:i/>
          <w:iCs/>
          <w:spacing w:val="0"/>
          <w:sz w:val="22"/>
          <w:szCs w:val="22"/>
        </w:rPr>
      </w:pPr>
      <w:r>
        <w:rPr>
          <w:i/>
          <w:iCs/>
        </w:rPr>
        <w:t xml:space="preserve">Note: </w:t>
      </w:r>
      <w:r w:rsidR="004048C7" w:rsidRPr="004048C7">
        <w:rPr>
          <w:i/>
          <w:iCs/>
        </w:rPr>
        <w:t xml:space="preserve">The information and practices shared in this brief are intended to raise awareness and initiate discussion about direct service workforce challenges and policy options. Information mentioned </w:t>
      </w:r>
      <w:r w:rsidRPr="004F2ED6">
        <w:rPr>
          <w:i/>
          <w:iCs/>
        </w:rPr>
        <w:t xml:space="preserve">is in no way a form of endorsement by the Centers for Medicare &amp; Medicaid Services (CMS). This resource was developed </w:t>
      </w:r>
      <w:r w:rsidR="00C66C6F">
        <w:rPr>
          <w:i/>
          <w:iCs/>
        </w:rPr>
        <w:t xml:space="preserve">by The Lewin Group and PHI </w:t>
      </w:r>
      <w:r w:rsidRPr="004F2ED6">
        <w:rPr>
          <w:i/>
          <w:iCs/>
        </w:rPr>
        <w:t>with funding from CMS, but does not represent CMS recommendations or CMS policy.</w:t>
      </w:r>
    </w:p>
    <w:bookmarkEnd w:id="0"/>
    <w:p w14:paraId="0CDFDD56" w14:textId="7C75EB7B" w:rsidR="00265E95" w:rsidRDefault="00EF14F9" w:rsidP="00D631E1">
      <w:pPr>
        <w:pStyle w:val="Heading2"/>
      </w:pPr>
      <w:r>
        <w:t xml:space="preserve">Background: </w:t>
      </w:r>
      <w:r w:rsidR="0034330B">
        <w:t>An Essential and Growing Workforce</w:t>
      </w:r>
    </w:p>
    <w:tbl>
      <w:tblPr>
        <w:tblStyle w:val="TableGridLight"/>
        <w:tblpPr w:leftFromText="180" w:rightFromText="180" w:vertAnchor="text" w:horzAnchor="margin" w:tblpXSpec="right" w:tblpY="31"/>
        <w:tblW w:w="0" w:type="auto"/>
        <w:tblLook w:val="04A0" w:firstRow="1" w:lastRow="0" w:firstColumn="1" w:lastColumn="0" w:noHBand="0" w:noVBand="1"/>
        <w:tblCaption w:val="Call-out box example (call-out box header)"/>
        <w:tblDescription w:val="This is an example of a call-out box for box color, line style &amp; color and font style &amp; size. (Call-out Box Text)&#10;• Call-out box bullet &#10;"/>
      </w:tblPr>
      <w:tblGrid>
        <w:gridCol w:w="3646"/>
      </w:tblGrid>
      <w:tr w:rsidR="00411783" w14:paraId="028D117C" w14:textId="77777777" w:rsidTr="00411783">
        <w:tc>
          <w:tcPr>
            <w:tcW w:w="3646" w:type="dxa"/>
            <w:tcBorders>
              <w:top w:val="single" w:sz="18" w:space="0" w:color="C4540C"/>
              <w:left w:val="single" w:sz="18" w:space="0" w:color="C4540C"/>
              <w:bottom w:val="single" w:sz="18" w:space="0" w:color="C4540C"/>
              <w:right w:val="single" w:sz="18" w:space="0" w:color="C4540C"/>
            </w:tcBorders>
            <w:shd w:val="clear" w:color="auto" w:fill="F8E7A5"/>
          </w:tcPr>
          <w:p w14:paraId="19441476" w14:textId="77777777" w:rsidR="00411783" w:rsidRDefault="00411783" w:rsidP="00411783">
            <w:pPr>
              <w:pStyle w:val="QuoteStatisticText"/>
            </w:pPr>
            <w:r>
              <w:t>6 Solutions to the Workforce Crisis</w:t>
            </w:r>
          </w:p>
          <w:p w14:paraId="63D1A3A5" w14:textId="77777777" w:rsidR="00411783" w:rsidRPr="00584003" w:rsidRDefault="00411783" w:rsidP="00411783">
            <w:pPr>
              <w:pStyle w:val="QuoteStatisticText"/>
              <w:numPr>
                <w:ilvl w:val="0"/>
                <w:numId w:val="24"/>
              </w:numPr>
              <w:ind w:left="360"/>
              <w:rPr>
                <w:b w:val="0"/>
                <w:bCs/>
              </w:rPr>
            </w:pPr>
            <w:r w:rsidRPr="00584003">
              <w:rPr>
                <w:b w:val="0"/>
                <w:bCs/>
              </w:rPr>
              <w:t xml:space="preserve">Raise wages </w:t>
            </w:r>
          </w:p>
          <w:p w14:paraId="7C7FD44B" w14:textId="77777777" w:rsidR="00411783" w:rsidRPr="00584003" w:rsidRDefault="00411783" w:rsidP="00411783">
            <w:pPr>
              <w:pStyle w:val="QuoteStatisticText"/>
              <w:numPr>
                <w:ilvl w:val="0"/>
                <w:numId w:val="24"/>
              </w:numPr>
              <w:ind w:left="360"/>
              <w:rPr>
                <w:b w:val="0"/>
                <w:bCs/>
              </w:rPr>
            </w:pPr>
            <w:r w:rsidRPr="00584003">
              <w:rPr>
                <w:b w:val="0"/>
                <w:bCs/>
              </w:rPr>
              <w:t>Enhance training and career advancement</w:t>
            </w:r>
          </w:p>
          <w:p w14:paraId="4F003BE7" w14:textId="77777777" w:rsidR="00411783" w:rsidRPr="00584003" w:rsidRDefault="00411783" w:rsidP="00411783">
            <w:pPr>
              <w:pStyle w:val="QuoteStatisticText"/>
              <w:numPr>
                <w:ilvl w:val="0"/>
                <w:numId w:val="24"/>
              </w:numPr>
              <w:ind w:left="360"/>
              <w:rPr>
                <w:b w:val="0"/>
                <w:bCs/>
              </w:rPr>
            </w:pPr>
            <w:r w:rsidRPr="00584003">
              <w:rPr>
                <w:b w:val="0"/>
                <w:bCs/>
              </w:rPr>
              <w:t xml:space="preserve">Raise the profile of </w:t>
            </w:r>
            <w:r>
              <w:rPr>
                <w:b w:val="0"/>
                <w:bCs/>
              </w:rPr>
              <w:t>direct service jobs</w:t>
            </w:r>
          </w:p>
          <w:p w14:paraId="5706F418" w14:textId="77777777" w:rsidR="00411783" w:rsidRPr="00584003" w:rsidRDefault="00411783" w:rsidP="00411783">
            <w:pPr>
              <w:pStyle w:val="QuoteStatisticText"/>
              <w:numPr>
                <w:ilvl w:val="0"/>
                <w:numId w:val="24"/>
              </w:numPr>
              <w:ind w:left="360"/>
              <w:rPr>
                <w:b w:val="0"/>
                <w:bCs/>
              </w:rPr>
            </w:pPr>
            <w:r w:rsidRPr="00584003">
              <w:rPr>
                <w:b w:val="0"/>
                <w:bCs/>
              </w:rPr>
              <w:t xml:space="preserve">Support </w:t>
            </w:r>
            <w:r>
              <w:rPr>
                <w:b w:val="0"/>
                <w:bCs/>
              </w:rPr>
              <w:t xml:space="preserve">workforce </w:t>
            </w:r>
            <w:r w:rsidRPr="00584003">
              <w:rPr>
                <w:b w:val="0"/>
                <w:bCs/>
              </w:rPr>
              <w:t xml:space="preserve">innovation </w:t>
            </w:r>
          </w:p>
          <w:p w14:paraId="40CF1B21" w14:textId="77777777" w:rsidR="00411783" w:rsidRPr="00584003" w:rsidRDefault="00411783" w:rsidP="00411783">
            <w:pPr>
              <w:pStyle w:val="QuoteStatisticText"/>
              <w:numPr>
                <w:ilvl w:val="0"/>
                <w:numId w:val="24"/>
              </w:numPr>
              <w:ind w:left="360"/>
              <w:rPr>
                <w:b w:val="0"/>
                <w:bCs/>
              </w:rPr>
            </w:pPr>
            <w:r w:rsidRPr="00584003">
              <w:rPr>
                <w:b w:val="0"/>
                <w:bCs/>
              </w:rPr>
              <w:t>Strengthen connection</w:t>
            </w:r>
            <w:r>
              <w:rPr>
                <w:b w:val="0"/>
                <w:bCs/>
              </w:rPr>
              <w:t>s</w:t>
            </w:r>
            <w:r w:rsidRPr="00584003">
              <w:rPr>
                <w:b w:val="0"/>
                <w:bCs/>
              </w:rPr>
              <w:t xml:space="preserve"> between self-directing consumers and </w:t>
            </w:r>
            <w:r>
              <w:rPr>
                <w:b w:val="0"/>
                <w:bCs/>
              </w:rPr>
              <w:t>workers</w:t>
            </w:r>
          </w:p>
          <w:p w14:paraId="645095BB" w14:textId="77777777" w:rsidR="00411783" w:rsidRPr="005C33D7" w:rsidRDefault="00411783" w:rsidP="00411783">
            <w:pPr>
              <w:pStyle w:val="QuoteStatisticText"/>
              <w:numPr>
                <w:ilvl w:val="0"/>
                <w:numId w:val="24"/>
              </w:numPr>
              <w:ind w:left="360"/>
              <w:rPr>
                <w:b w:val="0"/>
                <w:bCs/>
                <w:sz w:val="20"/>
                <w:szCs w:val="20"/>
              </w:rPr>
            </w:pPr>
            <w:r w:rsidRPr="00584003">
              <w:rPr>
                <w:b w:val="0"/>
                <w:bCs/>
              </w:rPr>
              <w:t>Gather data to inform workforce solutions</w:t>
            </w:r>
          </w:p>
        </w:tc>
      </w:tr>
    </w:tbl>
    <w:p w14:paraId="1D2ACC1E" w14:textId="3764C870" w:rsidR="00C74553" w:rsidRDefault="00AA0111" w:rsidP="00C74553">
      <w:r w:rsidRPr="00AA0111">
        <w:t>Iowa's direct service workers—who include personal care aides, home health aides, and nursing assistants—provide essential daily support to older adults and people with disabilities. Th</w:t>
      </w:r>
      <w:r w:rsidR="00433998">
        <w:t>e direct service</w:t>
      </w:r>
      <w:r w:rsidRPr="00AA0111">
        <w:t xml:space="preserve"> workforce grew from 36,9</w:t>
      </w:r>
      <w:r w:rsidR="00827168">
        <w:t>3</w:t>
      </w:r>
      <w:r w:rsidRPr="00AA0111">
        <w:t>0 workers in 2010 to 44,410 in 2020, and it is now the second largest workforce in Iowa (after cashiers).</w:t>
      </w:r>
      <w:r w:rsidR="00E207C9">
        <w:rPr>
          <w:rStyle w:val="EndnoteReference"/>
        </w:rPr>
        <w:endnoteReference w:id="2"/>
      </w:r>
      <w:r w:rsidR="00E207C9">
        <w:t xml:space="preserve"> </w:t>
      </w:r>
      <w:r w:rsidRPr="00AA0111">
        <w:t>Looking ahead, this workforce is projected to add nearly 9,000 new jobs from 2018 to 2028—more new jobs than any other occupation in the state</w:t>
      </w:r>
      <w:r w:rsidR="00C74553">
        <w:t>.</w:t>
      </w:r>
      <w:r w:rsidR="0002211A">
        <w:rPr>
          <w:rStyle w:val="EndnoteReference"/>
        </w:rPr>
        <w:endnoteReference w:id="3"/>
      </w:r>
    </w:p>
    <w:p w14:paraId="6C10951D" w14:textId="3EA927A7" w:rsidR="00864E60" w:rsidRDefault="00864E60" w:rsidP="00864E60">
      <w:r>
        <w:t>Demand for direct service workers will be driven primarily by Iowa’s growing older population. From 2020 to 2040, the number of Iowans aged 65 and above will increase by 19 percent (and those aged 85 and above will increase by 35 percent).</w:t>
      </w:r>
      <w:r w:rsidR="00C921B4">
        <w:rPr>
          <w:rStyle w:val="EndnoteReference"/>
        </w:rPr>
        <w:endnoteReference w:id="4"/>
      </w:r>
      <w:r>
        <w:t xml:space="preserve"> Meanwhile, the number of people aged 20 to 64—who constitute most paid and unpaid caregivers—is projected to grow by just </w:t>
      </w:r>
      <w:r w:rsidR="00210BC7">
        <w:t>4</w:t>
      </w:r>
      <w:r>
        <w:t xml:space="preserve"> percent. The need for home care workers is especially high given the imperative to rebalance </w:t>
      </w:r>
      <w:r w:rsidR="00827168">
        <w:t xml:space="preserve">the </w:t>
      </w:r>
      <w:r w:rsidR="001D4FAC">
        <w:t xml:space="preserve">delivery of </w:t>
      </w:r>
      <w:r>
        <w:t>services from nursing homes and other “institutional” settings to the community.</w:t>
      </w:r>
      <w:r w:rsidR="00863A51">
        <w:rPr>
          <w:rStyle w:val="EndnoteReference"/>
        </w:rPr>
        <w:endnoteReference w:id="5"/>
      </w:r>
      <w:r>
        <w:t xml:space="preserve"> </w:t>
      </w:r>
    </w:p>
    <w:p w14:paraId="533578C3" w14:textId="3CFF48D7" w:rsidR="00864E60" w:rsidRDefault="00864E60" w:rsidP="00864E60">
      <w:r>
        <w:t xml:space="preserve">But </w:t>
      </w:r>
      <w:r w:rsidR="002801F8">
        <w:t xml:space="preserve">Iowa’s </w:t>
      </w:r>
      <w:r>
        <w:t xml:space="preserve">direct service workers—who are predominantly low-income women—face persistently poor-quality jobs, which undermines recruitment and retention in this workforce. When accounting for jobs that will become vacant when workers leave their occupations or exit the labor force (along with the nearly 9,000 new jobs noted above), the total number of </w:t>
      </w:r>
      <w:r w:rsidR="001D798E">
        <w:t xml:space="preserve">direct service </w:t>
      </w:r>
      <w:r>
        <w:t>jobs that will need to be filled in the next decade swells to 63,300.</w:t>
      </w:r>
      <w:r w:rsidR="0021320D">
        <w:rPr>
          <w:rStyle w:val="EndnoteReference"/>
        </w:rPr>
        <w:endnoteReference w:id="6"/>
      </w:r>
      <w:r>
        <w:t xml:space="preserve"> </w:t>
      </w:r>
      <w:r w:rsidR="009A6F1E">
        <w:t xml:space="preserve">If these </w:t>
      </w:r>
      <w:r w:rsidR="006E6B9A">
        <w:t>jobs are</w:t>
      </w:r>
      <w:r w:rsidR="002D46F7">
        <w:t xml:space="preserve"> </w:t>
      </w:r>
      <w:r w:rsidR="006E6B9A">
        <w:t>n</w:t>
      </w:r>
      <w:r w:rsidR="002D46F7">
        <w:t>o</w:t>
      </w:r>
      <w:r w:rsidR="006E6B9A">
        <w:t xml:space="preserve">t </w:t>
      </w:r>
      <w:r w:rsidR="009A6F1E">
        <w:t>filled</w:t>
      </w:r>
      <w:r>
        <w:t xml:space="preserve">, Iowa’s older adults, people with disabilities, and their families will suffer the consequences. </w:t>
      </w:r>
    </w:p>
    <w:p w14:paraId="5BEAA1BB" w14:textId="4566BB2A" w:rsidR="00C27E9F" w:rsidRPr="00C27E9F" w:rsidRDefault="00864E60" w:rsidP="00864E60">
      <w:r>
        <w:t xml:space="preserve">How can Iowa’s leaders stabilize the direct service workforce and ensure that quality long-term services and supports are available to all those who need them? </w:t>
      </w:r>
      <w:r w:rsidRPr="00E72639">
        <w:rPr>
          <w:b/>
          <w:bCs/>
        </w:rPr>
        <w:t>Here are six solutions</w:t>
      </w:r>
      <w:r>
        <w:t>. For each, we specify the problem, propose a strategy, provide a rationale and state example, and describe key cost considerations. By implementing a strategic combination of these solutions, Iowa will make critical progress toward resolving the direct service workforce crisis—now and for the future</w:t>
      </w:r>
      <w:r w:rsidR="00D520D4">
        <w:t>.</w:t>
      </w:r>
    </w:p>
    <w:p w14:paraId="2520E8AA" w14:textId="37228CF6" w:rsidR="00A7671A" w:rsidRPr="00126E63" w:rsidRDefault="00161CD4" w:rsidP="00A7671A">
      <w:pPr>
        <w:pStyle w:val="Heading2"/>
      </w:pPr>
      <w:bookmarkStart w:id="3" w:name="_Toc450306576"/>
      <w:bookmarkStart w:id="4" w:name="_Toc450307292"/>
      <w:bookmarkStart w:id="5" w:name="_Toc50116944"/>
      <w:bookmarkEnd w:id="1"/>
      <w:bookmarkEnd w:id="2"/>
      <w:r>
        <w:lastRenderedPageBreak/>
        <w:t>Solution</w:t>
      </w:r>
      <w:r w:rsidR="00A9000B" w:rsidRPr="00A9000B">
        <w:t xml:space="preserve">: Raise Wages for Direct </w:t>
      </w:r>
      <w:r w:rsidR="00AD2A31">
        <w:t>Service</w:t>
      </w:r>
      <w:r w:rsidR="00A9000B" w:rsidRPr="00A9000B">
        <w:t xml:space="preserve"> Worker</w:t>
      </w:r>
      <w:r w:rsidR="00A9000B">
        <w:t>s</w:t>
      </w:r>
    </w:p>
    <w:p w14:paraId="25BB640C" w14:textId="63E8814D" w:rsidR="00A9000B" w:rsidRDefault="00A9000B" w:rsidP="0026016E">
      <w:pPr>
        <w:pStyle w:val="Heading3"/>
      </w:pPr>
      <w:r>
        <w:t>The Problem</w:t>
      </w:r>
    </w:p>
    <w:p w14:paraId="37D0D002" w14:textId="0A3ECE1A" w:rsidR="00AB3C9D" w:rsidRDefault="00745FDE" w:rsidP="00C54E4E">
      <w:pPr>
        <w:pStyle w:val="Normal6ptafter"/>
        <w:spacing w:after="0"/>
      </w:pPr>
      <w:r w:rsidRPr="255E41B8">
        <w:rPr>
          <w:rFonts w:cstheme="minorBidi"/>
        </w:rPr>
        <w:t>Although</w:t>
      </w:r>
      <w:r>
        <w:t xml:space="preserve"> their</w:t>
      </w:r>
      <w:r w:rsidRPr="255E41B8">
        <w:rPr>
          <w:rFonts w:cstheme="minorBidi"/>
        </w:rPr>
        <w:t xml:space="preserve"> wages have increased</w:t>
      </w:r>
      <w:r>
        <w:t xml:space="preserve"> modestly</w:t>
      </w:r>
      <w:r w:rsidRPr="255E41B8">
        <w:rPr>
          <w:rFonts w:cstheme="minorBidi"/>
        </w:rPr>
        <w:t xml:space="preserve"> in the past decade (from a median wage of $12.39 in 2010 to $13.94 in 2020, adjusted for inflation)</w:t>
      </w:r>
      <w:r>
        <w:t>,</w:t>
      </w:r>
      <w:r w:rsidRPr="255E41B8">
        <w:t xml:space="preserve"> </w:t>
      </w:r>
      <w:r w:rsidRPr="255E41B8">
        <w:rPr>
          <w:rFonts w:cstheme="minorBidi"/>
        </w:rPr>
        <w:t xml:space="preserve">direct service workers </w:t>
      </w:r>
      <w:r w:rsidR="00827168">
        <w:rPr>
          <w:rFonts w:cstheme="minorBidi"/>
        </w:rPr>
        <w:t xml:space="preserve">in Iowa </w:t>
      </w:r>
      <w:r w:rsidRPr="255E41B8">
        <w:rPr>
          <w:rFonts w:cstheme="minorBidi"/>
        </w:rPr>
        <w:t>still face immense economic instability.</w:t>
      </w:r>
      <w:r w:rsidR="004E1BC9">
        <w:rPr>
          <w:rStyle w:val="EndnoteReference"/>
        </w:rPr>
        <w:endnoteReference w:id="7"/>
      </w:r>
      <w:r w:rsidRPr="255E41B8">
        <w:rPr>
          <w:rFonts w:cstheme="minorBidi"/>
        </w:rPr>
        <w:t xml:space="preserve"> Median annual earnings are just $20,100; 46 percent live in low-income households; and 37 percent rely on public assistance.</w:t>
      </w:r>
      <w:r w:rsidR="00A33133">
        <w:rPr>
          <w:rStyle w:val="EndnoteReference"/>
        </w:rPr>
        <w:endnoteReference w:id="8"/>
      </w:r>
      <w:r w:rsidRPr="255E41B8">
        <w:rPr>
          <w:rFonts w:cstheme="minorBidi"/>
        </w:rPr>
        <w:t xml:space="preserve"> Low wages undermine the value and competitiveness of these jobs: </w:t>
      </w:r>
      <w:r>
        <w:t>median wages for direct service workers are over $4.00 less than median wages for other occupations with similar entry-level requirements</w:t>
      </w:r>
      <w:r w:rsidR="00DA3A97">
        <w:t>.</w:t>
      </w:r>
      <w:r w:rsidR="00BC6237">
        <w:rPr>
          <w:rStyle w:val="EndnoteReference"/>
        </w:rPr>
        <w:endnoteReference w:id="9"/>
      </w:r>
      <w:r w:rsidR="00BC6237">
        <w:t xml:space="preserve"> </w:t>
      </w:r>
      <w:r w:rsidR="00DA3A97">
        <w:t xml:space="preserve"> </w:t>
      </w:r>
    </w:p>
    <w:tbl>
      <w:tblPr>
        <w:tblStyle w:val="TableGridLight"/>
        <w:tblpPr w:leftFromText="180" w:rightFromText="180" w:vertAnchor="text" w:horzAnchor="margin" w:tblpXSpec="right" w:tblpY="240"/>
        <w:tblW w:w="0" w:type="auto"/>
        <w:jc w:val="right"/>
        <w:tblLook w:val="04A0" w:firstRow="1" w:lastRow="0" w:firstColumn="1" w:lastColumn="0" w:noHBand="0" w:noVBand="1"/>
        <w:tblCaption w:val="Call-out box example (call-out box header)"/>
        <w:tblDescription w:val="This is an example of a call-out box for box color, line style &amp; color and font style &amp; size. (Call-out Box Text)&#10;• Call-out box bullet &#10;"/>
      </w:tblPr>
      <w:tblGrid>
        <w:gridCol w:w="9293"/>
      </w:tblGrid>
      <w:tr w:rsidR="00265802" w14:paraId="16759522" w14:textId="77777777" w:rsidTr="00265802">
        <w:trPr>
          <w:jc w:val="right"/>
        </w:trPr>
        <w:tc>
          <w:tcPr>
            <w:tcW w:w="9293" w:type="dxa"/>
            <w:tcBorders>
              <w:top w:val="single" w:sz="18" w:space="0" w:color="C4540C"/>
              <w:left w:val="single" w:sz="18" w:space="0" w:color="C4540C"/>
              <w:bottom w:val="single" w:sz="18" w:space="0" w:color="C4540C"/>
              <w:right w:val="single" w:sz="18" w:space="0" w:color="C4540C"/>
            </w:tcBorders>
            <w:shd w:val="clear" w:color="auto" w:fill="F8E7A5"/>
          </w:tcPr>
          <w:p w14:paraId="15025B4F" w14:textId="36C79DC9" w:rsidR="00265802" w:rsidRPr="00265802" w:rsidRDefault="00265802" w:rsidP="00265802">
            <w:pPr>
              <w:pStyle w:val="QuoteStatisticText"/>
              <w:spacing w:before="80" w:after="80"/>
            </w:pPr>
            <w:r>
              <w:t xml:space="preserve">Proposed Strategy: </w:t>
            </w:r>
            <w:r w:rsidRPr="00C825BB">
              <w:t xml:space="preserve">Raise wages </w:t>
            </w:r>
            <w:r>
              <w:t xml:space="preserve">for direct service workers across long-term care settings </w:t>
            </w:r>
            <w:r w:rsidRPr="00C825BB">
              <w:t xml:space="preserve">by increasing </w:t>
            </w:r>
            <w:r>
              <w:t xml:space="preserve">Medicaid </w:t>
            </w:r>
            <w:r w:rsidRPr="00C825BB">
              <w:t>rates with</w:t>
            </w:r>
            <w:r>
              <w:t xml:space="preserve"> a </w:t>
            </w:r>
            <w:r w:rsidRPr="00C825BB">
              <w:t>wage pass-through</w:t>
            </w:r>
            <w:r>
              <w:t xml:space="preserve"> provision.</w:t>
            </w:r>
          </w:p>
        </w:tc>
      </w:tr>
    </w:tbl>
    <w:p w14:paraId="4A4BD4FA" w14:textId="66994B7E" w:rsidR="00310978" w:rsidRDefault="00310978" w:rsidP="009931D4">
      <w:pPr>
        <w:pStyle w:val="Heading3"/>
        <w:spacing w:before="120" w:after="120"/>
      </w:pPr>
      <w:r>
        <w:t xml:space="preserve">Rationale </w:t>
      </w:r>
    </w:p>
    <w:p w14:paraId="0A72B8DB" w14:textId="18AEDF76" w:rsidR="00310978" w:rsidRDefault="00CD79FF" w:rsidP="0026016E">
      <w:pPr>
        <w:pStyle w:val="Normal6ptafter"/>
        <w:spacing w:after="240"/>
      </w:pPr>
      <w:r>
        <w:t xml:space="preserve">Long-term care providers </w:t>
      </w:r>
      <w:r w:rsidR="008323F1">
        <w:t>that</w:t>
      </w:r>
      <w:r>
        <w:t xml:space="preserve"> rely on Medicaid funds operate on tight margins with very little capacity to raise their workers’ wages. </w:t>
      </w:r>
      <w:r w:rsidR="0040422A">
        <w:t xml:space="preserve">One </w:t>
      </w:r>
      <w:r w:rsidR="0097231B">
        <w:t xml:space="preserve">possible </w:t>
      </w:r>
      <w:r w:rsidR="0040422A">
        <w:t xml:space="preserve">approach </w:t>
      </w:r>
      <w:r w:rsidR="0097231B">
        <w:t>is to increase</w:t>
      </w:r>
      <w:r>
        <w:t xml:space="preserve"> </w:t>
      </w:r>
      <w:r w:rsidR="006B43A9">
        <w:t>the r</w:t>
      </w:r>
      <w:r>
        <w:t>ates</w:t>
      </w:r>
      <w:r w:rsidR="00394E0C">
        <w:t xml:space="preserve"> </w:t>
      </w:r>
      <w:r w:rsidR="006B43A9">
        <w:t xml:space="preserve">that are </w:t>
      </w:r>
      <w:r w:rsidR="00394E0C">
        <w:t>paid</w:t>
      </w:r>
      <w:r>
        <w:t xml:space="preserve"> </w:t>
      </w:r>
      <w:r w:rsidR="007874BD">
        <w:t xml:space="preserve">to managed care organizations </w:t>
      </w:r>
      <w:r w:rsidR="002208F9">
        <w:t>(MCO</w:t>
      </w:r>
      <w:r w:rsidR="002E45E2">
        <w:t>) with</w:t>
      </w:r>
      <w:r w:rsidR="00394E0C">
        <w:t xml:space="preserve"> pass-through provisions</w:t>
      </w:r>
      <w:r>
        <w:t xml:space="preserve">, </w:t>
      </w:r>
      <w:r w:rsidR="00A342DB">
        <w:t xml:space="preserve">so </w:t>
      </w:r>
      <w:r>
        <w:t xml:space="preserve">the state can provide additional funds to providers </w:t>
      </w:r>
      <w:r w:rsidRPr="00753E3D">
        <w:rPr>
          <w:i/>
          <w:iCs/>
        </w:rPr>
        <w:t>and</w:t>
      </w:r>
      <w:r>
        <w:t xml:space="preserve"> ensure workers’ wages improve </w:t>
      </w:r>
      <w:r w:rsidR="000F31A8">
        <w:t>as a result</w:t>
      </w:r>
      <w:r>
        <w:t>. Since Medicaid is the largest payer for long-term services and supports,</w:t>
      </w:r>
      <w:r w:rsidR="00C54E4E">
        <w:rPr>
          <w:rStyle w:val="EndnoteReference"/>
        </w:rPr>
        <w:endnoteReference w:id="10"/>
      </w:r>
      <w:r>
        <w:t xml:space="preserve"> this action will also set a higher wage standard for the whole industry—making direct services jobs more competitive with other sectors. Research indicates that the returns on this investment will include lower turnover (saving at least $2,600 per worker</w:t>
      </w:r>
      <w:r w:rsidR="00F24FD0">
        <w:rPr>
          <w:rStyle w:val="EndnoteReference"/>
        </w:rPr>
        <w:endnoteReference w:id="11"/>
      </w:r>
      <w:r>
        <w:t>), better quality care, increased consumer spending, and reduced public assistance costs.</w:t>
      </w:r>
      <w:r w:rsidR="0062747E">
        <w:rPr>
          <w:rStyle w:val="EndnoteReference"/>
        </w:rPr>
        <w:endnoteReference w:id="12"/>
      </w:r>
    </w:p>
    <w:p w14:paraId="08413431" w14:textId="579EE8A4" w:rsidR="00FD179B" w:rsidRPr="001225AC" w:rsidRDefault="00750B44" w:rsidP="0026016E">
      <w:pPr>
        <w:pStyle w:val="Heading3"/>
        <w:spacing w:before="80" w:after="120"/>
      </w:pPr>
      <w:r>
        <w:t>Example</w:t>
      </w:r>
      <w:r w:rsidR="00B3328B">
        <w:t xml:space="preserve">: </w:t>
      </w:r>
      <w:r w:rsidR="00CD79FF">
        <w:t xml:space="preserve">Wisconsin’s </w:t>
      </w:r>
      <w:r w:rsidR="00EC5237">
        <w:t>Direct Care Workforce Funding Initiative</w:t>
      </w:r>
      <w:r w:rsidR="00FD179B" w:rsidRPr="001225AC">
        <w:t xml:space="preserve"> </w:t>
      </w:r>
    </w:p>
    <w:p w14:paraId="487BE430" w14:textId="665C0422" w:rsidR="00FD179B" w:rsidRDefault="007352EB" w:rsidP="00FD179B">
      <w:r>
        <w:t>In Wisconsin, the state legislature appropriated $60.3 million in the 2019-2021 biennial budget to create the Direct Care Workforce Funding Initiative.</w:t>
      </w:r>
      <w:r w:rsidR="00A65066">
        <w:rPr>
          <w:rStyle w:val="EndnoteReference"/>
        </w:rPr>
        <w:endnoteReference w:id="13"/>
      </w:r>
      <w:r>
        <w:t xml:space="preserve"> </w:t>
      </w:r>
      <w:r w:rsidR="00437741">
        <w:t>P</w:t>
      </w:r>
      <w:r>
        <w:t xml:space="preserve">roviders are required to use the </w:t>
      </w:r>
      <w:r w:rsidR="00F51774">
        <w:t>additional</w:t>
      </w:r>
      <w:r>
        <w:t xml:space="preserve"> funds</w:t>
      </w:r>
      <w:r w:rsidR="00264C4E">
        <w:t xml:space="preserve">—as distributed through MCOs—to </w:t>
      </w:r>
      <w:r>
        <w:t>increase compensation for workers in the form of wages, bonuses, and/or paid leave and to cover other compensation-related expenses. Accountability is built into the initiative</w:t>
      </w:r>
      <w:r w:rsidR="00AF5D7A">
        <w:t>,</w:t>
      </w:r>
      <w:r>
        <w:t xml:space="preserve"> as well:</w:t>
      </w:r>
      <w:r w:rsidR="009224A1">
        <w:t xml:space="preserve"> MCOs must attest that they </w:t>
      </w:r>
      <w:r w:rsidR="00865300">
        <w:t>passed the direct care payments to providers, and</w:t>
      </w:r>
      <w:r>
        <w:t xml:space="preserve"> providers </w:t>
      </w:r>
      <w:r w:rsidR="00865300">
        <w:t>must</w:t>
      </w:r>
      <w:r>
        <w:t xml:space="preserve"> regularly report to the state on how </w:t>
      </w:r>
      <w:r w:rsidR="000428CD">
        <w:t xml:space="preserve">they </w:t>
      </w:r>
      <w:r w:rsidR="00F51774">
        <w:t xml:space="preserve">have </w:t>
      </w:r>
      <w:r w:rsidR="000428CD">
        <w:t>allocated the funds</w:t>
      </w:r>
      <w:r w:rsidR="00FD179B">
        <w:t>.</w:t>
      </w:r>
    </w:p>
    <w:p w14:paraId="77C83536" w14:textId="25841E7A" w:rsidR="00B10FE8" w:rsidRDefault="00B10FE8" w:rsidP="0026016E">
      <w:pPr>
        <w:pStyle w:val="Heading3"/>
        <w:spacing w:before="80" w:after="120"/>
      </w:pPr>
      <w:r>
        <w:t>Cost Considerations</w:t>
      </w:r>
    </w:p>
    <w:p w14:paraId="03B4BB3E" w14:textId="77B7DED8" w:rsidR="00920095" w:rsidRPr="004B5AF8" w:rsidRDefault="00920095" w:rsidP="006E3169">
      <w:pPr>
        <w:pStyle w:val="Bullet"/>
        <w:ind w:left="360"/>
        <w:rPr>
          <w:rFonts w:cstheme="minorHAnsi"/>
          <w:u w:val="single"/>
        </w:rPr>
      </w:pPr>
      <w:r>
        <w:t>Recurring fund</w:t>
      </w:r>
      <w:r w:rsidR="007031FD">
        <w:t>s</w:t>
      </w:r>
      <w:r>
        <w:t xml:space="preserve"> will be needed to raise Medicaid </w:t>
      </w:r>
      <w:r w:rsidR="007031FD">
        <w:t>rates</w:t>
      </w:r>
      <w:r>
        <w:t xml:space="preserve"> to cover the full cost of labor for long-term care providers, including but not limited to wages</w:t>
      </w:r>
      <w:r w:rsidR="00D83844">
        <w:t xml:space="preserve">, </w:t>
      </w:r>
      <w:r w:rsidR="004B5AF8">
        <w:t>and a</w:t>
      </w:r>
      <w:r>
        <w:t xml:space="preserve"> process must be established to </w:t>
      </w:r>
      <w:r w:rsidR="0024226A">
        <w:t xml:space="preserve">regularly </w:t>
      </w:r>
      <w:r>
        <w:t>revise this</w:t>
      </w:r>
      <w:r w:rsidR="007D58E9">
        <w:t xml:space="preserve"> </w:t>
      </w:r>
      <w:r>
        <w:t>cost estimate to account for cost</w:t>
      </w:r>
      <w:r w:rsidR="004B5AF8">
        <w:t>-</w:t>
      </w:r>
      <w:r>
        <w:t>of</w:t>
      </w:r>
      <w:r w:rsidR="004B5AF8">
        <w:t>-</w:t>
      </w:r>
      <w:r>
        <w:t>living increase</w:t>
      </w:r>
      <w:r w:rsidR="00E5491D">
        <w:t>s</w:t>
      </w:r>
      <w:r w:rsidR="007D58E9">
        <w:t xml:space="preserve"> and other changes</w:t>
      </w:r>
      <w:r w:rsidR="00115A47">
        <w:t>.</w:t>
      </w:r>
    </w:p>
    <w:p w14:paraId="477FFB29" w14:textId="591B6DA3" w:rsidR="00920095" w:rsidRPr="00B4014D" w:rsidRDefault="00920095" w:rsidP="00755783">
      <w:pPr>
        <w:pStyle w:val="Bullet"/>
        <w:ind w:left="360"/>
        <w:rPr>
          <w:u w:val="single"/>
        </w:rPr>
      </w:pPr>
      <w:r>
        <w:t>The labor cost estimate should include a baseline living wage for all direct service workers plus higher wage tiers to reflect workers’ accrued training, skills, and longevity</w:t>
      </w:r>
      <w:r w:rsidR="00115A47">
        <w:t>.</w:t>
      </w:r>
    </w:p>
    <w:p w14:paraId="13D3323B" w14:textId="0C49E36E" w:rsidR="00920095" w:rsidRPr="00E51936" w:rsidRDefault="00920095" w:rsidP="00755783">
      <w:pPr>
        <w:pStyle w:val="Bullet"/>
        <w:ind w:left="360"/>
        <w:rPr>
          <w:u w:val="single"/>
        </w:rPr>
      </w:pPr>
      <w:r>
        <w:t>Funding should also be designated for developing</w:t>
      </w:r>
      <w:r w:rsidR="007031FD">
        <w:t xml:space="preserve"> and maintaining an</w:t>
      </w:r>
      <w:r>
        <w:t xml:space="preserve"> enforcement plan for the wage pass-through to ensure compliance without over-burdening providers</w:t>
      </w:r>
      <w:r w:rsidR="00115A47">
        <w:t>.</w:t>
      </w:r>
    </w:p>
    <w:p w14:paraId="49345A48" w14:textId="09A6A4F1" w:rsidR="00FB7231" w:rsidRDefault="00920095" w:rsidP="00755783">
      <w:pPr>
        <w:pStyle w:val="Bullet"/>
        <w:ind w:left="360"/>
      </w:pPr>
      <w:r w:rsidRPr="00013FE9">
        <w:t xml:space="preserve">To </w:t>
      </w:r>
      <w:r>
        <w:t>address</w:t>
      </w:r>
      <w:r w:rsidRPr="00013FE9">
        <w:t xml:space="preserve"> the risk of benefit cliffs</w:t>
      </w:r>
      <w:r>
        <w:t xml:space="preserve"> and plateaus,</w:t>
      </w:r>
      <w:r w:rsidR="00870070">
        <w:rPr>
          <w:rStyle w:val="EndnoteReference"/>
          <w:rFonts w:cstheme="minorHAnsi"/>
        </w:rPr>
        <w:endnoteReference w:id="14"/>
      </w:r>
      <w:r w:rsidR="00870070">
        <w:t xml:space="preserve"> </w:t>
      </w:r>
      <w:r>
        <w:t xml:space="preserve">funding </w:t>
      </w:r>
      <w:r w:rsidRPr="00013FE9">
        <w:t xml:space="preserve">should also be </w:t>
      </w:r>
      <w:r>
        <w:t xml:space="preserve">earmarked for </w:t>
      </w:r>
      <w:r w:rsidRPr="00013FE9">
        <w:t xml:space="preserve">developing </w:t>
      </w:r>
      <w:r>
        <w:t>and disseminating</w:t>
      </w:r>
      <w:r w:rsidRPr="00013FE9">
        <w:t xml:space="preserve"> </w:t>
      </w:r>
      <w:r>
        <w:t>financial planning resources and supports for workers</w:t>
      </w:r>
      <w:r w:rsidR="00115A47">
        <w:t>.</w:t>
      </w:r>
      <w:r w:rsidR="00FB7231">
        <w:br w:type="page"/>
      </w:r>
    </w:p>
    <w:p w14:paraId="279C8A0E" w14:textId="469D46AF" w:rsidR="0039517B" w:rsidRDefault="0039517B" w:rsidP="0039517B">
      <w:pPr>
        <w:pStyle w:val="Heading2"/>
      </w:pPr>
      <w:r>
        <w:lastRenderedPageBreak/>
        <w:t>Solution</w:t>
      </w:r>
      <w:r w:rsidRPr="00A9000B">
        <w:t xml:space="preserve">: </w:t>
      </w:r>
      <w:r w:rsidR="0081316A" w:rsidRPr="0081316A">
        <w:t>Enhance Training and Career Advancement</w:t>
      </w:r>
    </w:p>
    <w:bookmarkEnd w:id="3"/>
    <w:bookmarkEnd w:id="4"/>
    <w:bookmarkEnd w:id="5"/>
    <w:p w14:paraId="5FD9C333" w14:textId="77777777" w:rsidR="00DD7922" w:rsidRDefault="00DD7922" w:rsidP="0026016E">
      <w:pPr>
        <w:pStyle w:val="Heading3"/>
      </w:pPr>
      <w:r>
        <w:t>The Problem</w:t>
      </w:r>
    </w:p>
    <w:p w14:paraId="402272E3" w14:textId="3A7B6CF9" w:rsidR="00DD7922" w:rsidRDefault="009E6ECC" w:rsidP="00DD7922">
      <w:pPr>
        <w:pStyle w:val="Normal6ptafter"/>
        <w:spacing w:after="0"/>
      </w:pPr>
      <w:r w:rsidRPr="604DD00D">
        <w:rPr>
          <w:rFonts w:cstheme="minorBidi"/>
        </w:rPr>
        <w:t xml:space="preserve">In </w:t>
      </w:r>
      <w:r w:rsidR="004E7A2B">
        <w:rPr>
          <w:rFonts w:cstheme="minorBidi"/>
        </w:rPr>
        <w:t>Iowa</w:t>
      </w:r>
      <w:r w:rsidRPr="604DD00D">
        <w:rPr>
          <w:rFonts w:cstheme="minorBidi"/>
        </w:rPr>
        <w:t xml:space="preserve">, </w:t>
      </w:r>
      <w:r w:rsidR="00167AB7">
        <w:rPr>
          <w:rFonts w:cstheme="minorBidi"/>
        </w:rPr>
        <w:t>nursing assistants and home health aides</w:t>
      </w:r>
      <w:r w:rsidR="00202FE1">
        <w:rPr>
          <w:rFonts w:cstheme="minorBidi"/>
        </w:rPr>
        <w:t xml:space="preserve"> </w:t>
      </w:r>
      <w:r w:rsidR="00A5399D">
        <w:rPr>
          <w:rFonts w:cstheme="minorBidi"/>
        </w:rPr>
        <w:t xml:space="preserve">must complete 75 hours of entry-level training, </w:t>
      </w:r>
      <w:r w:rsidR="00202FE1">
        <w:rPr>
          <w:rFonts w:cstheme="minorBidi"/>
        </w:rPr>
        <w:t xml:space="preserve">which is </w:t>
      </w:r>
      <w:r w:rsidR="00167AB7">
        <w:rPr>
          <w:rFonts w:cstheme="minorBidi"/>
        </w:rPr>
        <w:t>the federal minimum</w:t>
      </w:r>
      <w:r w:rsidR="00A5399D">
        <w:rPr>
          <w:rFonts w:cstheme="minorBidi"/>
        </w:rPr>
        <w:t>.</w:t>
      </w:r>
      <w:r w:rsidR="00ED473F" w:rsidRPr="604DD00D">
        <w:rPr>
          <w:rStyle w:val="EndnoteReference"/>
          <w:rFonts w:cstheme="minorBidi"/>
        </w:rPr>
        <w:endnoteReference w:id="15"/>
      </w:r>
      <w:r w:rsidR="00ED473F" w:rsidRPr="604DD00D">
        <w:rPr>
          <w:rFonts w:cstheme="minorBidi"/>
        </w:rPr>
        <w:t xml:space="preserve"> </w:t>
      </w:r>
      <w:r w:rsidR="006A24E8">
        <w:rPr>
          <w:rFonts w:cstheme="minorBidi"/>
        </w:rPr>
        <w:t>Training requirements for personal care aides are even lower</w:t>
      </w:r>
      <w:r w:rsidR="00287513">
        <w:rPr>
          <w:rFonts w:cstheme="minorBidi"/>
        </w:rPr>
        <w:t>: they m</w:t>
      </w:r>
      <w:r w:rsidR="00ED473F">
        <w:rPr>
          <w:rFonts w:cstheme="minorBidi"/>
        </w:rPr>
        <w:t>ust only</w:t>
      </w:r>
      <w:r w:rsidR="00A43486">
        <w:rPr>
          <w:rFonts w:cstheme="minorBidi"/>
        </w:rPr>
        <w:t xml:space="preserve"> </w:t>
      </w:r>
      <w:r w:rsidR="00ED473F">
        <w:rPr>
          <w:rFonts w:cstheme="minorBidi"/>
        </w:rPr>
        <w:t xml:space="preserve">complete </w:t>
      </w:r>
      <w:r w:rsidR="003B473D" w:rsidRPr="21F84B55">
        <w:rPr>
          <w:rFonts w:cstheme="minorBidi"/>
        </w:rPr>
        <w:t xml:space="preserve">13 </w:t>
      </w:r>
      <w:r w:rsidR="00A42E90">
        <w:rPr>
          <w:rFonts w:cstheme="minorBidi"/>
        </w:rPr>
        <w:t xml:space="preserve">hours of </w:t>
      </w:r>
      <w:r w:rsidR="00202FE1">
        <w:rPr>
          <w:rFonts w:cstheme="minorBidi"/>
        </w:rPr>
        <w:t>“orientation</w:t>
      </w:r>
      <w:r w:rsidR="00287513">
        <w:rPr>
          <w:rFonts w:cstheme="minorBidi"/>
        </w:rPr>
        <w:t>,</w:t>
      </w:r>
      <w:r w:rsidR="00202FE1">
        <w:rPr>
          <w:rFonts w:cstheme="minorBidi"/>
        </w:rPr>
        <w:t>”</w:t>
      </w:r>
      <w:r w:rsidR="00287513">
        <w:rPr>
          <w:rFonts w:cstheme="minorBidi"/>
        </w:rPr>
        <w:t xml:space="preserve"> </w:t>
      </w:r>
      <w:r w:rsidR="00A42E90">
        <w:rPr>
          <w:rFonts w:cstheme="minorBidi"/>
        </w:rPr>
        <w:t>but these credentials are not portable</w:t>
      </w:r>
      <w:r w:rsidR="00767011" w:rsidRPr="255E41B8">
        <w:rPr>
          <w:rFonts w:cstheme="minorBidi"/>
        </w:rPr>
        <w:t xml:space="preserve">, meaning </w:t>
      </w:r>
      <w:r w:rsidR="00287513">
        <w:rPr>
          <w:rFonts w:cstheme="minorBidi"/>
        </w:rPr>
        <w:t xml:space="preserve">personal care aides </w:t>
      </w:r>
      <w:r w:rsidR="00767011" w:rsidRPr="255E41B8">
        <w:rPr>
          <w:rFonts w:cstheme="minorBidi"/>
        </w:rPr>
        <w:t xml:space="preserve">must retrain </w:t>
      </w:r>
      <w:r w:rsidR="00287513">
        <w:rPr>
          <w:rFonts w:cstheme="minorBidi"/>
        </w:rPr>
        <w:t>every</w:t>
      </w:r>
      <w:r w:rsidR="00767011">
        <w:rPr>
          <w:rFonts w:cstheme="minorBidi"/>
        </w:rPr>
        <w:t xml:space="preserve"> time</w:t>
      </w:r>
      <w:r w:rsidR="00767011" w:rsidRPr="255E41B8">
        <w:rPr>
          <w:rFonts w:cstheme="minorBidi"/>
        </w:rPr>
        <w:t xml:space="preserve"> they change </w:t>
      </w:r>
      <w:r w:rsidR="00A43486">
        <w:rPr>
          <w:rFonts w:cstheme="minorBidi"/>
        </w:rPr>
        <w:t>employers</w:t>
      </w:r>
      <w:r w:rsidR="00767011">
        <w:rPr>
          <w:rFonts w:cstheme="minorBidi"/>
        </w:rPr>
        <w:t xml:space="preserve">. </w:t>
      </w:r>
      <w:r w:rsidR="00B53CE1">
        <w:rPr>
          <w:rFonts w:cstheme="minorBidi"/>
        </w:rPr>
        <w:t>Direct service workers also face limited</w:t>
      </w:r>
      <w:r w:rsidRPr="604DD00D">
        <w:rPr>
          <w:rFonts w:cstheme="minorBidi"/>
        </w:rPr>
        <w:t xml:space="preserve"> opportunities to enhance their skills and compensation</w:t>
      </w:r>
      <w:r w:rsidR="007B13C8">
        <w:rPr>
          <w:rFonts w:cstheme="minorBidi"/>
        </w:rPr>
        <w:t xml:space="preserve"> over time</w:t>
      </w:r>
      <w:r w:rsidRPr="604DD00D">
        <w:rPr>
          <w:rFonts w:cstheme="minorBidi"/>
        </w:rPr>
        <w:t xml:space="preserve">. </w:t>
      </w:r>
      <w:r w:rsidR="0021164C" w:rsidRPr="0021164C">
        <w:rPr>
          <w:rFonts w:cstheme="minorBidi"/>
        </w:rPr>
        <w:t xml:space="preserve">According to a recent survey, one in five direct </w:t>
      </w:r>
      <w:r w:rsidR="0021164C">
        <w:rPr>
          <w:rFonts w:cstheme="minorBidi"/>
        </w:rPr>
        <w:t>service</w:t>
      </w:r>
      <w:r w:rsidR="0021164C" w:rsidRPr="0021164C">
        <w:rPr>
          <w:rFonts w:cstheme="minorBidi"/>
        </w:rPr>
        <w:t xml:space="preserve"> workers</w:t>
      </w:r>
      <w:r w:rsidR="00A42E90">
        <w:rPr>
          <w:rFonts w:cstheme="minorBidi"/>
        </w:rPr>
        <w:t xml:space="preserve"> in Iowa</w:t>
      </w:r>
      <w:r w:rsidR="0021164C" w:rsidRPr="0021164C">
        <w:rPr>
          <w:rFonts w:cstheme="minorBidi"/>
        </w:rPr>
        <w:t xml:space="preserve"> is currently looking for a job</w:t>
      </w:r>
      <w:r w:rsidR="00833FCA">
        <w:rPr>
          <w:rFonts w:cstheme="minorBidi"/>
        </w:rPr>
        <w:t xml:space="preserve"> in a different secto</w:t>
      </w:r>
      <w:r w:rsidR="0045463F">
        <w:rPr>
          <w:rFonts w:cstheme="minorBidi"/>
        </w:rPr>
        <w:t xml:space="preserve">r—and </w:t>
      </w:r>
      <w:r w:rsidR="00287513">
        <w:rPr>
          <w:rFonts w:cstheme="minorBidi"/>
        </w:rPr>
        <w:t>for mo</w:t>
      </w:r>
      <w:r w:rsidR="0045463F">
        <w:rPr>
          <w:rFonts w:cstheme="minorBidi"/>
        </w:rPr>
        <w:t xml:space="preserve">re than a quarter of </w:t>
      </w:r>
      <w:r w:rsidR="00287513">
        <w:rPr>
          <w:rFonts w:cstheme="minorBidi"/>
        </w:rPr>
        <w:t>those workers,</w:t>
      </w:r>
      <w:r w:rsidR="00A42E90">
        <w:rPr>
          <w:rFonts w:cstheme="minorBidi"/>
        </w:rPr>
        <w:t xml:space="preserve"> the</w:t>
      </w:r>
      <w:r w:rsidR="0045463F">
        <w:rPr>
          <w:rFonts w:cstheme="minorBidi"/>
        </w:rPr>
        <w:t xml:space="preserve"> lack of advancement opportunities </w:t>
      </w:r>
      <w:r w:rsidR="00287513">
        <w:rPr>
          <w:rFonts w:cstheme="minorBidi"/>
        </w:rPr>
        <w:t>is</w:t>
      </w:r>
      <w:r w:rsidR="0045463F">
        <w:rPr>
          <w:rFonts w:cstheme="minorBidi"/>
        </w:rPr>
        <w:t xml:space="preserve"> a driving reason</w:t>
      </w:r>
      <w:r w:rsidR="00287513">
        <w:rPr>
          <w:rFonts w:cstheme="minorBidi"/>
        </w:rPr>
        <w:t xml:space="preserve"> for their intent to leave</w:t>
      </w:r>
      <w:r w:rsidR="0045463F">
        <w:rPr>
          <w:rFonts w:cstheme="minorBidi"/>
        </w:rPr>
        <w:t>.</w:t>
      </w:r>
      <w:r w:rsidR="009C0B72" w:rsidRPr="21F84B55">
        <w:rPr>
          <w:rStyle w:val="EndnoteReference"/>
        </w:rPr>
        <w:endnoteReference w:id="16"/>
      </w:r>
      <w:r w:rsidR="009C0B72">
        <w:t xml:space="preserve"> </w:t>
      </w:r>
      <w:r w:rsidR="0045463F">
        <w:rPr>
          <w:rFonts w:cstheme="minorBidi"/>
        </w:rPr>
        <w:t xml:space="preserve"> </w:t>
      </w:r>
    </w:p>
    <w:tbl>
      <w:tblPr>
        <w:tblStyle w:val="TableGridLight"/>
        <w:tblpPr w:leftFromText="180" w:rightFromText="180" w:vertAnchor="text" w:horzAnchor="margin" w:tblpXSpec="right" w:tblpY="240"/>
        <w:tblW w:w="0" w:type="auto"/>
        <w:jc w:val="right"/>
        <w:tblLook w:val="04A0" w:firstRow="1" w:lastRow="0" w:firstColumn="1" w:lastColumn="0" w:noHBand="0" w:noVBand="1"/>
        <w:tblCaption w:val="Call-out box example (call-out box header)"/>
        <w:tblDescription w:val="This is an example of a call-out box for box color, line style &amp; color and font style &amp; size. (Call-out Box Text)&#10;• Call-out box bullet &#10;"/>
      </w:tblPr>
      <w:tblGrid>
        <w:gridCol w:w="9293"/>
      </w:tblGrid>
      <w:tr w:rsidR="00DD7922" w14:paraId="4950F299" w14:textId="77777777" w:rsidTr="00120E44">
        <w:trPr>
          <w:jc w:val="right"/>
        </w:trPr>
        <w:tc>
          <w:tcPr>
            <w:tcW w:w="9293" w:type="dxa"/>
            <w:tcBorders>
              <w:top w:val="single" w:sz="18" w:space="0" w:color="C4540C"/>
              <w:left w:val="single" w:sz="18" w:space="0" w:color="C4540C"/>
              <w:bottom w:val="single" w:sz="18" w:space="0" w:color="C4540C"/>
              <w:right w:val="single" w:sz="18" w:space="0" w:color="C4540C"/>
            </w:tcBorders>
            <w:shd w:val="clear" w:color="auto" w:fill="F8E7A5"/>
          </w:tcPr>
          <w:p w14:paraId="049E55DF" w14:textId="6F8F0472" w:rsidR="00DD7922" w:rsidRPr="00265802" w:rsidRDefault="00DD7922" w:rsidP="00120E44">
            <w:pPr>
              <w:pStyle w:val="QuoteStatisticText"/>
              <w:spacing w:before="80" w:after="80"/>
            </w:pPr>
            <w:r>
              <w:t xml:space="preserve">Proposed Strategy: </w:t>
            </w:r>
            <w:r w:rsidR="00155A50" w:rsidRPr="0014591B">
              <w:t xml:space="preserve">Establish </w:t>
            </w:r>
            <w:r w:rsidR="00155A50">
              <w:t>a competency-based training and credentialing system that promotes consistency and career mobility across direct service job titles</w:t>
            </w:r>
            <w:r w:rsidR="00C40A87">
              <w:t xml:space="preserve"> </w:t>
            </w:r>
            <w:r w:rsidR="00155A50">
              <w:t xml:space="preserve">and </w:t>
            </w:r>
            <w:r w:rsidR="00C40A87">
              <w:t>settings</w:t>
            </w:r>
            <w:r>
              <w:t>.</w:t>
            </w:r>
          </w:p>
        </w:tc>
      </w:tr>
    </w:tbl>
    <w:p w14:paraId="4177C654" w14:textId="77777777" w:rsidR="00DD7922" w:rsidRDefault="00DD7922" w:rsidP="0026016E">
      <w:pPr>
        <w:pStyle w:val="Heading3"/>
        <w:spacing w:before="80" w:after="120"/>
      </w:pPr>
      <w:r>
        <w:t xml:space="preserve">Rationale </w:t>
      </w:r>
    </w:p>
    <w:p w14:paraId="1578D9E3" w14:textId="1C6108AD" w:rsidR="005B0F41" w:rsidRDefault="00132351" w:rsidP="006E2388">
      <w:pPr>
        <w:pStyle w:val="Normal6ptafter"/>
        <w:spacing w:after="240"/>
      </w:pPr>
      <w:r>
        <w:t>A competency-based</w:t>
      </w:r>
      <w:r w:rsidR="006E5AEC">
        <w:rPr>
          <w:rStyle w:val="EndnoteReference"/>
        </w:rPr>
        <w:endnoteReference w:id="17"/>
      </w:r>
      <w:r>
        <w:t xml:space="preserve"> training system linked to portable and stackable credentials</w:t>
      </w:r>
      <w:r w:rsidR="001C4F06">
        <w:rPr>
          <w:rStyle w:val="EndnoteReference"/>
        </w:rPr>
        <w:endnoteReference w:id="18"/>
      </w:r>
      <w:r w:rsidR="001C4F06">
        <w:t xml:space="preserve"> </w:t>
      </w:r>
      <w:r>
        <w:t xml:space="preserve">that spans </w:t>
      </w:r>
      <w:r w:rsidRPr="00A73FDF">
        <w:t>all</w:t>
      </w:r>
      <w:r>
        <w:t xml:space="preserve"> long-term care settings will enhance career mobility for direct service workers while strengthening</w:t>
      </w:r>
      <w:r w:rsidR="00C41A9B">
        <w:t xml:space="preserve">, </w:t>
      </w:r>
      <w:r w:rsidR="00B90AD7">
        <w:t>stabilizing</w:t>
      </w:r>
      <w:r w:rsidR="00C41A9B">
        <w:t>, and upskilling</w:t>
      </w:r>
      <w:r w:rsidR="00B90AD7">
        <w:t xml:space="preserve"> </w:t>
      </w:r>
      <w:r>
        <w:t>the workforce overall.</w:t>
      </w:r>
      <w:r w:rsidR="00D97A36">
        <w:t xml:space="preserve"> </w:t>
      </w:r>
      <w:r w:rsidR="001E5985">
        <w:t>Iowa has already made substantial progress</w:t>
      </w:r>
      <w:r w:rsidR="00925A73">
        <w:t xml:space="preserve"> toward </w:t>
      </w:r>
      <w:r w:rsidR="00895B71">
        <w:t>realizing this vision</w:t>
      </w:r>
      <w:r w:rsidR="001D2B8F">
        <w:t xml:space="preserve"> </w:t>
      </w:r>
      <w:r w:rsidR="00925A73">
        <w:t xml:space="preserve">with </w:t>
      </w:r>
      <w:r w:rsidR="001619F9">
        <w:t xml:space="preserve">the </w:t>
      </w:r>
      <w:r w:rsidR="001619F9">
        <w:rPr>
          <w:i/>
          <w:iCs/>
        </w:rPr>
        <w:t>Prepare to Care</w:t>
      </w:r>
      <w:r w:rsidR="001619F9">
        <w:t xml:space="preserve"> curriculum </w:t>
      </w:r>
      <w:r w:rsidR="00AF6CFB">
        <w:t xml:space="preserve">and training </w:t>
      </w:r>
      <w:r w:rsidR="001E5985">
        <w:t>model</w:t>
      </w:r>
      <w:r w:rsidR="001E5985">
        <w:rPr>
          <w:rStyle w:val="EndnoteReference"/>
        </w:rPr>
        <w:endnoteReference w:id="19"/>
      </w:r>
      <w:r w:rsidR="00F30055">
        <w:t xml:space="preserve"> and </w:t>
      </w:r>
      <w:r w:rsidR="00930FF8">
        <w:t xml:space="preserve">has </w:t>
      </w:r>
      <w:r w:rsidR="003E1D77">
        <w:t>committed anew to</w:t>
      </w:r>
      <w:r w:rsidR="00930FF8">
        <w:t xml:space="preserve"> </w:t>
      </w:r>
      <w:r w:rsidR="005E2E97">
        <w:t xml:space="preserve">building the state’s </w:t>
      </w:r>
      <w:r w:rsidR="003E1D77">
        <w:t xml:space="preserve">training infrastructure through the </w:t>
      </w:r>
      <w:r w:rsidR="00930FF8">
        <w:t xml:space="preserve">American Rescue Plan Act (ARP) </w:t>
      </w:r>
      <w:r w:rsidR="003E1D77">
        <w:t xml:space="preserve">home and community-based services (HCBS) </w:t>
      </w:r>
      <w:r w:rsidR="00930FF8">
        <w:t xml:space="preserve">spending </w:t>
      </w:r>
      <w:r w:rsidR="00C41A9B">
        <w:t>plan</w:t>
      </w:r>
      <w:r w:rsidR="005B0F41">
        <w:t>.</w:t>
      </w:r>
    </w:p>
    <w:p w14:paraId="451CFE2A" w14:textId="53BE594A" w:rsidR="00DD7922" w:rsidRPr="001225AC" w:rsidRDefault="00DD7922" w:rsidP="0026016E">
      <w:pPr>
        <w:pStyle w:val="Heading3"/>
        <w:spacing w:before="80" w:after="120"/>
      </w:pPr>
      <w:r>
        <w:t xml:space="preserve">Example: </w:t>
      </w:r>
      <w:r w:rsidR="00B63395">
        <w:t>Home Care Aide Training and Certification in Washington State</w:t>
      </w:r>
      <w:r w:rsidRPr="001225AC">
        <w:t xml:space="preserve"> </w:t>
      </w:r>
    </w:p>
    <w:p w14:paraId="044F7B49" w14:textId="7DB3F047" w:rsidR="00DD7922" w:rsidRDefault="00467289" w:rsidP="00DD7922">
      <w:r w:rsidRPr="00467289">
        <w:t>Since 2011, Washington State has required all agency-employed and consumer-directed personal care aides to complete 75 hours of training using a state-sponsored or state-approved curriculum, pass a competency exam, and complete 12 hours of continuing education per year.</w:t>
      </w:r>
      <w:r w:rsidR="00BF6408">
        <w:rPr>
          <w:rStyle w:val="EndnoteReference"/>
        </w:rPr>
        <w:endnoteReference w:id="20"/>
      </w:r>
      <w:r w:rsidRPr="00467289">
        <w:t xml:space="preserve"> The state maintains a centralized training record, allowing workers’ credentials to be easily verified. Trained workers can also become nursing assistants after completing a 24-hour bridge training program</w:t>
      </w:r>
      <w:r>
        <w:t>.</w:t>
      </w:r>
    </w:p>
    <w:p w14:paraId="783953D1" w14:textId="77777777" w:rsidR="00DD7922" w:rsidRDefault="00DD7922" w:rsidP="0026016E">
      <w:pPr>
        <w:pStyle w:val="Heading3"/>
        <w:spacing w:before="80" w:after="120"/>
      </w:pPr>
      <w:r>
        <w:t>Cost Considerations</w:t>
      </w:r>
    </w:p>
    <w:p w14:paraId="63B081E3" w14:textId="5196A28C" w:rsidR="00E5491D" w:rsidRDefault="00E5491D" w:rsidP="00E5491D">
      <w:pPr>
        <w:pStyle w:val="Bullet"/>
        <w:ind w:left="360"/>
      </w:pPr>
      <w:r>
        <w:t>Funds will be needed to convene stakeholders to desi</w:t>
      </w:r>
      <w:r w:rsidR="00AF2EB6">
        <w:t>gn a</w:t>
      </w:r>
      <w:r>
        <w:t xml:space="preserve"> competency-based direct service worker training and credentialing system </w:t>
      </w:r>
      <w:r w:rsidR="00AF2EB6">
        <w:t xml:space="preserve">for Iowa, building on </w:t>
      </w:r>
      <w:r w:rsidR="00AF2EB6">
        <w:rPr>
          <w:i/>
          <w:iCs/>
        </w:rPr>
        <w:t>Prepare to Care</w:t>
      </w:r>
      <w:r w:rsidR="00137363">
        <w:rPr>
          <w:i/>
          <w:iCs/>
        </w:rPr>
        <w:t xml:space="preserve"> </w:t>
      </w:r>
      <w:r w:rsidR="00137363">
        <w:t>and potentially leveraging the provider training platform described in the ARP spending plan</w:t>
      </w:r>
      <w:r w:rsidR="002801F8">
        <w:t>.</w:t>
      </w:r>
      <w:r w:rsidR="00137363">
        <w:t xml:space="preserve"> </w:t>
      </w:r>
      <w:r w:rsidR="00F30055">
        <w:t xml:space="preserve"> </w:t>
      </w:r>
    </w:p>
    <w:p w14:paraId="0573CE1D" w14:textId="1AE6BC90" w:rsidR="00E5491D" w:rsidRDefault="00E5491D" w:rsidP="00E5491D">
      <w:pPr>
        <w:pStyle w:val="Bullet"/>
        <w:ind w:left="360"/>
      </w:pPr>
      <w:r>
        <w:t xml:space="preserve">Additional funds will be needed to support curriculum development, trainer development, </w:t>
      </w:r>
      <w:r w:rsidR="00D2096A">
        <w:t xml:space="preserve">and </w:t>
      </w:r>
      <w:r>
        <w:t>new testing methods</w:t>
      </w:r>
      <w:r w:rsidR="00D2096A">
        <w:t>, among other elements</w:t>
      </w:r>
      <w:r w:rsidR="00450B30">
        <w:t xml:space="preserve">; </w:t>
      </w:r>
      <w:r>
        <w:t xml:space="preserve">to </w:t>
      </w:r>
      <w:r w:rsidR="00137363">
        <w:t>evaluate</w:t>
      </w:r>
      <w:r>
        <w:t xml:space="preserve"> </w:t>
      </w:r>
      <w:r w:rsidR="00137363">
        <w:t xml:space="preserve">the quality of </w:t>
      </w:r>
      <w:r>
        <w:t>training programs</w:t>
      </w:r>
      <w:r w:rsidR="00450B30">
        <w:t xml:space="preserve">; </w:t>
      </w:r>
      <w:r w:rsidR="00AF2EB6">
        <w:t>and to establish</w:t>
      </w:r>
      <w:r w:rsidR="00D7090D">
        <w:t xml:space="preserve"> a central registry of direct service workers’ training credentials</w:t>
      </w:r>
      <w:r w:rsidR="00867EC0">
        <w:t xml:space="preserve">, </w:t>
      </w:r>
      <w:r w:rsidR="0098375F">
        <w:t>which is a</w:t>
      </w:r>
      <w:r w:rsidR="00137363">
        <w:t>nother</w:t>
      </w:r>
      <w:r w:rsidR="0098375F">
        <w:t xml:space="preserve"> priority</w:t>
      </w:r>
      <w:r w:rsidR="00867EC0">
        <w:t xml:space="preserve"> in </w:t>
      </w:r>
      <w:r w:rsidR="000F0F58">
        <w:t xml:space="preserve">Iowa’s </w:t>
      </w:r>
      <w:r w:rsidR="00137363">
        <w:t xml:space="preserve">ARP </w:t>
      </w:r>
      <w:r w:rsidR="00295744">
        <w:t>spending plan</w:t>
      </w:r>
      <w:r w:rsidR="00115A47">
        <w:t>.</w:t>
      </w:r>
      <w:r w:rsidR="00295744">
        <w:t xml:space="preserve"> </w:t>
      </w:r>
      <w:r w:rsidR="00AF2EB6">
        <w:t xml:space="preserve"> </w:t>
      </w:r>
    </w:p>
    <w:p w14:paraId="46B6F08C" w14:textId="7498C8FB" w:rsidR="00E5491D" w:rsidRDefault="00E5491D" w:rsidP="00E5491D">
      <w:pPr>
        <w:pStyle w:val="Bullet"/>
        <w:ind w:left="360"/>
      </w:pPr>
      <w:r>
        <w:t xml:space="preserve">If new training requirements are established, </w:t>
      </w:r>
      <w:r w:rsidR="00FB4368">
        <w:t xml:space="preserve">additional recurring </w:t>
      </w:r>
      <w:r>
        <w:t xml:space="preserve">funds will be needed to incentivize training entities to offer programs at </w:t>
      </w:r>
      <w:r w:rsidR="00D2096A">
        <w:t xml:space="preserve">low or </w:t>
      </w:r>
      <w:r>
        <w:t>no cost to direct service workers</w:t>
      </w:r>
      <w:r w:rsidR="00115A47">
        <w:t>.</w:t>
      </w:r>
    </w:p>
    <w:p w14:paraId="74531F4D" w14:textId="246328B1" w:rsidR="00C328F3" w:rsidRDefault="00E5491D" w:rsidP="009F5A8A">
      <w:pPr>
        <w:pStyle w:val="Bullet"/>
        <w:spacing w:after="0"/>
        <w:ind w:left="360"/>
      </w:pPr>
      <w:r>
        <w:t>If online training is a component of the training delivery system, funding may be needed to enhance the capacity of training entities to deliver online training and evaluate the results</w:t>
      </w:r>
      <w:r w:rsidR="00115A47">
        <w:t>.</w:t>
      </w:r>
      <w:r w:rsidR="00DD7922">
        <w:t xml:space="preserve"> </w:t>
      </w:r>
      <w:r w:rsidR="00AF2EB6">
        <w:t xml:space="preserve"> </w:t>
      </w:r>
      <w:r w:rsidR="00C328F3">
        <w:br w:type="page"/>
      </w:r>
    </w:p>
    <w:p w14:paraId="6B6BE453" w14:textId="1F8E3106" w:rsidR="00D82D82" w:rsidRDefault="00D82D82" w:rsidP="00D82D82">
      <w:pPr>
        <w:pStyle w:val="Heading2"/>
      </w:pPr>
      <w:r>
        <w:lastRenderedPageBreak/>
        <w:t>Solution</w:t>
      </w:r>
      <w:r w:rsidRPr="00A9000B">
        <w:t xml:space="preserve">: </w:t>
      </w:r>
      <w:r w:rsidRPr="00905F29">
        <w:t xml:space="preserve">Raise the Profile of Direct Service </w:t>
      </w:r>
      <w:r w:rsidR="00A76493">
        <w:t>Jobs</w:t>
      </w:r>
    </w:p>
    <w:p w14:paraId="002F8903" w14:textId="77777777" w:rsidR="00406EE8" w:rsidRDefault="00406EE8" w:rsidP="0026016E">
      <w:pPr>
        <w:pStyle w:val="Heading3"/>
      </w:pPr>
      <w:r>
        <w:t>The Problem</w:t>
      </w:r>
    </w:p>
    <w:p w14:paraId="3AA7E413" w14:textId="57385D79" w:rsidR="00406EE8" w:rsidRDefault="00057AC2" w:rsidP="00406EE8">
      <w:pPr>
        <w:pStyle w:val="Normal6ptafter"/>
        <w:spacing w:after="0"/>
      </w:pPr>
      <w:r>
        <w:t xml:space="preserve">High turnover and persistent job vacancies are the norm in the direct service workforce. For example, according to </w:t>
      </w:r>
      <w:r w:rsidR="000D063A">
        <w:t>a survey of 319 long-term care providers</w:t>
      </w:r>
      <w:r w:rsidR="001322E0">
        <w:t xml:space="preserve"> </w:t>
      </w:r>
      <w:r w:rsidR="0011675E">
        <w:t>published</w:t>
      </w:r>
      <w:r w:rsidR="001322E0">
        <w:t xml:space="preserve"> by Iowa Care</w:t>
      </w:r>
      <w:r w:rsidR="000D063A">
        <w:t>G</w:t>
      </w:r>
      <w:r w:rsidR="001322E0">
        <w:t>ivers</w:t>
      </w:r>
      <w:r w:rsidR="00F814A3">
        <w:t xml:space="preserve"> and Iowa Workforce Development</w:t>
      </w:r>
      <w:r w:rsidR="00DB693B">
        <w:t xml:space="preserve">, </w:t>
      </w:r>
      <w:r w:rsidR="000D063A">
        <w:t xml:space="preserve">respondents </w:t>
      </w:r>
      <w:r w:rsidR="00A974B4">
        <w:t xml:space="preserve">reported </w:t>
      </w:r>
      <w:r w:rsidR="00104432">
        <w:t xml:space="preserve">a total of </w:t>
      </w:r>
      <w:r w:rsidR="00B14709">
        <w:t>1,826 direct service job vacancies</w:t>
      </w:r>
      <w:r w:rsidR="00C90814">
        <w:t>—</w:t>
      </w:r>
      <w:r w:rsidR="000D063A">
        <w:t>citing</w:t>
      </w:r>
      <w:r w:rsidR="00C90814">
        <w:t xml:space="preserve"> a lack of applicants as the leading cause of </w:t>
      </w:r>
      <w:r w:rsidR="006E62D8">
        <w:t>such</w:t>
      </w:r>
      <w:r w:rsidR="00C90814">
        <w:t xml:space="preserve"> vacancies.</w:t>
      </w:r>
      <w:r w:rsidR="00DE108A">
        <w:rPr>
          <w:rStyle w:val="EndnoteReference"/>
        </w:rPr>
        <w:endnoteReference w:id="21"/>
      </w:r>
      <w:r>
        <w:t xml:space="preserve"> Recruiting and retaining enough direct service workers to meet growing demand is a sector-wide challenge—</w:t>
      </w:r>
      <w:r w:rsidR="00F74CFB">
        <w:t xml:space="preserve">not just an employer-level problem—requiring a sector-wide solution rooted in effectively marketing </w:t>
      </w:r>
      <w:r w:rsidR="00DC4023">
        <w:t>direct service</w:t>
      </w:r>
      <w:r w:rsidR="00F74CFB">
        <w:t xml:space="preserve"> jobs to potential job candidates</w:t>
      </w:r>
      <w:r w:rsidR="00406EE8">
        <w:t xml:space="preserve">. </w:t>
      </w:r>
    </w:p>
    <w:tbl>
      <w:tblPr>
        <w:tblStyle w:val="TableGridLight"/>
        <w:tblpPr w:leftFromText="180" w:rightFromText="180" w:vertAnchor="text" w:horzAnchor="margin" w:tblpXSpec="right" w:tblpY="240"/>
        <w:tblW w:w="0" w:type="auto"/>
        <w:jc w:val="right"/>
        <w:tblLook w:val="04A0" w:firstRow="1" w:lastRow="0" w:firstColumn="1" w:lastColumn="0" w:noHBand="0" w:noVBand="1"/>
        <w:tblCaption w:val="Call-out box example (call-out box header)"/>
        <w:tblDescription w:val="This is an example of a call-out box for box color, line style &amp; color and font style &amp; size. (Call-out Box Text)&#10;• Call-out box bullet &#10;"/>
      </w:tblPr>
      <w:tblGrid>
        <w:gridCol w:w="9293"/>
      </w:tblGrid>
      <w:tr w:rsidR="00406EE8" w14:paraId="5F44400A" w14:textId="77777777" w:rsidTr="00DE598E">
        <w:trPr>
          <w:jc w:val="right"/>
        </w:trPr>
        <w:tc>
          <w:tcPr>
            <w:tcW w:w="9293" w:type="dxa"/>
            <w:tcBorders>
              <w:top w:val="single" w:sz="18" w:space="0" w:color="C4540C"/>
              <w:left w:val="single" w:sz="18" w:space="0" w:color="C4540C"/>
              <w:bottom w:val="single" w:sz="18" w:space="0" w:color="C4540C"/>
              <w:right w:val="single" w:sz="18" w:space="0" w:color="C4540C"/>
            </w:tcBorders>
            <w:shd w:val="clear" w:color="auto" w:fill="F8E7A5"/>
          </w:tcPr>
          <w:p w14:paraId="55E57848" w14:textId="0FE9ABAC" w:rsidR="00406EE8" w:rsidRPr="00265802" w:rsidRDefault="00406EE8" w:rsidP="00DE598E">
            <w:pPr>
              <w:pStyle w:val="QuoteStatisticText"/>
              <w:spacing w:before="80" w:after="80"/>
            </w:pPr>
            <w:r>
              <w:t xml:space="preserve">Proposed Strategy: </w:t>
            </w:r>
            <w:r w:rsidR="00DD1DB9">
              <w:t>Launch a statewide marketing campaign to promote the value and rewards of direct service jobs</w:t>
            </w:r>
            <w:r>
              <w:t>.</w:t>
            </w:r>
          </w:p>
        </w:tc>
      </w:tr>
    </w:tbl>
    <w:p w14:paraId="5859B053" w14:textId="77777777" w:rsidR="00406EE8" w:rsidRDefault="00406EE8" w:rsidP="0026016E">
      <w:pPr>
        <w:pStyle w:val="Heading3"/>
        <w:spacing w:before="80" w:after="120"/>
      </w:pPr>
      <w:r>
        <w:t xml:space="preserve">Rationale </w:t>
      </w:r>
    </w:p>
    <w:p w14:paraId="03CE4130" w14:textId="1292AD7E" w:rsidR="00406EE8" w:rsidRDefault="00760F96" w:rsidP="0026016E">
      <w:pPr>
        <w:pStyle w:val="Normal6ptafter"/>
        <w:spacing w:after="240"/>
      </w:pPr>
      <w:r>
        <w:t xml:space="preserve">Complementing the </w:t>
      </w:r>
      <w:r w:rsidR="00301FB5">
        <w:t xml:space="preserve">multi-faceted </w:t>
      </w:r>
      <w:r>
        <w:t xml:space="preserve">marketing </w:t>
      </w:r>
      <w:r w:rsidR="00DE21D8">
        <w:t xml:space="preserve">and recruitment </w:t>
      </w:r>
      <w:r>
        <w:t xml:space="preserve">campaign </w:t>
      </w:r>
      <w:r w:rsidR="00EC6206">
        <w:t xml:space="preserve">described in </w:t>
      </w:r>
      <w:r w:rsidR="00905211">
        <w:t>the 2021 Iowa Rural Healthcare Workforce Strategic Action Plan</w:t>
      </w:r>
      <w:r>
        <w:t>,</w:t>
      </w:r>
      <w:r>
        <w:rPr>
          <w:rStyle w:val="EndnoteReference"/>
        </w:rPr>
        <w:endnoteReference w:id="22"/>
      </w:r>
      <w:r>
        <w:t xml:space="preserve"> a targeted effort is needed to elevate the profile of direct service jobs in particular. By using tested </w:t>
      </w:r>
      <w:r w:rsidR="00AD4ADB">
        <w:t xml:space="preserve">marketing </w:t>
      </w:r>
      <w:r>
        <w:t xml:space="preserve">frames and messages—and linking jobseekers to training, online </w:t>
      </w:r>
      <w:r w:rsidR="00D3056C">
        <w:t>job</w:t>
      </w:r>
      <w:r>
        <w:t xml:space="preserve"> platforms, and other resources—such a campaign could </w:t>
      </w:r>
      <w:r w:rsidR="00D3056C">
        <w:t xml:space="preserve">aim to </w:t>
      </w:r>
      <w:r>
        <w:t>recruit specific populations into the direct service field</w:t>
      </w:r>
      <w:r w:rsidR="006438D7">
        <w:t xml:space="preserve"> or into specific direct service roles.</w:t>
      </w:r>
      <w:r>
        <w:t xml:space="preserve"> As one example, </w:t>
      </w:r>
      <w:r w:rsidR="005B2781">
        <w:t xml:space="preserve">a third of </w:t>
      </w:r>
      <w:r>
        <w:t xml:space="preserve">women with children at home are currently out of the labor force in </w:t>
      </w:r>
      <w:r w:rsidR="004E7A2B">
        <w:t>Iowa</w:t>
      </w:r>
      <w:r>
        <w:t xml:space="preserve">, but </w:t>
      </w:r>
      <w:r w:rsidR="00E51CB8">
        <w:t xml:space="preserve">they </w:t>
      </w:r>
      <w:r>
        <w:t xml:space="preserve">may be encouraged </w:t>
      </w:r>
      <w:r w:rsidR="00D3056C">
        <w:t xml:space="preserve">by this campaign to </w:t>
      </w:r>
      <w:r>
        <w:t xml:space="preserve">consider home care as a viable </w:t>
      </w:r>
      <w:r w:rsidR="00AE2E34">
        <w:t xml:space="preserve">option for balancing </w:t>
      </w:r>
      <w:r>
        <w:t>family responsibilities with paid employment</w:t>
      </w:r>
      <w:r w:rsidR="00406EE8">
        <w:t>.</w:t>
      </w:r>
      <w:r w:rsidR="00A1116A">
        <w:rPr>
          <w:rStyle w:val="EndnoteReference"/>
        </w:rPr>
        <w:endnoteReference w:id="23"/>
      </w:r>
    </w:p>
    <w:p w14:paraId="1AA78A88" w14:textId="545CD7EE" w:rsidR="00406EE8" w:rsidRPr="001225AC" w:rsidRDefault="00406EE8" w:rsidP="0026016E">
      <w:pPr>
        <w:pStyle w:val="Heading3"/>
        <w:spacing w:before="80" w:after="120"/>
      </w:pPr>
      <w:r>
        <w:t xml:space="preserve">Example: </w:t>
      </w:r>
      <w:r w:rsidR="00085713">
        <w:t>Wisconsin’s WisCaregivers Career Program</w:t>
      </w:r>
      <w:r w:rsidRPr="001225AC">
        <w:t xml:space="preserve"> </w:t>
      </w:r>
    </w:p>
    <w:p w14:paraId="287A50CF" w14:textId="2D7700DA" w:rsidR="00406EE8" w:rsidRDefault="002721C6" w:rsidP="00406EE8">
      <w:r>
        <w:t>In</w:t>
      </w:r>
      <w:r w:rsidRPr="40850D30">
        <w:rPr>
          <w:rFonts w:eastAsia="Calibri"/>
        </w:rPr>
        <w:t xml:space="preserve"> 2018 to 2019, the Wisconsin Department of Health Services </w:t>
      </w:r>
      <w:r>
        <w:t>implemented a plan to</w:t>
      </w:r>
      <w:r w:rsidRPr="40850D30">
        <w:rPr>
          <w:rFonts w:eastAsia="Calibri"/>
        </w:rPr>
        <w:t xml:space="preserve"> recruit 3,000 new nursing </w:t>
      </w:r>
      <w:r>
        <w:t xml:space="preserve">assistants </w:t>
      </w:r>
      <w:r w:rsidR="001A3BF2">
        <w:t xml:space="preserve">into nursing homes </w:t>
      </w:r>
      <w:r w:rsidRPr="40850D30">
        <w:rPr>
          <w:rFonts w:eastAsia="Calibri"/>
        </w:rPr>
        <w:t>through a targeted digital marketing campaign</w:t>
      </w:r>
      <w:r>
        <w:t xml:space="preserve"> linked to </w:t>
      </w:r>
      <w:r w:rsidRPr="40850D30">
        <w:rPr>
          <w:rFonts w:eastAsia="Calibri"/>
        </w:rPr>
        <w:t>free training</w:t>
      </w:r>
      <w:r>
        <w:t>, job placement,</w:t>
      </w:r>
      <w:r w:rsidRPr="40850D30">
        <w:rPr>
          <w:rFonts w:eastAsia="Calibri"/>
        </w:rPr>
        <w:t xml:space="preserve"> and a $500 retention bonus.</w:t>
      </w:r>
      <w:r w:rsidR="00242447" w:rsidRPr="00242447">
        <w:rPr>
          <w:rStyle w:val="EndnoteReference"/>
        </w:rPr>
        <w:t xml:space="preserve"> </w:t>
      </w:r>
      <w:r w:rsidR="00242447" w:rsidRPr="1E5BA429">
        <w:rPr>
          <w:rStyle w:val="EndnoteReference"/>
        </w:rPr>
        <w:endnoteReference w:id="24"/>
      </w:r>
      <w:r w:rsidR="00242447" w:rsidRPr="40850D30">
        <w:rPr>
          <w:rFonts w:eastAsia="Calibri"/>
        </w:rPr>
        <w:t xml:space="preserve"> </w:t>
      </w:r>
      <w:r w:rsidRPr="40850D30">
        <w:rPr>
          <w:rFonts w:eastAsia="Calibri"/>
        </w:rPr>
        <w:t xml:space="preserve">Marketing materials included videos of nursing assistants </w:t>
      </w:r>
      <w:r w:rsidR="001A3BF2">
        <w:rPr>
          <w:rFonts w:eastAsia="Calibri"/>
        </w:rPr>
        <w:t xml:space="preserve">in Wisconsin </w:t>
      </w:r>
      <w:r w:rsidRPr="40850D30">
        <w:rPr>
          <w:rFonts w:eastAsia="Calibri"/>
        </w:rPr>
        <w:t xml:space="preserve">describing the intrinsic and extrinsic benefits of their jobs. Over the course of two years, </w:t>
      </w:r>
      <w:r>
        <w:t>more than</w:t>
      </w:r>
      <w:r w:rsidRPr="40850D30">
        <w:rPr>
          <w:rFonts w:eastAsia="Calibri"/>
        </w:rPr>
        <w:t xml:space="preserve"> 3,200 jobseekers enrolled in training programs and nearly 1,900 became certified nursing assistants.</w:t>
      </w:r>
      <w:r w:rsidRPr="1D76F0FE">
        <w:rPr>
          <w:rStyle w:val="EndnoteReference"/>
        </w:rPr>
        <w:endnoteReference w:id="25"/>
      </w:r>
      <w:r w:rsidRPr="40850D30">
        <w:rPr>
          <w:rFonts w:eastAsia="Calibri"/>
        </w:rPr>
        <w:t xml:space="preserve"> Following Wisconsin’s success,</w:t>
      </w:r>
      <w:r>
        <w:t xml:space="preserve"> three other states—</w:t>
      </w:r>
      <w:r w:rsidRPr="40850D30">
        <w:rPr>
          <w:rFonts w:eastAsia="Calibri"/>
        </w:rPr>
        <w:t xml:space="preserve">Idaho, </w:t>
      </w:r>
      <w:r w:rsidR="00AC2F24">
        <w:rPr>
          <w:rFonts w:eastAsia="Calibri"/>
        </w:rPr>
        <w:t xml:space="preserve">New Hampshire, and </w:t>
      </w:r>
      <w:r w:rsidRPr="40850D30">
        <w:rPr>
          <w:rFonts w:eastAsia="Calibri"/>
        </w:rPr>
        <w:t>North Carolina</w:t>
      </w:r>
      <w:r>
        <w:t>—have l</w:t>
      </w:r>
      <w:r w:rsidRPr="40850D30">
        <w:rPr>
          <w:rFonts w:eastAsia="Calibri"/>
        </w:rPr>
        <w:t>aunched similar programs</w:t>
      </w:r>
      <w:r>
        <w:rPr>
          <w:rFonts w:eastAsia="Calibri"/>
        </w:rPr>
        <w:t>.</w:t>
      </w:r>
    </w:p>
    <w:p w14:paraId="777AE106" w14:textId="77777777" w:rsidR="00406EE8" w:rsidRDefault="00406EE8" w:rsidP="0026016E">
      <w:pPr>
        <w:pStyle w:val="Heading3"/>
        <w:spacing w:before="80" w:after="120"/>
      </w:pPr>
      <w:r>
        <w:t>Cost Considerations</w:t>
      </w:r>
    </w:p>
    <w:p w14:paraId="2E37E0BF" w14:textId="0BA710C0" w:rsidR="00812BAB" w:rsidRDefault="00812BAB" w:rsidP="00812BAB">
      <w:pPr>
        <w:pStyle w:val="Bullet"/>
        <w:ind w:left="360"/>
      </w:pPr>
      <w:r>
        <w:t xml:space="preserve">Funding for a social marketing campaign should cover the costs of </w:t>
      </w:r>
      <w:r w:rsidR="005E62DA">
        <w:t xml:space="preserve">strategy, </w:t>
      </w:r>
      <w:r>
        <w:t xml:space="preserve">copywriting, photography </w:t>
      </w:r>
      <w:r w:rsidR="00273E46">
        <w:t>and/</w:t>
      </w:r>
      <w:r>
        <w:t>or videography, print and digital materials production, and advertising</w:t>
      </w:r>
      <w:r w:rsidR="008C4833">
        <w:t>.</w:t>
      </w:r>
    </w:p>
    <w:p w14:paraId="30B5C30C" w14:textId="7F7ACD2E" w:rsidR="00812BAB" w:rsidRDefault="00812BAB" w:rsidP="00812BAB">
      <w:pPr>
        <w:pStyle w:val="Bullet"/>
        <w:ind w:left="360"/>
      </w:pPr>
      <w:r>
        <w:t xml:space="preserve">This campaign could </w:t>
      </w:r>
      <w:r w:rsidR="000E5D07">
        <w:t xml:space="preserve">leverage ARP funds and/or link to other </w:t>
      </w:r>
      <w:r w:rsidR="00C505FF">
        <w:t xml:space="preserve">initiatives </w:t>
      </w:r>
      <w:r w:rsidR="000E5D07">
        <w:t>proposed in the HC</w:t>
      </w:r>
      <w:r w:rsidR="00C505FF">
        <w:t xml:space="preserve">BS spending plan, </w:t>
      </w:r>
      <w:r w:rsidR="00E25444">
        <w:t>including the statewide training system and the</w:t>
      </w:r>
      <w:r w:rsidR="006438D7">
        <w:t xml:space="preserve"> recruitment and retention incentive payments earmarked </w:t>
      </w:r>
      <w:r w:rsidR="002158FF">
        <w:t xml:space="preserve">specifically </w:t>
      </w:r>
      <w:r w:rsidR="006438D7">
        <w:t>for direct support professionals (DSP)</w:t>
      </w:r>
      <w:r w:rsidR="008C4833">
        <w:t>.</w:t>
      </w:r>
      <w:r>
        <w:t xml:space="preserve"> </w:t>
      </w:r>
    </w:p>
    <w:p w14:paraId="70CEE2FB" w14:textId="3A1E488D" w:rsidR="00C328F3" w:rsidRDefault="00812BAB" w:rsidP="003338BE">
      <w:pPr>
        <w:pStyle w:val="Bullet"/>
        <w:spacing w:after="0"/>
        <w:ind w:left="360"/>
      </w:pPr>
      <w:r>
        <w:t xml:space="preserve">Longer-term funding may be needed to sustain this solution, </w:t>
      </w:r>
      <w:r w:rsidR="002158FF">
        <w:t>such as to</w:t>
      </w:r>
      <w:r>
        <w:t xml:space="preserve"> maintain a website that links jobseekers with training and/or employment opportunities</w:t>
      </w:r>
      <w:r w:rsidR="008C4833">
        <w:t>.</w:t>
      </w:r>
      <w:r w:rsidR="00C328F3">
        <w:br w:type="page"/>
      </w:r>
    </w:p>
    <w:p w14:paraId="5F1094FE" w14:textId="5A5BE4BA" w:rsidR="000A6D5F" w:rsidRDefault="000A6D5F" w:rsidP="000A6D5F">
      <w:pPr>
        <w:pStyle w:val="Heading2"/>
      </w:pPr>
      <w:r>
        <w:lastRenderedPageBreak/>
        <w:t>Solution</w:t>
      </w:r>
      <w:r w:rsidRPr="00A9000B">
        <w:t xml:space="preserve">: </w:t>
      </w:r>
      <w:r w:rsidR="00C776C3" w:rsidRPr="00C776C3">
        <w:t xml:space="preserve">Support </w:t>
      </w:r>
      <w:r w:rsidR="00C776C3">
        <w:t xml:space="preserve">Workforce </w:t>
      </w:r>
      <w:r w:rsidR="00C776C3" w:rsidRPr="00C776C3">
        <w:t>Innovatio</w:t>
      </w:r>
      <w:r w:rsidR="00C776C3">
        <w:t>n</w:t>
      </w:r>
    </w:p>
    <w:p w14:paraId="1A30B289" w14:textId="77777777" w:rsidR="000A6D5F" w:rsidRDefault="000A6D5F" w:rsidP="0026016E">
      <w:pPr>
        <w:pStyle w:val="Heading3"/>
      </w:pPr>
      <w:r>
        <w:t>The Problem</w:t>
      </w:r>
    </w:p>
    <w:p w14:paraId="593DF893" w14:textId="14E4E54D" w:rsidR="000A6D5F" w:rsidRDefault="00D732A3" w:rsidP="000A6D5F">
      <w:pPr>
        <w:pStyle w:val="Normal6ptafter"/>
        <w:spacing w:after="0"/>
      </w:pPr>
      <w:r>
        <w:t>The COVID-19 pandemic, which disproportionately impacted long-term care settings, has intensified the direct service workforce crisis. Workers have been driven out of their jobs because of illness, fear, family responsibilities</w:t>
      </w:r>
      <w:r w:rsidR="00ED3C0A">
        <w:t>,</w:t>
      </w:r>
      <w:r>
        <w:t xml:space="preserve"> </w:t>
      </w:r>
      <w:r w:rsidR="003C1A7E">
        <w:t>and</w:t>
      </w:r>
      <w:r>
        <w:t xml:space="preserve"> other reasons—and in a labor market </w:t>
      </w:r>
      <w:r w:rsidRPr="00952ECB">
        <w:t>rife with job vacancies</w:t>
      </w:r>
      <w:r>
        <w:t xml:space="preserve"> across sectors, long-term care providers are finding it harder than ever to fill the gaps.</w:t>
      </w:r>
      <w:r w:rsidR="00C33957">
        <w:rPr>
          <w:rStyle w:val="EndnoteReference"/>
        </w:rPr>
        <w:endnoteReference w:id="26"/>
      </w:r>
      <w:r w:rsidR="00C33957">
        <w:t xml:space="preserve"> </w:t>
      </w:r>
      <w:r>
        <w:t>New recruitment and retention strategies are desperately needed, but—operating in emergency-management mode—providers have limited capacity to test out new approaches. Consequently, they are caught in a costly spiral of job vacancies, workforce burnout, and high turnover</w:t>
      </w:r>
      <w:r w:rsidR="000A6D5F">
        <w:t xml:space="preserve">. </w:t>
      </w:r>
    </w:p>
    <w:tbl>
      <w:tblPr>
        <w:tblStyle w:val="TableGridLight"/>
        <w:tblpPr w:leftFromText="180" w:rightFromText="180" w:vertAnchor="text" w:horzAnchor="margin" w:tblpXSpec="right" w:tblpY="240"/>
        <w:tblW w:w="0" w:type="auto"/>
        <w:jc w:val="right"/>
        <w:tblLook w:val="04A0" w:firstRow="1" w:lastRow="0" w:firstColumn="1" w:lastColumn="0" w:noHBand="0" w:noVBand="1"/>
        <w:tblCaption w:val="Call-out box example (call-out box header)"/>
        <w:tblDescription w:val="This is an example of a call-out box for box color, line style &amp; color and font style &amp; size. (Call-out Box Text)&#10;• Call-out box bullet &#10;"/>
      </w:tblPr>
      <w:tblGrid>
        <w:gridCol w:w="9293"/>
      </w:tblGrid>
      <w:tr w:rsidR="000A6D5F" w14:paraId="01A4C622" w14:textId="77777777" w:rsidTr="00DE598E">
        <w:trPr>
          <w:jc w:val="right"/>
        </w:trPr>
        <w:tc>
          <w:tcPr>
            <w:tcW w:w="9293" w:type="dxa"/>
            <w:tcBorders>
              <w:top w:val="single" w:sz="18" w:space="0" w:color="C4540C"/>
              <w:left w:val="single" w:sz="18" w:space="0" w:color="C4540C"/>
              <w:bottom w:val="single" w:sz="18" w:space="0" w:color="C4540C"/>
              <w:right w:val="single" w:sz="18" w:space="0" w:color="C4540C"/>
            </w:tcBorders>
            <w:shd w:val="clear" w:color="auto" w:fill="F8E7A5"/>
          </w:tcPr>
          <w:p w14:paraId="39761231" w14:textId="784BD2FA" w:rsidR="000A6D5F" w:rsidRPr="00265802" w:rsidRDefault="000A6D5F" w:rsidP="00DE598E">
            <w:pPr>
              <w:pStyle w:val="QuoteStatisticText"/>
              <w:spacing w:before="80" w:after="80"/>
            </w:pPr>
            <w:r>
              <w:t xml:space="preserve">Proposed Strategy: </w:t>
            </w:r>
            <w:r w:rsidR="007B31C9">
              <w:t>Establish a Direct Service Workforce Innovation Fund to support a range of strategies for effectively recruiting and retaining direct service workers</w:t>
            </w:r>
            <w:r>
              <w:t>.</w:t>
            </w:r>
          </w:p>
        </w:tc>
      </w:tr>
    </w:tbl>
    <w:p w14:paraId="2951C225" w14:textId="77777777" w:rsidR="000A6D5F" w:rsidRDefault="000A6D5F" w:rsidP="0026016E">
      <w:pPr>
        <w:pStyle w:val="Heading3"/>
        <w:spacing w:before="80" w:after="120"/>
      </w:pPr>
      <w:r>
        <w:t xml:space="preserve">Rationale </w:t>
      </w:r>
    </w:p>
    <w:p w14:paraId="4091DD55" w14:textId="0D1D4CE9" w:rsidR="000A6D5F" w:rsidRDefault="00325571" w:rsidP="0026016E">
      <w:pPr>
        <w:pStyle w:val="Normal6ptafter"/>
        <w:spacing w:after="240"/>
      </w:pPr>
      <w:r>
        <w:t xml:space="preserve">An innovation fund would allow a range of entities—including </w:t>
      </w:r>
      <w:r w:rsidR="00235123">
        <w:t xml:space="preserve">MCOs, </w:t>
      </w:r>
      <w:r>
        <w:t xml:space="preserve">long-term care providers, </w:t>
      </w:r>
      <w:r w:rsidRPr="00500738">
        <w:t>workforce development organizations</w:t>
      </w:r>
      <w:r>
        <w:t>, and community-based organizations, among others—to design and test workforce strategies. Grants could be awarded to entities representing different regions of the state and</w:t>
      </w:r>
      <w:r w:rsidR="00ED14D3">
        <w:t xml:space="preserve"> proposing different </w:t>
      </w:r>
      <w:r w:rsidR="0078451B">
        <w:t>types</w:t>
      </w:r>
      <w:r w:rsidR="00ED14D3">
        <w:t xml:space="preserve"> of </w:t>
      </w:r>
      <w:r>
        <w:t>intervention</w:t>
      </w:r>
      <w:r w:rsidR="00877248">
        <w:t>s</w:t>
      </w:r>
      <w:r>
        <w:t>—</w:t>
      </w:r>
      <w:r w:rsidR="00496D5C">
        <w:t>from</w:t>
      </w:r>
      <w:r>
        <w:t xml:space="preserve"> enhanced onboarding programs</w:t>
      </w:r>
      <w:r w:rsidR="00496D5C">
        <w:t xml:space="preserve"> to </w:t>
      </w:r>
      <w:r>
        <w:t>daycare</w:t>
      </w:r>
      <w:r w:rsidR="0078451B">
        <w:t xml:space="preserve"> partnerships,</w:t>
      </w:r>
      <w:r w:rsidR="00496D5C">
        <w:t xml:space="preserve"> </w:t>
      </w:r>
      <w:r>
        <w:t xml:space="preserve">transportation projects, peer mentorship programs, technology upgrades, and more. </w:t>
      </w:r>
      <w:r w:rsidRPr="00EC2844">
        <w:t xml:space="preserve">Robust evaluation of the pilot projects would </w:t>
      </w:r>
      <w:r>
        <w:t xml:space="preserve">help build the evidence base </w:t>
      </w:r>
      <w:r w:rsidR="0008228C">
        <w:t xml:space="preserve">on </w:t>
      </w:r>
      <w:r w:rsidR="00327D26">
        <w:t xml:space="preserve">best practices for addressing the workforce crisis in </w:t>
      </w:r>
      <w:r w:rsidR="004E7A2B">
        <w:t>Iowa</w:t>
      </w:r>
      <w:r w:rsidR="000A6D5F">
        <w:t>.</w:t>
      </w:r>
    </w:p>
    <w:p w14:paraId="36E4EDB1" w14:textId="470292D7" w:rsidR="000A6D5F" w:rsidRPr="001225AC" w:rsidRDefault="000A6D5F" w:rsidP="0026016E">
      <w:pPr>
        <w:pStyle w:val="Heading3"/>
        <w:spacing w:before="80" w:after="120"/>
      </w:pPr>
      <w:r>
        <w:t xml:space="preserve">Example: </w:t>
      </w:r>
      <w:r w:rsidR="00771215">
        <w:t>MercyCare’s Innovation Fund in Arizona</w:t>
      </w:r>
      <w:r w:rsidRPr="001225AC">
        <w:t xml:space="preserve"> </w:t>
      </w:r>
    </w:p>
    <w:p w14:paraId="077F7F5D" w14:textId="12834F0E" w:rsidR="000A6D5F" w:rsidRDefault="0026737C" w:rsidP="000A6D5F">
      <w:r w:rsidRPr="0026737C">
        <w:t xml:space="preserve">In Arizona, </w:t>
      </w:r>
      <w:r w:rsidR="00625B8D">
        <w:t>MCOs</w:t>
      </w:r>
      <w:r w:rsidRPr="0026737C">
        <w:t xml:space="preserve"> are required to assist their long-term care provider networks with direct service workforce development. To fulfill this remit, MercyCare </w:t>
      </w:r>
      <w:r w:rsidR="0097231B">
        <w:t xml:space="preserve">(one MCO in the state) </w:t>
      </w:r>
      <w:r w:rsidRPr="0026737C">
        <w:t xml:space="preserve">established a $1,000,000 innovation fund to </w:t>
      </w:r>
      <w:r w:rsidR="00327D26">
        <w:t>enable</w:t>
      </w:r>
      <w:r w:rsidRPr="0026737C">
        <w:t xml:space="preserve"> providers to test new recruitment and retention strategies. Five agencies were awarded funds and used the support to boost their training programs, develop career advancement opportunities, and build new recruitment pipelines, among other interventions</w:t>
      </w:r>
      <w:r>
        <w:t>.</w:t>
      </w:r>
    </w:p>
    <w:p w14:paraId="4145C104" w14:textId="77777777" w:rsidR="000A6D5F" w:rsidRDefault="000A6D5F" w:rsidP="0026016E">
      <w:pPr>
        <w:pStyle w:val="Heading3"/>
        <w:spacing w:before="80" w:after="120"/>
      </w:pPr>
      <w:r>
        <w:t>Cost Considerations</w:t>
      </w:r>
    </w:p>
    <w:p w14:paraId="042D62BD" w14:textId="2B7F01DE" w:rsidR="00C21892" w:rsidRDefault="00EB32A6" w:rsidP="00C21892">
      <w:pPr>
        <w:pStyle w:val="Bullet"/>
        <w:ind w:left="360"/>
      </w:pPr>
      <w:r>
        <w:t xml:space="preserve">Funding for the innovation fund should cover an estimated number of grants at different price points plus </w:t>
      </w:r>
      <w:r w:rsidR="00625B8D">
        <w:t xml:space="preserve">overall </w:t>
      </w:r>
      <w:r>
        <w:t>planning, administration, and evaluation</w:t>
      </w:r>
      <w:r w:rsidR="00625B8D">
        <w:t xml:space="preserve"> costs</w:t>
      </w:r>
      <w:r w:rsidR="00101516">
        <w:t>.</w:t>
      </w:r>
      <w:r>
        <w:t xml:space="preserve"> </w:t>
      </w:r>
    </w:p>
    <w:p w14:paraId="0836C9DE" w14:textId="42777CC3" w:rsidR="00C21892" w:rsidRDefault="00C21892" w:rsidP="00C21892">
      <w:pPr>
        <w:pStyle w:val="Bullet"/>
        <w:ind w:left="360"/>
      </w:pPr>
      <w:r>
        <w:t>With regards to planning, at least six months may be needed to issue a request for proposals, review applications, and select grantees</w:t>
      </w:r>
      <w:r w:rsidR="00101516">
        <w:t>.</w:t>
      </w:r>
    </w:p>
    <w:p w14:paraId="3EB3EFDB" w14:textId="7CFA19E1" w:rsidR="00C21892" w:rsidRDefault="00C21892" w:rsidP="00C21892">
      <w:pPr>
        <w:pStyle w:val="Bullet"/>
        <w:ind w:left="360"/>
      </w:pPr>
      <w:r>
        <w:t>Funding should be secured for a minimum of three years to ensure sufficient time for project implementation and evaluation</w:t>
      </w:r>
      <w:r w:rsidR="00101516">
        <w:t>.</w:t>
      </w:r>
    </w:p>
    <w:p w14:paraId="0A1BD5EC" w14:textId="21BFD329" w:rsidR="00C21892" w:rsidRDefault="00AC55E1" w:rsidP="00C21892">
      <w:pPr>
        <w:pStyle w:val="Bullet"/>
        <w:ind w:left="360"/>
      </w:pPr>
      <w:r>
        <w:t>An</w:t>
      </w:r>
      <w:r w:rsidR="00C21892">
        <w:t xml:space="preserve"> independent evaluator should be appointed to </w:t>
      </w:r>
      <w:r w:rsidR="00155776">
        <w:t xml:space="preserve">analyze </w:t>
      </w:r>
      <w:r w:rsidR="00C21892">
        <w:t>workforce outcomes, care outcomes, and cost</w:t>
      </w:r>
      <w:r w:rsidR="008C7096">
        <w:t>s</w:t>
      </w:r>
      <w:r w:rsidR="00155776">
        <w:t xml:space="preserve"> across the full set of projects,</w:t>
      </w:r>
      <w:r w:rsidR="00C21892">
        <w:t xml:space="preserve"> with a view to identifying </w:t>
      </w:r>
      <w:r w:rsidR="008C7096">
        <w:t>successful models</w:t>
      </w:r>
      <w:r w:rsidR="00C21892">
        <w:t xml:space="preserve"> for replication or scale-up</w:t>
      </w:r>
      <w:r w:rsidR="00101516">
        <w:t>.</w:t>
      </w:r>
    </w:p>
    <w:p w14:paraId="2BC56200" w14:textId="5714A0A3" w:rsidR="00F83B74" w:rsidRDefault="00C21892" w:rsidP="00530670">
      <w:pPr>
        <w:pStyle w:val="Bullet"/>
        <w:spacing w:after="0"/>
        <w:ind w:left="360"/>
      </w:pPr>
      <w:r>
        <w:t>Private or philanthropic dollars could be leveraged as matching funds to launch the fund</w:t>
      </w:r>
      <w:r w:rsidR="00101516">
        <w:t>.</w:t>
      </w:r>
      <w:r w:rsidR="00F83B74">
        <w:br w:type="page"/>
      </w:r>
    </w:p>
    <w:p w14:paraId="4DC5944D" w14:textId="33C85719" w:rsidR="00FF054E" w:rsidRDefault="00FF054E" w:rsidP="00FF054E">
      <w:pPr>
        <w:pStyle w:val="Heading2"/>
      </w:pPr>
      <w:r>
        <w:lastRenderedPageBreak/>
        <w:t>Solution</w:t>
      </w:r>
      <w:r w:rsidRPr="00A9000B">
        <w:t xml:space="preserve">: </w:t>
      </w:r>
      <w:r w:rsidR="004E3F61" w:rsidRPr="004E3F61">
        <w:t>Strengthen Connections Between Self-Directing Consumers and Workers</w:t>
      </w:r>
    </w:p>
    <w:p w14:paraId="2FD72305" w14:textId="77777777" w:rsidR="00FF054E" w:rsidRDefault="00FF054E" w:rsidP="0005438D">
      <w:pPr>
        <w:pStyle w:val="Heading3"/>
      </w:pPr>
      <w:r>
        <w:t>The Problem</w:t>
      </w:r>
    </w:p>
    <w:p w14:paraId="6B673082" w14:textId="58C9A1EC" w:rsidR="00FF054E" w:rsidRDefault="00363AD7" w:rsidP="00FF054E">
      <w:pPr>
        <w:pStyle w:val="Normal6ptafter"/>
        <w:spacing w:after="0"/>
      </w:pPr>
      <w:r>
        <w:t>More than</w:t>
      </w:r>
      <w:r w:rsidR="007C110D">
        <w:t xml:space="preserve"> </w:t>
      </w:r>
      <w:r w:rsidR="00707782">
        <w:t>9,7</w:t>
      </w:r>
      <w:r w:rsidR="007C110D">
        <w:t>00 older adults and people with disabilities direct</w:t>
      </w:r>
      <w:r w:rsidR="0018108D">
        <w:t>ed</w:t>
      </w:r>
      <w:r w:rsidR="007C110D">
        <w:t xml:space="preserve"> their own long-term care services through public programs in </w:t>
      </w:r>
      <w:r w:rsidR="004E7A2B">
        <w:t>Iowa</w:t>
      </w:r>
      <w:r w:rsidR="0018108D">
        <w:t xml:space="preserve">—up from </w:t>
      </w:r>
      <w:r w:rsidR="00354CEB">
        <w:t>only</w:t>
      </w:r>
      <w:r w:rsidR="0018108D">
        <w:t xml:space="preserve"> 3,000 in 2011</w:t>
      </w:r>
      <w:r w:rsidR="007C110D">
        <w:t>.</w:t>
      </w:r>
      <w:r w:rsidR="00B249CE" w:rsidRPr="1CF09CD0">
        <w:rPr>
          <w:rStyle w:val="EndnoteReference"/>
        </w:rPr>
        <w:endnoteReference w:id="27"/>
      </w:r>
      <w:r w:rsidR="007C110D">
        <w:t xml:space="preserve"> Self-direction, which allows consumers to hire </w:t>
      </w:r>
      <w:r w:rsidR="00BE5D87">
        <w:t xml:space="preserve">their own </w:t>
      </w:r>
      <w:r w:rsidR="000A397E">
        <w:t xml:space="preserve">workers (including </w:t>
      </w:r>
      <w:r w:rsidR="007C110D">
        <w:t>family members</w:t>
      </w:r>
      <w:r>
        <w:t xml:space="preserve"> and friends</w:t>
      </w:r>
      <w:r w:rsidR="000A397E">
        <w:t>)</w:t>
      </w:r>
      <w:r w:rsidR="007C110D">
        <w:t>, is preferred by many consumers and</w:t>
      </w:r>
      <w:r>
        <w:t xml:space="preserve"> is</w:t>
      </w:r>
      <w:r w:rsidR="007C110D">
        <w:t xml:space="preserve"> a cost-effective policy option that is </w:t>
      </w:r>
      <w:r w:rsidR="00893FC9">
        <w:t>especially</w:t>
      </w:r>
      <w:r w:rsidR="007C110D">
        <w:t xml:space="preserve"> appropriate for rural areas. However, given </w:t>
      </w:r>
      <w:r w:rsidR="004E7A2B">
        <w:t>Iowa</w:t>
      </w:r>
      <w:r w:rsidR="00841B26">
        <w:t>’s</w:t>
      </w:r>
      <w:r w:rsidR="007C110D">
        <w:t xml:space="preserve"> dwindling labor pool and escalating competition for workers, consumers </w:t>
      </w:r>
      <w:r w:rsidR="00893FC9">
        <w:t>often</w:t>
      </w:r>
      <w:r w:rsidR="007C110D">
        <w:t xml:space="preserve"> struggle to secure the support they need. At the same time, “independent providers” (i.e., direct service workers hired through consumer-directed programs) often cannot find sufficient hours to make a living</w:t>
      </w:r>
      <w:r w:rsidR="00141881">
        <w:t>,</w:t>
      </w:r>
      <w:r w:rsidR="007C110D">
        <w:t xml:space="preserve"> or </w:t>
      </w:r>
      <w:r w:rsidR="00A858E0">
        <w:t xml:space="preserve">leave </w:t>
      </w:r>
      <w:r w:rsidR="000719F2">
        <w:t>the</w:t>
      </w:r>
      <w:r w:rsidR="007C110D">
        <w:t xml:space="preserve"> workforce when </w:t>
      </w:r>
      <w:r w:rsidR="00A858E0">
        <w:t>a given contract ends</w:t>
      </w:r>
      <w:r>
        <w:t>—</w:t>
      </w:r>
      <w:r w:rsidR="000719F2">
        <w:t>which threatens</w:t>
      </w:r>
      <w:r w:rsidR="007C110D">
        <w:t xml:space="preserve"> the size and stability of the </w:t>
      </w:r>
      <w:r>
        <w:t xml:space="preserve">overall </w:t>
      </w:r>
      <w:r w:rsidR="007C110D">
        <w:t>workforce</w:t>
      </w:r>
      <w:r w:rsidR="00FF054E">
        <w:t xml:space="preserve">. </w:t>
      </w:r>
    </w:p>
    <w:tbl>
      <w:tblPr>
        <w:tblStyle w:val="TableGridLight"/>
        <w:tblpPr w:leftFromText="180" w:rightFromText="180" w:vertAnchor="text" w:horzAnchor="margin" w:tblpXSpec="right" w:tblpY="240"/>
        <w:tblW w:w="0" w:type="auto"/>
        <w:jc w:val="right"/>
        <w:tblLook w:val="04A0" w:firstRow="1" w:lastRow="0" w:firstColumn="1" w:lastColumn="0" w:noHBand="0" w:noVBand="1"/>
        <w:tblCaption w:val="Call-out box example (call-out box header)"/>
        <w:tblDescription w:val="This is an example of a call-out box for box color, line style &amp; color and font style &amp; size. (Call-out Box Text)&#10;• Call-out box bullet &#10;"/>
      </w:tblPr>
      <w:tblGrid>
        <w:gridCol w:w="9293"/>
      </w:tblGrid>
      <w:tr w:rsidR="00FF054E" w14:paraId="19D775C3" w14:textId="77777777" w:rsidTr="00DE598E">
        <w:trPr>
          <w:jc w:val="right"/>
        </w:trPr>
        <w:tc>
          <w:tcPr>
            <w:tcW w:w="9293" w:type="dxa"/>
            <w:tcBorders>
              <w:top w:val="single" w:sz="18" w:space="0" w:color="C4540C"/>
              <w:left w:val="single" w:sz="18" w:space="0" w:color="C4540C"/>
              <w:bottom w:val="single" w:sz="18" w:space="0" w:color="C4540C"/>
              <w:right w:val="single" w:sz="18" w:space="0" w:color="C4540C"/>
            </w:tcBorders>
            <w:shd w:val="clear" w:color="auto" w:fill="F8E7A5"/>
          </w:tcPr>
          <w:p w14:paraId="70BCE62E" w14:textId="323A6495" w:rsidR="00FF054E" w:rsidRPr="00265802" w:rsidRDefault="00FF054E" w:rsidP="00DE598E">
            <w:pPr>
              <w:pStyle w:val="QuoteStatisticText"/>
              <w:spacing w:before="80" w:after="80"/>
            </w:pPr>
            <w:r>
              <w:t>Proposed Strategy:</w:t>
            </w:r>
            <w:r w:rsidR="00026031" w:rsidRPr="159740F7">
              <w:rPr>
                <w:rFonts w:ascii="Calibri" w:eastAsia="Calibri" w:hAnsi="Calibri" w:cs="Calibri"/>
                <w:color w:val="000000" w:themeColor="text1"/>
              </w:rPr>
              <w:t xml:space="preserve"> Launch a statewide matching service registry to connect self-directing consumers and independent providers</w:t>
            </w:r>
            <w:r>
              <w:t>.</w:t>
            </w:r>
          </w:p>
        </w:tc>
      </w:tr>
    </w:tbl>
    <w:p w14:paraId="79CD87D6" w14:textId="77777777" w:rsidR="00FF054E" w:rsidRDefault="00FF054E" w:rsidP="0026016E">
      <w:pPr>
        <w:pStyle w:val="Heading3"/>
        <w:spacing w:before="80" w:after="120"/>
      </w:pPr>
      <w:r>
        <w:t xml:space="preserve">Rationale </w:t>
      </w:r>
    </w:p>
    <w:p w14:paraId="5CE12051" w14:textId="6CFECDD1" w:rsidR="00FF054E" w:rsidRDefault="00A64EBD" w:rsidP="0026016E">
      <w:pPr>
        <w:pStyle w:val="Normal6ptafter"/>
        <w:spacing w:after="240"/>
      </w:pPr>
      <w:r>
        <w:t>Matching service registries are online platforms that enable self-directing consumers and independent providers to find each other based on needs, preferences, and availability.</w:t>
      </w:r>
      <w:r w:rsidR="00027332">
        <w:rPr>
          <w:rStyle w:val="EndnoteReference"/>
        </w:rPr>
        <w:endnoteReference w:id="28"/>
      </w:r>
      <w:r w:rsidR="00027332">
        <w:t xml:space="preserve"> A</w:t>
      </w:r>
      <w:r>
        <w:t xml:space="preserve">s well as facilitating employment relationships, matching service registries can be leveraged to fulfill other workforce-related priorities, such as: outreach and recruitment (to educate consumers about self-direction and bring new workers into the field); data collection (to gather key workforce numbers and characteristics); screening and orientation (to </w:t>
      </w:r>
      <w:r w:rsidR="00B87501">
        <w:t>reduce</w:t>
      </w:r>
      <w:r>
        <w:t xml:space="preserve"> the burden of </w:t>
      </w:r>
      <w:r w:rsidR="00B87501">
        <w:t>these tasks on</w:t>
      </w:r>
      <w:r>
        <w:t xml:space="preserve"> individual consumers); and training (by linking independent providers and consumers to relevant training modules). At least 10 states</w:t>
      </w:r>
      <w:r w:rsidR="00FF014A">
        <w:t xml:space="preserve"> </w:t>
      </w:r>
      <w:r>
        <w:t>offer matching service registries</w:t>
      </w:r>
      <w:r w:rsidR="00FF014A">
        <w:t>,</w:t>
      </w:r>
      <w:r w:rsidR="00B87501">
        <w:t xml:space="preserve"> </w:t>
      </w:r>
      <w:r>
        <w:t>according to recent research</w:t>
      </w:r>
      <w:r w:rsidR="00FF054E">
        <w:t>.</w:t>
      </w:r>
      <w:r w:rsidR="0062733D">
        <w:rPr>
          <w:rStyle w:val="EndnoteReference"/>
        </w:rPr>
        <w:endnoteReference w:id="29"/>
      </w:r>
    </w:p>
    <w:p w14:paraId="43A19BC4" w14:textId="4FF0DFA2" w:rsidR="00FF054E" w:rsidRPr="001225AC" w:rsidRDefault="00FF054E" w:rsidP="0026016E">
      <w:pPr>
        <w:pStyle w:val="Heading3"/>
        <w:spacing w:before="80" w:after="120"/>
      </w:pPr>
      <w:r>
        <w:t xml:space="preserve">Example: </w:t>
      </w:r>
      <w:r w:rsidR="009A03BC">
        <w:t>Minnesota’s Direct Support Connect® Registry</w:t>
      </w:r>
      <w:r w:rsidRPr="001225AC">
        <w:t xml:space="preserve"> </w:t>
      </w:r>
    </w:p>
    <w:p w14:paraId="29E18DF7" w14:textId="527C7D2A" w:rsidR="00FF054E" w:rsidRDefault="00CE36F6" w:rsidP="00FF054E">
      <w:r w:rsidRPr="00CE36F6">
        <w:t>Minnesota hosts a matching service registry that is available to consumers who pay for services out-of-pocket as well as those covered by Medicaid.</w:t>
      </w:r>
      <w:r w:rsidR="00D762CF">
        <w:rPr>
          <w:rStyle w:val="EndnoteReference"/>
        </w:rPr>
        <w:endnoteReference w:id="30"/>
      </w:r>
      <w:r w:rsidR="00D762CF" w:rsidRPr="00CE36F6">
        <w:t xml:space="preserve"> </w:t>
      </w:r>
      <w:r w:rsidRPr="00CE36F6">
        <w:t>The registry is integrated with other state databases, so documentation of workers’ background checks, credentials, and continuing education credits are all seamlessly integrated into their profiles. As of 2019, the site had 1,700 active users.</w:t>
      </w:r>
    </w:p>
    <w:p w14:paraId="4D0FF573" w14:textId="77777777" w:rsidR="00FF054E" w:rsidRDefault="00FF054E" w:rsidP="0026016E">
      <w:pPr>
        <w:pStyle w:val="Heading3"/>
        <w:spacing w:before="80" w:after="120"/>
      </w:pPr>
      <w:r>
        <w:t>Cost Considerations</w:t>
      </w:r>
    </w:p>
    <w:p w14:paraId="4329C354" w14:textId="3B7A579F" w:rsidR="00073933" w:rsidRDefault="00073933" w:rsidP="00073933">
      <w:pPr>
        <w:pStyle w:val="Bullet"/>
        <w:ind w:left="360"/>
      </w:pPr>
      <w:r>
        <w:t xml:space="preserve">Initial funding will be needed for a feasibility study to assess the </w:t>
      </w:r>
      <w:r w:rsidR="00345C2E">
        <w:t>benefits</w:t>
      </w:r>
      <w:r>
        <w:t xml:space="preserve">, risks, logistics, and costs of launching a statewide matching service registry in </w:t>
      </w:r>
      <w:r w:rsidR="004E7A2B">
        <w:t>Iowa</w:t>
      </w:r>
      <w:r>
        <w:t>—with the views of potential registry users (including consumers and workers) meaningfully incorporated</w:t>
      </w:r>
      <w:r w:rsidR="00101516">
        <w:t>.</w:t>
      </w:r>
      <w:r>
        <w:t xml:space="preserve"> </w:t>
      </w:r>
    </w:p>
    <w:p w14:paraId="34374A34" w14:textId="7BF658EA" w:rsidR="00073933" w:rsidRDefault="00073933" w:rsidP="00073933">
      <w:pPr>
        <w:pStyle w:val="Bullet"/>
        <w:ind w:left="360"/>
      </w:pPr>
      <w:r>
        <w:t>The costs of developing and maintaining the matching service registry will include personnel and administration, technology, marketing and outreach, and ongoing technical support costs</w:t>
      </w:r>
      <w:r w:rsidR="00101516">
        <w:t>.</w:t>
      </w:r>
    </w:p>
    <w:p w14:paraId="5E116854" w14:textId="34BE0A7C" w:rsidR="00F83B74" w:rsidRDefault="00073933" w:rsidP="00D04FE1">
      <w:pPr>
        <w:pStyle w:val="Bullet"/>
        <w:spacing w:after="0"/>
        <w:ind w:left="360"/>
      </w:pPr>
      <w:r>
        <w:t>The cost of sustaining the registry could be met in part by extending access to home care agencies and residential care providers for a modest membership fee</w:t>
      </w:r>
      <w:r w:rsidR="00101516">
        <w:t>.</w:t>
      </w:r>
      <w:r w:rsidR="00F83B74">
        <w:br w:type="page"/>
      </w:r>
    </w:p>
    <w:p w14:paraId="2BA1356B" w14:textId="5FFE468B" w:rsidR="005F6A58" w:rsidRDefault="005F6A58" w:rsidP="005F6A58">
      <w:pPr>
        <w:pStyle w:val="Heading2"/>
      </w:pPr>
      <w:r>
        <w:lastRenderedPageBreak/>
        <w:t>Solution</w:t>
      </w:r>
      <w:r w:rsidRPr="00A9000B">
        <w:t xml:space="preserve">: </w:t>
      </w:r>
      <w:r w:rsidR="00B310B0" w:rsidRPr="00B310B0">
        <w:t>Gather Data to Inform Workforce Solutions</w:t>
      </w:r>
    </w:p>
    <w:p w14:paraId="628B1CF7" w14:textId="77777777" w:rsidR="005F6A58" w:rsidRDefault="005F6A58" w:rsidP="0026016E">
      <w:pPr>
        <w:pStyle w:val="Heading3"/>
      </w:pPr>
      <w:r>
        <w:t>The Problem</w:t>
      </w:r>
    </w:p>
    <w:p w14:paraId="0DE31A6F" w14:textId="61EE593A" w:rsidR="005F6A58" w:rsidRDefault="00120DD5" w:rsidP="005F6A58">
      <w:pPr>
        <w:pStyle w:val="Normal6ptafter"/>
        <w:spacing w:after="0"/>
      </w:pPr>
      <w:r>
        <w:t>D</w:t>
      </w:r>
      <w:r w:rsidR="002956FE" w:rsidRPr="002956FE">
        <w:t xml:space="preserve">ata on the direct service workforce in </w:t>
      </w:r>
      <w:r w:rsidR="004E7A2B">
        <w:t>Iowa</w:t>
      </w:r>
      <w:r>
        <w:t xml:space="preserve"> </w:t>
      </w:r>
      <w:r w:rsidR="006667B0">
        <w:t>are</w:t>
      </w:r>
      <w:r w:rsidR="001B6770">
        <w:t xml:space="preserve"> </w:t>
      </w:r>
      <w:r w:rsidR="000039B1">
        <w:t>either missing or siloed within</w:t>
      </w:r>
      <w:r w:rsidR="006667B0">
        <w:t xml:space="preserve"> individual</w:t>
      </w:r>
      <w:r w:rsidR="000039B1">
        <w:t xml:space="preserve"> state agencies</w:t>
      </w:r>
      <w:r w:rsidR="002956FE" w:rsidRPr="002956FE">
        <w:t xml:space="preserve">, which stymies efforts to measure the scope and severity of the workforce shortage, identify workforce </w:t>
      </w:r>
      <w:r w:rsidR="00CF609B">
        <w:t xml:space="preserve">development </w:t>
      </w:r>
      <w:r w:rsidR="002956FE" w:rsidRPr="002956FE">
        <w:t xml:space="preserve">priorities, and implement solutions. </w:t>
      </w:r>
      <w:r w:rsidR="006667B0">
        <w:t xml:space="preserve">Data limitations also </w:t>
      </w:r>
      <w:r w:rsidR="002956FE" w:rsidRPr="002956FE">
        <w:t>make it difficult to evaluate whether state investments in this workforce are achieving their goals and to address any unintended consequences</w:t>
      </w:r>
      <w:r w:rsidR="005F6A58">
        <w:t xml:space="preserve">. </w:t>
      </w:r>
    </w:p>
    <w:tbl>
      <w:tblPr>
        <w:tblStyle w:val="TableGridLight"/>
        <w:tblpPr w:leftFromText="180" w:rightFromText="180" w:vertAnchor="text" w:horzAnchor="margin" w:tblpXSpec="right" w:tblpY="240"/>
        <w:tblW w:w="0" w:type="auto"/>
        <w:jc w:val="right"/>
        <w:tblLook w:val="04A0" w:firstRow="1" w:lastRow="0" w:firstColumn="1" w:lastColumn="0" w:noHBand="0" w:noVBand="1"/>
        <w:tblCaption w:val="Call-out box example (call-out box header)"/>
        <w:tblDescription w:val="This is an example of a call-out box for box color, line style &amp; color and font style &amp; size. (Call-out Box Text)&#10;• Call-out box bullet &#10;"/>
      </w:tblPr>
      <w:tblGrid>
        <w:gridCol w:w="9293"/>
      </w:tblGrid>
      <w:tr w:rsidR="005F6A58" w14:paraId="44F8EBE8" w14:textId="77777777" w:rsidTr="00DE598E">
        <w:trPr>
          <w:jc w:val="right"/>
        </w:trPr>
        <w:tc>
          <w:tcPr>
            <w:tcW w:w="9293" w:type="dxa"/>
            <w:tcBorders>
              <w:top w:val="single" w:sz="18" w:space="0" w:color="C4540C"/>
              <w:left w:val="single" w:sz="18" w:space="0" w:color="C4540C"/>
              <w:bottom w:val="single" w:sz="18" w:space="0" w:color="C4540C"/>
              <w:right w:val="single" w:sz="18" w:space="0" w:color="C4540C"/>
            </w:tcBorders>
            <w:shd w:val="clear" w:color="auto" w:fill="F8E7A5"/>
          </w:tcPr>
          <w:p w14:paraId="5C79BA9C" w14:textId="61E8C4E6" w:rsidR="005F6A58" w:rsidRPr="00265802" w:rsidRDefault="005F6A58" w:rsidP="00DE598E">
            <w:pPr>
              <w:pStyle w:val="QuoteStatisticText"/>
              <w:spacing w:before="80" w:after="80"/>
            </w:pPr>
            <w:r>
              <w:t>Proposed Strategy:</w:t>
            </w:r>
            <w:r w:rsidRPr="159740F7">
              <w:rPr>
                <w:rFonts w:ascii="Calibri" w:eastAsia="Calibri" w:hAnsi="Calibri" w:cs="Calibri"/>
                <w:color w:val="000000" w:themeColor="text1"/>
              </w:rPr>
              <w:t xml:space="preserve"> </w:t>
            </w:r>
            <w:r w:rsidR="00CA6FDF" w:rsidRPr="00D95C34">
              <w:t>Establish a system for tracking direct service workforce volume and stability, job quality, and employment patterns across settings and employment models</w:t>
            </w:r>
            <w:r>
              <w:t>.</w:t>
            </w:r>
          </w:p>
        </w:tc>
      </w:tr>
    </w:tbl>
    <w:p w14:paraId="1C7EF914" w14:textId="77777777" w:rsidR="005F6A58" w:rsidRDefault="005F6A58" w:rsidP="0026016E">
      <w:pPr>
        <w:pStyle w:val="Heading3"/>
        <w:spacing w:before="80" w:after="120"/>
      </w:pPr>
      <w:r>
        <w:t xml:space="preserve">Rationale </w:t>
      </w:r>
    </w:p>
    <w:p w14:paraId="4E2626EB" w14:textId="0CDA8D20" w:rsidR="005F6A58" w:rsidRDefault="00C95414" w:rsidP="0026016E">
      <w:pPr>
        <w:pStyle w:val="Normal6ptafter"/>
        <w:spacing w:after="240"/>
      </w:pPr>
      <w:r w:rsidRPr="372F343C">
        <w:t xml:space="preserve">State leaders, providers, and other stakeholders in </w:t>
      </w:r>
      <w:r w:rsidR="004E7A2B">
        <w:t>Iowa</w:t>
      </w:r>
      <w:r w:rsidRPr="372F343C">
        <w:t xml:space="preserve"> need </w:t>
      </w:r>
      <w:r>
        <w:t>better information</w:t>
      </w:r>
      <w:r w:rsidRPr="372F343C">
        <w:t xml:space="preserve"> on the direct </w:t>
      </w:r>
      <w:r w:rsidR="00DB250E">
        <w:t>service</w:t>
      </w:r>
      <w:r w:rsidRPr="372F343C">
        <w:t xml:space="preserve"> workforce to make data-driven decisions about workforce policies and practices. As recommended </w:t>
      </w:r>
      <w:r>
        <w:t xml:space="preserve">more than </w:t>
      </w:r>
      <w:r w:rsidRPr="372F343C">
        <w:t>a decade ago, elements of a state</w:t>
      </w:r>
      <w:r>
        <w:t>-level</w:t>
      </w:r>
      <w:r w:rsidRPr="372F343C">
        <w:t xml:space="preserve"> minimum data set on this workforce should include </w:t>
      </w:r>
      <w:r w:rsidRPr="00632D40">
        <w:rPr>
          <w:i/>
          <w:iCs/>
        </w:rPr>
        <w:t>volume</w:t>
      </w:r>
      <w:r w:rsidRPr="372F343C">
        <w:t xml:space="preserve"> (including the number of currently employed direct service workers by setting, job title, and full- or part-time status); </w:t>
      </w:r>
      <w:r w:rsidRPr="00632D40">
        <w:rPr>
          <w:i/>
          <w:iCs/>
        </w:rPr>
        <w:t>stability</w:t>
      </w:r>
      <w:r w:rsidRPr="372F343C">
        <w:t xml:space="preserve"> (including </w:t>
      </w:r>
      <w:r>
        <w:t xml:space="preserve">time-to-hire, </w:t>
      </w:r>
      <w:r w:rsidRPr="372F343C">
        <w:t>turnover</w:t>
      </w:r>
      <w:r>
        <w:t xml:space="preserve">, and </w:t>
      </w:r>
      <w:r w:rsidRPr="372F343C">
        <w:t xml:space="preserve">job vacancy rates); and </w:t>
      </w:r>
      <w:r w:rsidRPr="00632D40">
        <w:rPr>
          <w:i/>
          <w:iCs/>
        </w:rPr>
        <w:t>compensation</w:t>
      </w:r>
      <w:r w:rsidRPr="372F343C">
        <w:t xml:space="preserve"> (including </w:t>
      </w:r>
      <w:r w:rsidR="007F3C24">
        <w:t>median</w:t>
      </w:r>
      <w:r w:rsidRPr="372F343C">
        <w:t xml:space="preserve"> wages, health insurance coverage rates, and paid leave access).</w:t>
      </w:r>
      <w:r w:rsidR="00920CAC" w:rsidRPr="372F343C">
        <w:rPr>
          <w:rStyle w:val="EndnoteReference"/>
        </w:rPr>
        <w:endnoteReference w:id="31"/>
      </w:r>
      <w:r w:rsidRPr="372F343C">
        <w:t xml:space="preserve"> Data on workers’ training and credentials across setting</w:t>
      </w:r>
      <w:r>
        <w:t>s</w:t>
      </w:r>
      <w:r w:rsidRPr="372F343C">
        <w:t xml:space="preserve"> and job title</w:t>
      </w:r>
      <w:r>
        <w:t>s</w:t>
      </w:r>
      <w:r w:rsidRPr="372F343C">
        <w:t xml:space="preserve"> would also be helpful. </w:t>
      </w:r>
      <w:r w:rsidR="00795760">
        <w:t xml:space="preserve">Establishing a new workforce </w:t>
      </w:r>
      <w:r w:rsidRPr="372F343C">
        <w:t xml:space="preserve">data </w:t>
      </w:r>
      <w:r w:rsidR="00795760">
        <w:t xml:space="preserve">system </w:t>
      </w:r>
      <w:r w:rsidRPr="372F343C">
        <w:t xml:space="preserve">will require </w:t>
      </w:r>
      <w:r>
        <w:t xml:space="preserve">substantial and </w:t>
      </w:r>
      <w:r w:rsidRPr="372F343C">
        <w:t>sustained collaboration among state agencies and providers</w:t>
      </w:r>
      <w:r>
        <w:t>, and e</w:t>
      </w:r>
      <w:r w:rsidRPr="372F343C">
        <w:t xml:space="preserve">very effort should be taken to </w:t>
      </w:r>
      <w:r>
        <w:t xml:space="preserve">build on existing </w:t>
      </w:r>
      <w:r w:rsidR="003A4989">
        <w:t xml:space="preserve">systems </w:t>
      </w:r>
      <w:r>
        <w:t xml:space="preserve">in order to </w:t>
      </w:r>
      <w:r w:rsidRPr="372F343C">
        <w:t>minimize</w:t>
      </w:r>
      <w:r w:rsidR="003A4989">
        <w:t xml:space="preserve"> </w:t>
      </w:r>
      <w:r w:rsidRPr="372F343C">
        <w:t xml:space="preserve">administrative effort at </w:t>
      </w:r>
      <w:r w:rsidR="00101516">
        <w:t>all</w:t>
      </w:r>
      <w:r w:rsidR="00101516" w:rsidRPr="372F343C">
        <w:t xml:space="preserve"> </w:t>
      </w:r>
      <w:r w:rsidRPr="372F343C">
        <w:t>level</w:t>
      </w:r>
      <w:r w:rsidR="00101516">
        <w:t>s</w:t>
      </w:r>
      <w:r w:rsidR="005F6A58">
        <w:t>.</w:t>
      </w:r>
    </w:p>
    <w:p w14:paraId="28AFD71F" w14:textId="100DE9D5" w:rsidR="005F6A58" w:rsidRPr="001225AC" w:rsidRDefault="005F6A58" w:rsidP="0026016E">
      <w:pPr>
        <w:pStyle w:val="Heading3"/>
        <w:spacing w:before="80" w:after="120"/>
      </w:pPr>
      <w:r>
        <w:t xml:space="preserve">Example: </w:t>
      </w:r>
      <w:r w:rsidR="00B73B1C">
        <w:t>Workforce Reporting Requirements in Texas</w:t>
      </w:r>
      <w:r w:rsidRPr="001225AC">
        <w:t xml:space="preserve"> </w:t>
      </w:r>
    </w:p>
    <w:p w14:paraId="7CDC7A41" w14:textId="787EF2FC" w:rsidR="005F6A58" w:rsidRDefault="00B73B1C" w:rsidP="005F6A58">
      <w:r w:rsidRPr="00B73B1C">
        <w:t>Since 2018, Texas has required long-term care providers to submit data on the size, stability, and compensation of their employees according to job title through mandatory cost report surveys.</w:t>
      </w:r>
      <w:r w:rsidR="00E558DA">
        <w:rPr>
          <w:rStyle w:val="EndnoteReference"/>
        </w:rPr>
        <w:endnoteReference w:id="32"/>
      </w:r>
      <w:r w:rsidRPr="00B73B1C">
        <w:t xml:space="preserve">  These data provided valuable information to the state about workforce variations across programs, job titles, and regions. The data also shed light on trends over time, such as the relationship between changing wage levels and turnover rates</w:t>
      </w:r>
      <w:r w:rsidR="005F6A58" w:rsidRPr="00CE36F6">
        <w:t>.</w:t>
      </w:r>
    </w:p>
    <w:p w14:paraId="314B0015" w14:textId="77777777" w:rsidR="005F6A58" w:rsidRDefault="005F6A58" w:rsidP="0026016E">
      <w:pPr>
        <w:pStyle w:val="Heading3"/>
        <w:spacing w:before="80" w:after="120"/>
      </w:pPr>
      <w:r>
        <w:t>Cost Considerations</w:t>
      </w:r>
    </w:p>
    <w:p w14:paraId="150653FF" w14:textId="189DD9BA" w:rsidR="00C41566" w:rsidRPr="004B76A8" w:rsidRDefault="00C41566" w:rsidP="00C41566">
      <w:pPr>
        <w:pStyle w:val="Bullet"/>
        <w:ind w:left="360"/>
        <w:rPr>
          <w:i/>
          <w:iCs/>
        </w:rPr>
      </w:pPr>
      <w:r w:rsidRPr="004B76A8">
        <w:t xml:space="preserve">Funding will be needed to develop and implement a statewide </w:t>
      </w:r>
      <w:r w:rsidR="0076169F">
        <w:t xml:space="preserve">direct service workforce </w:t>
      </w:r>
      <w:r w:rsidRPr="004B76A8">
        <w:t>data collection system, including funds for planning, personnel, and technology</w:t>
      </w:r>
      <w:r w:rsidR="00101516">
        <w:t>.</w:t>
      </w:r>
      <w:r w:rsidRPr="004B76A8">
        <w:t xml:space="preserve"> </w:t>
      </w:r>
    </w:p>
    <w:p w14:paraId="2ED11C47" w14:textId="70CE83D2" w:rsidR="00C41566" w:rsidRPr="004B76A8" w:rsidRDefault="00C41566" w:rsidP="00C41566">
      <w:pPr>
        <w:pStyle w:val="Bullet"/>
        <w:ind w:left="360"/>
        <w:rPr>
          <w:i/>
          <w:iCs/>
        </w:rPr>
      </w:pPr>
      <w:r w:rsidRPr="004B76A8">
        <w:t xml:space="preserve">Grants should be provided to </w:t>
      </w:r>
      <w:r>
        <w:t>long-term care providers</w:t>
      </w:r>
      <w:r w:rsidRPr="004B76A8">
        <w:t xml:space="preserve"> to develop the infrastructure (including technological and human resource capacity)</w:t>
      </w:r>
      <w:r w:rsidR="003C5F37">
        <w:t xml:space="preserve"> that they need</w:t>
      </w:r>
      <w:r w:rsidRPr="004B76A8">
        <w:t xml:space="preserve"> to collect and report workforce data</w:t>
      </w:r>
      <w:r w:rsidR="00101516">
        <w:t>.</w:t>
      </w:r>
    </w:p>
    <w:p w14:paraId="2736A3F0" w14:textId="29814EBD" w:rsidR="00F83B74" w:rsidRDefault="00C41566" w:rsidP="00C41566">
      <w:pPr>
        <w:pStyle w:val="Bullet"/>
        <w:ind w:left="360"/>
      </w:pPr>
      <w:r w:rsidRPr="004B76A8">
        <w:t xml:space="preserve">Recurring funding will be needed </w:t>
      </w:r>
      <w:r>
        <w:t xml:space="preserve">to cover </w:t>
      </w:r>
      <w:r w:rsidRPr="004B76A8">
        <w:t>ongoing administration and maintenance costs, including the</w:t>
      </w:r>
      <w:r>
        <w:t xml:space="preserve"> costs of</w:t>
      </w:r>
      <w:r w:rsidRPr="004B76A8">
        <w:t xml:space="preserve"> </w:t>
      </w:r>
      <w:r>
        <w:t xml:space="preserve">regularly </w:t>
      </w:r>
      <w:r w:rsidRPr="004B76A8">
        <w:t xml:space="preserve">reporting </w:t>
      </w:r>
      <w:r>
        <w:t>the data</w:t>
      </w:r>
      <w:r w:rsidRPr="004B76A8">
        <w:t xml:space="preserve"> through online dashboards</w:t>
      </w:r>
      <w:r w:rsidR="0076169F">
        <w:t>,</w:t>
      </w:r>
      <w:r w:rsidRPr="004B76A8">
        <w:t xml:space="preserve"> public reports</w:t>
      </w:r>
      <w:r w:rsidR="0076169F">
        <w:t>, and/or other reporting mechanisms</w:t>
      </w:r>
      <w:r w:rsidR="00101516">
        <w:t>.</w:t>
      </w:r>
      <w:r w:rsidRPr="004B76A8">
        <w:t xml:space="preserve"> </w:t>
      </w:r>
    </w:p>
    <w:p w14:paraId="2D7840B2" w14:textId="77777777" w:rsidR="00F83B74" w:rsidRDefault="00F83B74">
      <w:pPr>
        <w:spacing w:after="0"/>
      </w:pPr>
      <w:r>
        <w:br w:type="page"/>
      </w:r>
    </w:p>
    <w:p w14:paraId="0584DEF5" w14:textId="05C8361E" w:rsidR="00E918D4" w:rsidRDefault="00F83B74" w:rsidP="0081316A">
      <w:pPr>
        <w:pStyle w:val="Heading2"/>
      </w:pPr>
      <w:r>
        <w:lastRenderedPageBreak/>
        <w:t>N</w:t>
      </w:r>
      <w:r w:rsidR="0081316A">
        <w:t>otes</w:t>
      </w:r>
    </w:p>
    <w:sectPr w:rsidR="00E918D4" w:rsidSect="00760F96">
      <w:headerReference w:type="default" r:id="rId11"/>
      <w:footerReference w:type="default" r:id="rId12"/>
      <w:headerReference w:type="first" r:id="rId13"/>
      <w:footerReference w:type="first" r:id="rId14"/>
      <w:footnotePr>
        <w:numFmt w:val="lowerRoman"/>
      </w:footnotePr>
      <w:endnotePr>
        <w:numFmt w:val="decimal"/>
      </w:endnotePr>
      <w:pgSz w:w="12240" w:h="15840" w:code="1"/>
      <w:pgMar w:top="1440" w:right="1440" w:bottom="1440" w:left="1440" w:header="720" w:footer="50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3F577" w14:textId="77777777" w:rsidR="003D54BD" w:rsidRPr="00203666" w:rsidRDefault="003D54BD" w:rsidP="00203666">
      <w:pPr>
        <w:pStyle w:val="Footer"/>
      </w:pPr>
    </w:p>
  </w:endnote>
  <w:endnote w:type="continuationSeparator" w:id="0">
    <w:p w14:paraId="299E55FC" w14:textId="77777777" w:rsidR="003D54BD" w:rsidRDefault="003D54BD" w:rsidP="00D721B6">
      <w:r>
        <w:continuationSeparator/>
      </w:r>
    </w:p>
  </w:endnote>
  <w:endnote w:type="continuationNotice" w:id="1">
    <w:p w14:paraId="7843E2A8" w14:textId="77777777" w:rsidR="003D54BD" w:rsidRPr="00203666" w:rsidRDefault="003D54BD" w:rsidP="00203666">
      <w:pPr>
        <w:pStyle w:val="Footer"/>
      </w:pPr>
    </w:p>
  </w:endnote>
  <w:endnote w:id="2">
    <w:p w14:paraId="208DDB53" w14:textId="2930DF7D" w:rsidR="00E207C9" w:rsidRPr="00B3277F" w:rsidRDefault="00E207C9" w:rsidP="00E207C9">
      <w:pPr>
        <w:pStyle w:val="EndnoteText"/>
      </w:pPr>
      <w:r w:rsidRPr="00B3277F">
        <w:rPr>
          <w:rStyle w:val="EndnoteReference"/>
        </w:rPr>
        <w:endnoteRef/>
      </w:r>
      <w:r w:rsidRPr="00B3277F">
        <w:t xml:space="preserve"> </w:t>
      </w:r>
      <w:r w:rsidR="00B3277F" w:rsidRPr="00B3277F">
        <w:t xml:space="preserve">U.S. Bureau of Labor Statistics (BLS), Division of Occupational Employment and Wage Statistics (OEWS). 2021. </w:t>
      </w:r>
      <w:r w:rsidR="00B3277F" w:rsidRPr="00B3277F">
        <w:rPr>
          <w:i/>
          <w:iCs/>
        </w:rPr>
        <w:t>May 2010 to May 2020 National State Occupational Employment and Wage Estimates</w:t>
      </w:r>
      <w:r w:rsidR="00B3277F" w:rsidRPr="00B3277F">
        <w:t xml:space="preserve">. </w:t>
      </w:r>
      <w:hyperlink r:id="rId1" w:history="1">
        <w:r w:rsidR="00B3277F" w:rsidRPr="00B3277F">
          <w:rPr>
            <w:rStyle w:val="Hyperlink"/>
          </w:rPr>
          <w:t>https://www.bls.gov/oes/current/oes_nat.htm</w:t>
        </w:r>
      </w:hyperlink>
      <w:r w:rsidR="00B3277F" w:rsidRPr="00B3277F">
        <w:t>; analysis by PHI (August 2021).</w:t>
      </w:r>
    </w:p>
  </w:endnote>
  <w:endnote w:id="3">
    <w:p w14:paraId="422A84CB" w14:textId="3122D617" w:rsidR="0002211A" w:rsidRPr="00B3277F" w:rsidRDefault="0002211A" w:rsidP="0002211A">
      <w:pPr>
        <w:pStyle w:val="EndnoteText"/>
      </w:pPr>
      <w:r w:rsidRPr="00B3277F">
        <w:rPr>
          <w:rStyle w:val="EndnoteReference"/>
        </w:rPr>
        <w:endnoteRef/>
      </w:r>
      <w:r w:rsidRPr="00B3277F">
        <w:t xml:space="preserve"> </w:t>
      </w:r>
      <w:r w:rsidR="00B3277F" w:rsidRPr="00B3277F">
        <w:t xml:space="preserve">Projections Central. 2020. </w:t>
      </w:r>
      <w:r w:rsidR="00B3277F" w:rsidRPr="00B3277F">
        <w:rPr>
          <w:i/>
          <w:iCs/>
        </w:rPr>
        <w:t xml:space="preserve">Long Term Occupational Projections (2018-2028). </w:t>
      </w:r>
      <w:hyperlink r:id="rId2" w:history="1">
        <w:r w:rsidR="00B3277F" w:rsidRPr="009A1F94">
          <w:rPr>
            <w:rStyle w:val="Hyperlink"/>
          </w:rPr>
          <w:t>https://www.projectionscentral.com/Projections/LongTerm</w:t>
        </w:r>
      </w:hyperlink>
      <w:r w:rsidR="00B3277F" w:rsidRPr="009A1F94">
        <w:t>.</w:t>
      </w:r>
    </w:p>
  </w:endnote>
  <w:endnote w:id="4">
    <w:p w14:paraId="3C080F02" w14:textId="0F9E93DD" w:rsidR="00C921B4" w:rsidRPr="00B3277F" w:rsidRDefault="00C921B4" w:rsidP="00C921B4">
      <w:pPr>
        <w:pStyle w:val="EndnoteText"/>
      </w:pPr>
      <w:r w:rsidRPr="00B3277F">
        <w:rPr>
          <w:rStyle w:val="EndnoteReference"/>
        </w:rPr>
        <w:endnoteRef/>
      </w:r>
      <w:r w:rsidRPr="00B3277F">
        <w:t xml:space="preserve"> </w:t>
      </w:r>
      <w:r w:rsidR="00B3277F" w:rsidRPr="00B3277F">
        <w:t xml:space="preserve">Weldon Cooper Center for Public Service, Demographic Research Group. 2017. </w:t>
      </w:r>
      <w:r w:rsidR="00B3277F" w:rsidRPr="00B3277F">
        <w:rPr>
          <w:i/>
        </w:rPr>
        <w:t>National Population Projections.</w:t>
      </w:r>
      <w:r w:rsidR="00B3277F" w:rsidRPr="00B3277F">
        <w:t xml:space="preserve"> </w:t>
      </w:r>
      <w:hyperlink r:id="rId3" w:history="1">
        <w:r w:rsidR="00B3277F" w:rsidRPr="00B3277F">
          <w:rPr>
            <w:rStyle w:val="Hyperlink"/>
          </w:rPr>
          <w:t>https://demographics.coopercenter.org/national-population-projections</w:t>
        </w:r>
      </w:hyperlink>
      <w:r w:rsidR="00B3277F" w:rsidRPr="00B3277F">
        <w:t>; analysis by PHI (August 2021).</w:t>
      </w:r>
    </w:p>
  </w:endnote>
  <w:endnote w:id="5">
    <w:p w14:paraId="5F6AF977" w14:textId="10419296" w:rsidR="00863A51" w:rsidRPr="00B3277F" w:rsidRDefault="00863A51" w:rsidP="00863A51">
      <w:pPr>
        <w:pStyle w:val="EndnoteText"/>
      </w:pPr>
      <w:r w:rsidRPr="00B3277F">
        <w:rPr>
          <w:rStyle w:val="EndnoteReference"/>
        </w:rPr>
        <w:endnoteRef/>
      </w:r>
      <w:r w:rsidRPr="00B3277F">
        <w:t xml:space="preserve"> AARP, The Commonwealth Fund, and the SCAN Foundation. “Long-Term Services &amp; Supports State Scorecard: </w:t>
      </w:r>
      <w:r w:rsidR="00FC6036" w:rsidRPr="00B3277F">
        <w:t>Iowa</w:t>
      </w:r>
      <w:r w:rsidRPr="00B3277F">
        <w:t xml:space="preserve">.” Accessed 8/30/21. </w:t>
      </w:r>
      <w:hyperlink r:id="rId4" w:history="1">
        <w:r w:rsidRPr="00101516">
          <w:rPr>
            <w:rStyle w:val="Hyperlink"/>
          </w:rPr>
          <w:t>https://www.longtermscorecard.org/databystate/state?state=</w:t>
        </w:r>
        <w:r w:rsidR="00FC6036" w:rsidRPr="00101516">
          <w:rPr>
            <w:rStyle w:val="Hyperlink"/>
          </w:rPr>
          <w:t>IA</w:t>
        </w:r>
      </w:hyperlink>
      <w:r w:rsidR="00101516">
        <w:t>.</w:t>
      </w:r>
    </w:p>
  </w:endnote>
  <w:endnote w:id="6">
    <w:p w14:paraId="45F5FF49" w14:textId="7C6CCF7B" w:rsidR="0021320D" w:rsidRPr="00B3277F" w:rsidRDefault="0021320D" w:rsidP="0021320D">
      <w:pPr>
        <w:pStyle w:val="EndnoteText"/>
      </w:pPr>
      <w:r w:rsidRPr="00B3277F">
        <w:rPr>
          <w:rStyle w:val="EndnoteReference"/>
        </w:rPr>
        <w:endnoteRef/>
      </w:r>
      <w:r w:rsidRPr="00B3277F">
        <w:t xml:space="preserve"> Projections Central</w:t>
      </w:r>
      <w:r w:rsidR="00B3277F" w:rsidRPr="00B3277F">
        <w:t>, 2020.</w:t>
      </w:r>
    </w:p>
  </w:endnote>
  <w:endnote w:id="7">
    <w:p w14:paraId="19C66BF3" w14:textId="27464AEC" w:rsidR="004E1BC9" w:rsidRPr="00B3277F" w:rsidRDefault="004E1BC9" w:rsidP="004E1BC9">
      <w:pPr>
        <w:pStyle w:val="EndnoteText"/>
      </w:pPr>
      <w:r w:rsidRPr="00B3277F">
        <w:rPr>
          <w:rStyle w:val="EndnoteReference"/>
        </w:rPr>
        <w:endnoteRef/>
      </w:r>
      <w:r w:rsidRPr="00B3277F">
        <w:t xml:space="preserve"> </w:t>
      </w:r>
      <w:r w:rsidR="00B3277F" w:rsidRPr="00B3277F">
        <w:t>BLS OEWS, 2021.</w:t>
      </w:r>
    </w:p>
  </w:endnote>
  <w:endnote w:id="8">
    <w:p w14:paraId="3E80D696" w14:textId="56A7B9CA" w:rsidR="00A33133" w:rsidRPr="00B3277F" w:rsidRDefault="00A33133" w:rsidP="00A33133">
      <w:pPr>
        <w:pStyle w:val="EndnoteText"/>
      </w:pPr>
      <w:r w:rsidRPr="00B3277F">
        <w:rPr>
          <w:rStyle w:val="EndnoteReference"/>
        </w:rPr>
        <w:endnoteRef/>
      </w:r>
      <w:r w:rsidRPr="00B3277F">
        <w:t xml:space="preserve"> </w:t>
      </w:r>
      <w:r w:rsidR="00B3277F" w:rsidRPr="00B3277F">
        <w:t>Ruggles, Steven, Sarah Flood, Sophia Foster, Ronald Goeken, Jose Pacas, Megan Schouweiler, and Matthew Sobek. 2021. IPUMS USA: Version 11.0. https://doi.org/10.18128/D010.V11.0; analysis by PHI (August 2021).</w:t>
      </w:r>
    </w:p>
  </w:endnote>
  <w:endnote w:id="9">
    <w:p w14:paraId="6CC048BC" w14:textId="2A7ABEFE" w:rsidR="00BC6237" w:rsidRDefault="00BC6237" w:rsidP="00BC6237">
      <w:pPr>
        <w:pStyle w:val="EndnoteText"/>
      </w:pPr>
      <w:r w:rsidRPr="00B3277F">
        <w:rPr>
          <w:rStyle w:val="EndnoteReference"/>
        </w:rPr>
        <w:endnoteRef/>
      </w:r>
      <w:r w:rsidRPr="00B3277F">
        <w:t xml:space="preserve"> </w:t>
      </w:r>
      <w:r w:rsidR="00B3277F" w:rsidRPr="00B3277F">
        <w:t xml:space="preserve">BLS OEWS, 2021; O*NET. 2021. </w:t>
      </w:r>
      <w:r w:rsidR="00B3277F" w:rsidRPr="00B3277F">
        <w:rPr>
          <w:i/>
          <w:iCs/>
        </w:rPr>
        <w:t>O*NET 25.3 Database</w:t>
      </w:r>
      <w:r w:rsidR="00B3277F" w:rsidRPr="00B3277F">
        <w:t xml:space="preserve">. </w:t>
      </w:r>
      <w:hyperlink r:id="rId5" w:anchor="all-files" w:history="1">
        <w:r w:rsidR="00B3277F" w:rsidRPr="00101516">
          <w:rPr>
            <w:rStyle w:val="Hyperlink"/>
          </w:rPr>
          <w:t>https://www.onetcenter.org/database.html#all-files</w:t>
        </w:r>
      </w:hyperlink>
      <w:r w:rsidR="00B3277F" w:rsidRPr="00B3277F">
        <w:t>; analysis by PHI (August 2021).</w:t>
      </w:r>
    </w:p>
  </w:endnote>
  <w:endnote w:id="10">
    <w:p w14:paraId="2EF954F2" w14:textId="48C70055" w:rsidR="00C54E4E" w:rsidRPr="007024BE" w:rsidRDefault="00C54E4E" w:rsidP="00C54E4E">
      <w:pPr>
        <w:pStyle w:val="QuoteStatisticText"/>
        <w:rPr>
          <w:rFonts w:ascii="Times New Roman" w:hAnsi="Times New Roman" w:cs="Times New Roman"/>
          <w:b w:val="0"/>
          <w:bCs/>
          <w:sz w:val="20"/>
          <w:szCs w:val="20"/>
        </w:rPr>
      </w:pPr>
      <w:r w:rsidRPr="007024BE">
        <w:rPr>
          <w:rStyle w:val="EndnoteReference"/>
          <w:rFonts w:cs="Times New Roman"/>
          <w:b w:val="0"/>
          <w:bCs/>
          <w:sz w:val="20"/>
          <w:szCs w:val="20"/>
        </w:rPr>
        <w:endnoteRef/>
      </w:r>
      <w:r w:rsidRPr="007024BE">
        <w:rPr>
          <w:rFonts w:ascii="Times New Roman" w:hAnsi="Times New Roman" w:cs="Times New Roman"/>
          <w:b w:val="0"/>
          <w:bCs/>
          <w:sz w:val="20"/>
          <w:szCs w:val="20"/>
        </w:rPr>
        <w:t xml:space="preserve"> </w:t>
      </w:r>
      <w:r w:rsidR="004F3D21" w:rsidRPr="00DA2C3D">
        <w:rPr>
          <w:rFonts w:ascii="Times New Roman" w:hAnsi="Times New Roman" w:cs="Times New Roman"/>
          <w:b w:val="0"/>
          <w:sz w:val="20"/>
          <w:szCs w:val="20"/>
        </w:rPr>
        <w:t xml:space="preserve">Kaiser Family Foundation. “Medicaid in </w:t>
      </w:r>
      <w:r w:rsidR="004F3D21">
        <w:rPr>
          <w:rFonts w:ascii="Times New Roman" w:hAnsi="Times New Roman" w:cs="Times New Roman"/>
          <w:b w:val="0"/>
          <w:sz w:val="20"/>
          <w:szCs w:val="20"/>
        </w:rPr>
        <w:t>Iowa</w:t>
      </w:r>
      <w:r w:rsidR="004F3D21" w:rsidRPr="00DA2C3D">
        <w:rPr>
          <w:rFonts w:ascii="Times New Roman" w:hAnsi="Times New Roman" w:cs="Times New Roman"/>
          <w:b w:val="0"/>
          <w:sz w:val="20"/>
          <w:szCs w:val="20"/>
        </w:rPr>
        <w:t xml:space="preserve">.” Accessed 8/30/21. </w:t>
      </w:r>
      <w:hyperlink r:id="rId6" w:history="1">
        <w:r w:rsidR="004F3D21" w:rsidRPr="00101516">
          <w:rPr>
            <w:rStyle w:val="Hyperlink"/>
            <w:rFonts w:ascii="Times New Roman" w:hAnsi="Times New Roman" w:cs="Times New Roman"/>
            <w:b w:val="0"/>
            <w:sz w:val="20"/>
            <w:szCs w:val="20"/>
          </w:rPr>
          <w:t>https://files.kff.org/attachment/fact-sheet-medicaid-state-IA</w:t>
        </w:r>
      </w:hyperlink>
      <w:r w:rsidR="004F3D21" w:rsidRPr="00DA2C3D">
        <w:rPr>
          <w:rFonts w:ascii="Times New Roman" w:hAnsi="Times New Roman" w:cs="Times New Roman"/>
          <w:b w:val="0"/>
          <w:sz w:val="20"/>
          <w:szCs w:val="20"/>
        </w:rPr>
        <w:t>.</w:t>
      </w:r>
    </w:p>
  </w:endnote>
  <w:endnote w:id="11">
    <w:p w14:paraId="4AE12F01" w14:textId="446BA635" w:rsidR="00F24FD0" w:rsidRPr="00F554FA" w:rsidRDefault="00F24FD0" w:rsidP="00F24FD0">
      <w:pPr>
        <w:pStyle w:val="EndnoteText"/>
      </w:pPr>
      <w:r w:rsidRPr="00F554FA">
        <w:rPr>
          <w:rStyle w:val="EndnoteReference"/>
        </w:rPr>
        <w:endnoteRef/>
      </w:r>
      <w:r>
        <w:t xml:space="preserve"> Boushey, Heather and Sarah Jane Glynn. 2012. </w:t>
      </w:r>
      <w:r>
        <w:rPr>
          <w:i/>
          <w:iCs/>
        </w:rPr>
        <w:t>There Are Significant Business Costs to Replacing Employees.</w:t>
      </w:r>
      <w:r>
        <w:t xml:space="preserve"> Washington, DC: Center for American Progress</w:t>
      </w:r>
      <w:r w:rsidR="00101516">
        <w:t xml:space="preserve">. </w:t>
      </w:r>
      <w:hyperlink r:id="rId7" w:history="1">
        <w:r w:rsidR="00101516" w:rsidRPr="00330476">
          <w:rPr>
            <w:rStyle w:val="Hyperlink"/>
          </w:rPr>
          <w:t>https://www.americanprogress.org/wp-content/uploads/2012/11/CostofTurnover.pdf</w:t>
        </w:r>
      </w:hyperlink>
      <w:r w:rsidR="00101516">
        <w:t>.</w:t>
      </w:r>
    </w:p>
  </w:endnote>
  <w:endnote w:id="12">
    <w:p w14:paraId="0C1BBFD0" w14:textId="72AA7D0C" w:rsidR="0062747E" w:rsidRPr="00F554FA" w:rsidRDefault="0062747E" w:rsidP="0062747E">
      <w:pPr>
        <w:pStyle w:val="EndnoteText"/>
      </w:pPr>
      <w:r w:rsidRPr="00F554FA">
        <w:rPr>
          <w:rStyle w:val="EndnoteReference"/>
        </w:rPr>
        <w:endnoteRef/>
      </w:r>
      <w:r w:rsidRPr="00F554FA">
        <w:t xml:space="preserve"> Weller, Christian, Beth Almeida, Marc Cohen, and Robyn Stone. 2020. </w:t>
      </w:r>
      <w:r w:rsidRPr="00614BE0">
        <w:rPr>
          <w:i/>
          <w:iCs/>
        </w:rPr>
        <w:t>Making Care Work Pay: How Paying at Least a Living Wage to Direct Care Workers Could Benefit Care Recipients, Workers, and Communities</w:t>
      </w:r>
      <w:r w:rsidRPr="00F554FA">
        <w:t xml:space="preserve">. Washington, DC: LeadingAge. </w:t>
      </w:r>
      <w:hyperlink r:id="rId8" w:history="1">
        <w:r w:rsidRPr="00F554FA">
          <w:rPr>
            <w:rStyle w:val="Hyperlink"/>
          </w:rPr>
          <w:t>https://leadingage.org/sites/default/files/Making%20Care%20Work%20Pay%20Report.pdf</w:t>
        </w:r>
      </w:hyperlink>
      <w:r w:rsidRPr="00F554FA">
        <w:t xml:space="preserve">; Ruffini, Krista. 2021. </w:t>
      </w:r>
      <w:r w:rsidRPr="00614BE0">
        <w:rPr>
          <w:i/>
          <w:iCs/>
        </w:rPr>
        <w:t>Worker Earnings, Service Quality, and Firm Profitability: Evidence from Nursing Homes and Minimum Wage Reforms</w:t>
      </w:r>
      <w:r w:rsidRPr="00F554FA">
        <w:t xml:space="preserve">. Washington, DC: Washington Center for Equitable Growth. </w:t>
      </w:r>
      <w:hyperlink r:id="rId9" w:history="1">
        <w:r w:rsidRPr="00F554FA">
          <w:rPr>
            <w:rStyle w:val="Hyperlink"/>
          </w:rPr>
          <w:t>https://equitablegrowth.org/working-papers/worker-earnings-service-quality-and-firm-profitability-evidence-from-nursing-homes-and-minimum-wage-reforms/</w:t>
        </w:r>
      </w:hyperlink>
      <w:r w:rsidR="0063009A">
        <w:t>.</w:t>
      </w:r>
    </w:p>
  </w:endnote>
  <w:endnote w:id="13">
    <w:p w14:paraId="7669CAAA" w14:textId="14CAAC68" w:rsidR="00A65066" w:rsidRPr="00F554FA" w:rsidRDefault="00A65066" w:rsidP="00A65066">
      <w:pPr>
        <w:pStyle w:val="EndnoteText"/>
      </w:pPr>
      <w:r w:rsidRPr="00F554FA">
        <w:rPr>
          <w:rStyle w:val="EndnoteReference"/>
        </w:rPr>
        <w:endnoteRef/>
      </w:r>
      <w:r w:rsidRPr="00F554FA">
        <w:t xml:space="preserve"> </w:t>
      </w:r>
      <w:r>
        <w:t>Wisconsin Department of Health Services. “FAQs: Di</w:t>
      </w:r>
      <w:r w:rsidRPr="00F554FA">
        <w:t>rect Care Workforce Funding Initiative</w:t>
      </w:r>
      <w:r>
        <w:t>.” Accessed 8/30/21.</w:t>
      </w:r>
      <w:r w:rsidRPr="00F554FA">
        <w:t xml:space="preserve"> </w:t>
      </w:r>
      <w:hyperlink r:id="rId10" w:history="1">
        <w:r w:rsidRPr="002801F8">
          <w:rPr>
            <w:rStyle w:val="Hyperlink"/>
          </w:rPr>
          <w:t>https://www.dhs.wisconsin.gov/medicaid/ltc-workforce-funding-faq.htm</w:t>
        </w:r>
      </w:hyperlink>
      <w:r w:rsidR="002801F8">
        <w:t>.</w:t>
      </w:r>
      <w:r w:rsidRPr="00733815">
        <w:t xml:space="preserve"> </w:t>
      </w:r>
    </w:p>
  </w:endnote>
  <w:endnote w:id="14">
    <w:p w14:paraId="0FF57E29" w14:textId="77777777" w:rsidR="00870070" w:rsidRPr="00BD3B72" w:rsidRDefault="00870070" w:rsidP="00870070">
      <w:pPr>
        <w:pStyle w:val="EndnoteText"/>
        <w:rPr>
          <w:i/>
          <w:iCs/>
        </w:rPr>
      </w:pPr>
      <w:r w:rsidRPr="00F554FA">
        <w:rPr>
          <w:rStyle w:val="EndnoteReference"/>
        </w:rPr>
        <w:endnoteRef/>
      </w:r>
      <w:r w:rsidRPr="00F554FA">
        <w:t xml:space="preserve"> </w:t>
      </w:r>
      <w:r>
        <w:t xml:space="preserve">McCann, Meghan and Josephine Hauer. 2019. </w:t>
      </w:r>
      <w:r w:rsidRPr="00BD3B72">
        <w:rPr>
          <w:i/>
          <w:iCs/>
        </w:rPr>
        <w:t>Moving on Up: Helping Families Climb the Economic Ladder</w:t>
      </w:r>
    </w:p>
    <w:p w14:paraId="57F5AB1B" w14:textId="186664EC" w:rsidR="00870070" w:rsidRPr="00F554FA" w:rsidRDefault="00870070" w:rsidP="00870070">
      <w:pPr>
        <w:pStyle w:val="EndnoteText"/>
      </w:pPr>
      <w:r w:rsidRPr="00BD3B72">
        <w:rPr>
          <w:i/>
          <w:iCs/>
        </w:rPr>
        <w:t>by Addressing Benefits Cliffs</w:t>
      </w:r>
      <w:r>
        <w:t xml:space="preserve">. Washington, DC: National Conference of State Legislators (NCSL). </w:t>
      </w:r>
      <w:r w:rsidRPr="00F554FA">
        <w:t xml:space="preserve"> </w:t>
      </w:r>
      <w:hyperlink r:id="rId11" w:history="1">
        <w:r w:rsidRPr="00BE7527">
          <w:rPr>
            <w:rStyle w:val="Hyperlink"/>
          </w:rPr>
          <w:t>https://www.ncsl.org/Portals/1/Documents/cyf/Benefits-Cliffs_v03_web.pdf</w:t>
        </w:r>
      </w:hyperlink>
      <w:r>
        <w:rPr>
          <w:rStyle w:val="Hyperlink"/>
        </w:rPr>
        <w:t>.</w:t>
      </w:r>
    </w:p>
  </w:endnote>
  <w:endnote w:id="15">
    <w:p w14:paraId="75B90E30" w14:textId="7C7D9894" w:rsidR="00ED473F" w:rsidRPr="00F554FA" w:rsidRDefault="00ED473F" w:rsidP="00ED473F">
      <w:pPr>
        <w:pStyle w:val="EndnoteText"/>
      </w:pPr>
      <w:r w:rsidRPr="00F554FA">
        <w:rPr>
          <w:rStyle w:val="EndnoteReference"/>
        </w:rPr>
        <w:endnoteRef/>
      </w:r>
      <w:r w:rsidRPr="00F554FA">
        <w:t xml:space="preserve"> </w:t>
      </w:r>
      <w:r w:rsidRPr="00C85EF7">
        <w:t xml:space="preserve">Campbell, Stephen, Angelina Del Rio Drake, Robert Espinoza, and Kezia Scales. 2021. </w:t>
      </w:r>
      <w:r w:rsidRPr="00C85EF7">
        <w:rPr>
          <w:i/>
          <w:iCs/>
        </w:rPr>
        <w:t>Caring for the Future: The Power and Potential of America’s Direct Care Workforce</w:t>
      </w:r>
      <w:r w:rsidRPr="00C85EF7">
        <w:t xml:space="preserve">. Bronx, NY: PHI. </w:t>
      </w:r>
      <w:hyperlink r:id="rId12" w:history="1">
        <w:r w:rsidRPr="002801F8">
          <w:rPr>
            <w:rStyle w:val="Hyperlink"/>
          </w:rPr>
          <w:t>http://phinational.org/caringforthefuture/</w:t>
        </w:r>
      </w:hyperlink>
      <w:r w:rsidRPr="00C85EF7">
        <w:t>.</w:t>
      </w:r>
    </w:p>
  </w:endnote>
  <w:endnote w:id="16">
    <w:p w14:paraId="185E2549" w14:textId="50D6EC53" w:rsidR="009C0B72" w:rsidRDefault="009C0B72" w:rsidP="006A24E8">
      <w:pPr>
        <w:pStyle w:val="EndnoteText"/>
      </w:pPr>
      <w:r w:rsidRPr="21F84B55">
        <w:rPr>
          <w:rStyle w:val="EndnoteReference"/>
        </w:rPr>
        <w:endnoteRef/>
      </w:r>
      <w:r>
        <w:t xml:space="preserve"> </w:t>
      </w:r>
      <w:r w:rsidR="001474DD">
        <w:t>Iowa Care</w:t>
      </w:r>
      <w:r w:rsidR="006A24E8">
        <w:t>G</w:t>
      </w:r>
      <w:r w:rsidR="001474DD">
        <w:t>vers and Iowa Workforce Development. 2019</w:t>
      </w:r>
      <w:r w:rsidR="006A24E8">
        <w:t xml:space="preserve">. “Direct Care Workers of Iowa: 2019 Wage &amp; Benefit Survey.” </w:t>
      </w:r>
      <w:hyperlink r:id="rId13" w:history="1">
        <w:r w:rsidR="006A24E8" w:rsidRPr="006524B9">
          <w:rPr>
            <w:rStyle w:val="Hyperlink"/>
          </w:rPr>
          <w:t>https://iowacaregivers.org/uploads/pdf/2019%20Wage%20&amp;%20Benefit%20Survey%20Final.pdf</w:t>
        </w:r>
      </w:hyperlink>
      <w:r w:rsidR="006A24E8">
        <w:t>.</w:t>
      </w:r>
    </w:p>
  </w:endnote>
  <w:endnote w:id="17">
    <w:p w14:paraId="4C588EFB" w14:textId="05F35159" w:rsidR="006E5AEC" w:rsidRPr="00F554FA" w:rsidRDefault="006E5AEC" w:rsidP="006E5AEC">
      <w:pPr>
        <w:pStyle w:val="EndnoteText"/>
      </w:pPr>
      <w:r w:rsidRPr="00F554FA">
        <w:rPr>
          <w:rStyle w:val="EndnoteReference"/>
        </w:rPr>
        <w:endnoteRef/>
      </w:r>
      <w:r w:rsidRPr="00F554FA">
        <w:t xml:space="preserve"> </w:t>
      </w:r>
      <w:r>
        <w:t>Campbell (McCall), Stephen. 2018</w:t>
      </w:r>
      <w:r w:rsidRPr="0063009A">
        <w:rPr>
          <w:i/>
          <w:iCs/>
        </w:rPr>
        <w:t>. Best Practices in State-Sponsored Personal Care Aide Training Curricula: Lessons from Six States.</w:t>
      </w:r>
      <w:r>
        <w:t xml:space="preserve"> Bronx, NY: PHI. </w:t>
      </w:r>
      <w:hyperlink r:id="rId14" w:history="1">
        <w:r w:rsidRPr="002801F8">
          <w:rPr>
            <w:rStyle w:val="Hyperlink"/>
          </w:rPr>
          <w:t>https://phinational.org/wp-content/uploads/2018/11/State-Sponsored-PCA-Curricula-2018-PHI.pdf</w:t>
        </w:r>
      </w:hyperlink>
      <w:r>
        <w:t>.</w:t>
      </w:r>
    </w:p>
  </w:endnote>
  <w:endnote w:id="18">
    <w:p w14:paraId="77ABC4F5" w14:textId="77777777" w:rsidR="001C4F06" w:rsidRPr="00F554FA" w:rsidRDefault="001C4F06" w:rsidP="001C4F06">
      <w:pPr>
        <w:pStyle w:val="EndnoteText"/>
      </w:pPr>
      <w:r w:rsidRPr="00F554FA">
        <w:rPr>
          <w:rStyle w:val="EndnoteReference"/>
        </w:rPr>
        <w:endnoteRef/>
      </w:r>
      <w:r w:rsidRPr="00F554FA">
        <w:t xml:space="preserve"> </w:t>
      </w:r>
      <w:r>
        <w:t>Campbell et al., 2021.</w:t>
      </w:r>
    </w:p>
  </w:endnote>
  <w:endnote w:id="19">
    <w:p w14:paraId="0ADA36E7" w14:textId="206C50C5" w:rsidR="001E5985" w:rsidRPr="007024BE" w:rsidRDefault="001E5985">
      <w:pPr>
        <w:pStyle w:val="EndnoteText"/>
        <w:rPr>
          <w:bCs/>
        </w:rPr>
      </w:pPr>
      <w:r w:rsidRPr="007024BE">
        <w:rPr>
          <w:rStyle w:val="EndnoteReference"/>
          <w:bCs/>
        </w:rPr>
        <w:endnoteRef/>
      </w:r>
      <w:r w:rsidRPr="007024BE">
        <w:rPr>
          <w:bCs/>
        </w:rPr>
        <w:t xml:space="preserve"> </w:t>
      </w:r>
      <w:r w:rsidR="00CB1A3C">
        <w:rPr>
          <w:bCs/>
        </w:rPr>
        <w:t xml:space="preserve">“Prepare to </w:t>
      </w:r>
      <w:r w:rsidR="00F66D10">
        <w:rPr>
          <w:bCs/>
        </w:rPr>
        <w:t>Care.” Accessed 8/30/21</w:t>
      </w:r>
      <w:r w:rsidR="00813A32">
        <w:rPr>
          <w:bCs/>
        </w:rPr>
        <w:t xml:space="preserve">. </w:t>
      </w:r>
      <w:hyperlink r:id="rId15" w:history="1">
        <w:r w:rsidR="00813A32" w:rsidRPr="00BE7527">
          <w:rPr>
            <w:rStyle w:val="Hyperlink"/>
            <w:bCs/>
          </w:rPr>
          <w:t>https://iowapreparetocare.training-source.org/</w:t>
        </w:r>
      </w:hyperlink>
      <w:r w:rsidR="006E4C50">
        <w:rPr>
          <w:bCs/>
        </w:rPr>
        <w:t xml:space="preserve">; Campbell (McCall), Stephen. 2017. </w:t>
      </w:r>
      <w:r w:rsidR="006E4C50" w:rsidRPr="006E4C50">
        <w:rPr>
          <w:bCs/>
        </w:rPr>
        <w:t>Training Standards for Personal Care Aides: Spotlight on Iowa</w:t>
      </w:r>
      <w:r w:rsidR="006E4C50">
        <w:rPr>
          <w:bCs/>
        </w:rPr>
        <w:t>. Bronx, NY: PHI.</w:t>
      </w:r>
      <w:r w:rsidRPr="007024BE">
        <w:rPr>
          <w:bCs/>
        </w:rPr>
        <w:t xml:space="preserve"> </w:t>
      </w:r>
      <w:hyperlink r:id="rId16" w:history="1">
        <w:r w:rsidR="001C4171" w:rsidRPr="00BE7527">
          <w:rPr>
            <w:rStyle w:val="Hyperlink"/>
            <w:bCs/>
          </w:rPr>
          <w:t>https://phinational.org/resource/training-standards-for-personal-care-aides-spotlight-on-iowa/</w:t>
        </w:r>
      </w:hyperlink>
      <w:r w:rsidR="001C4171">
        <w:rPr>
          <w:bCs/>
        </w:rPr>
        <w:t xml:space="preserve">. </w:t>
      </w:r>
    </w:p>
  </w:endnote>
  <w:endnote w:id="20">
    <w:p w14:paraId="2F54B9B4" w14:textId="03FC1D60" w:rsidR="00BF6408" w:rsidRPr="00B3277F" w:rsidRDefault="00BF6408">
      <w:pPr>
        <w:pStyle w:val="EndnoteText"/>
        <w:rPr>
          <w:bCs/>
        </w:rPr>
      </w:pPr>
      <w:r w:rsidRPr="00B3277F">
        <w:rPr>
          <w:rStyle w:val="EndnoteReference"/>
          <w:bCs/>
        </w:rPr>
        <w:endnoteRef/>
      </w:r>
      <w:r w:rsidRPr="00B3277F">
        <w:rPr>
          <w:bCs/>
        </w:rPr>
        <w:t xml:space="preserve"> </w:t>
      </w:r>
      <w:r w:rsidR="00B3277F" w:rsidRPr="00B3277F">
        <w:rPr>
          <w:bCs/>
        </w:rPr>
        <w:t>C</w:t>
      </w:r>
      <w:r w:rsidR="00B3277F">
        <w:rPr>
          <w:bCs/>
        </w:rPr>
        <w:t xml:space="preserve">ampbell, Stephen. 2017. </w:t>
      </w:r>
      <w:r w:rsidR="00B3277F">
        <w:rPr>
          <w:bCs/>
          <w:i/>
          <w:iCs/>
        </w:rPr>
        <w:t>Training Standards for Personal Care Aides: Spotlight on Washington.</w:t>
      </w:r>
      <w:r w:rsidR="00B3277F">
        <w:rPr>
          <w:bCs/>
        </w:rPr>
        <w:t xml:space="preserve"> Bronx, NY: PHI. </w:t>
      </w:r>
      <w:hyperlink r:id="rId17" w:history="1">
        <w:r w:rsidR="00B3277F" w:rsidRPr="00A953AA">
          <w:rPr>
            <w:rStyle w:val="Hyperlink"/>
            <w:bCs/>
          </w:rPr>
          <w:t>https://phinational.org/wp-content/uploads/2017/11/wa_case_study_pca_training_standards_2017.pdf</w:t>
        </w:r>
      </w:hyperlink>
      <w:r w:rsidR="00B3277F">
        <w:rPr>
          <w:bCs/>
        </w:rPr>
        <w:t xml:space="preserve">. </w:t>
      </w:r>
    </w:p>
  </w:endnote>
  <w:endnote w:id="21">
    <w:p w14:paraId="34711CB1" w14:textId="55E65158" w:rsidR="00BE0723" w:rsidRDefault="00DE108A" w:rsidP="00BE0723">
      <w:pPr>
        <w:pStyle w:val="EndnoteText"/>
      </w:pPr>
      <w:r>
        <w:rPr>
          <w:rStyle w:val="EndnoteReference"/>
        </w:rPr>
        <w:endnoteRef/>
      </w:r>
      <w:r>
        <w:t xml:space="preserve"> Iowa CareGivers and Iowa Workforce Development. 2016. </w:t>
      </w:r>
      <w:r w:rsidR="00BE0723">
        <w:t>“Workforce Survey 2016: Direct Care, Supports &amp;</w:t>
      </w:r>
    </w:p>
    <w:p w14:paraId="16F8E975" w14:textId="08180968" w:rsidR="00DE108A" w:rsidRDefault="00BE0723" w:rsidP="00BE0723">
      <w:pPr>
        <w:pStyle w:val="EndnoteText"/>
      </w:pPr>
      <w:r>
        <w:t xml:space="preserve">Service Workers.” </w:t>
      </w:r>
      <w:hyperlink r:id="rId18" w:history="1">
        <w:r w:rsidRPr="00BE7527">
          <w:rPr>
            <w:rStyle w:val="Hyperlink"/>
          </w:rPr>
          <w:t>https://www.iowacaregivers.org/uploads/pdf/workforce_report.pdf</w:t>
        </w:r>
      </w:hyperlink>
      <w:r w:rsidR="00DE108A">
        <w:t xml:space="preserve">. </w:t>
      </w:r>
    </w:p>
  </w:endnote>
  <w:endnote w:id="22">
    <w:p w14:paraId="44927078" w14:textId="34D41C46" w:rsidR="00760F96" w:rsidRPr="007024BE" w:rsidRDefault="00760F96" w:rsidP="00760F96">
      <w:pPr>
        <w:pStyle w:val="EndnoteText"/>
        <w:rPr>
          <w:bCs/>
        </w:rPr>
      </w:pPr>
      <w:r w:rsidRPr="007024BE">
        <w:rPr>
          <w:rStyle w:val="EndnoteReference"/>
          <w:bCs/>
        </w:rPr>
        <w:endnoteRef/>
      </w:r>
      <w:r w:rsidRPr="007024BE">
        <w:rPr>
          <w:bCs/>
        </w:rPr>
        <w:t xml:space="preserve"> </w:t>
      </w:r>
      <w:r w:rsidR="001134CA">
        <w:rPr>
          <w:bCs/>
        </w:rPr>
        <w:t xml:space="preserve">Iowa Department of Public Health. 2021. </w:t>
      </w:r>
      <w:r w:rsidR="00301FB5">
        <w:rPr>
          <w:bCs/>
        </w:rPr>
        <w:t>“I</w:t>
      </w:r>
      <w:r w:rsidR="00301FB5" w:rsidRPr="00301FB5">
        <w:rPr>
          <w:bCs/>
        </w:rPr>
        <w:t>owa Rural Healthcare Workforce Strategic Action Plan</w:t>
      </w:r>
      <w:r w:rsidR="00301FB5">
        <w:rPr>
          <w:bCs/>
        </w:rPr>
        <w:t xml:space="preserve">.” </w:t>
      </w:r>
      <w:hyperlink r:id="rId19" w:history="1">
        <w:r w:rsidR="00905211" w:rsidRPr="00C81150">
          <w:rPr>
            <w:rStyle w:val="Hyperlink"/>
            <w:bCs/>
          </w:rPr>
          <w:t>iowacaregivers.org/uploads/pdf/Iowa%20Rural%20HCW%20Strategic%20Plan_v6.24.2021.pdf</w:t>
        </w:r>
      </w:hyperlink>
      <w:r w:rsidR="002801F8">
        <w:rPr>
          <w:bCs/>
        </w:rPr>
        <w:t>.</w:t>
      </w:r>
    </w:p>
  </w:endnote>
  <w:endnote w:id="23">
    <w:p w14:paraId="39263A65" w14:textId="6A6CD08D" w:rsidR="00A1116A" w:rsidRPr="007024BE" w:rsidRDefault="00A1116A">
      <w:pPr>
        <w:pStyle w:val="EndnoteText"/>
        <w:rPr>
          <w:bCs/>
        </w:rPr>
      </w:pPr>
      <w:r w:rsidRPr="007024BE">
        <w:rPr>
          <w:rStyle w:val="EndnoteReference"/>
          <w:bCs/>
        </w:rPr>
        <w:endnoteRef/>
      </w:r>
      <w:r w:rsidRPr="007024BE">
        <w:rPr>
          <w:bCs/>
        </w:rPr>
        <w:t xml:space="preserve"> </w:t>
      </w:r>
      <w:r w:rsidR="009C5CEA" w:rsidRPr="009C5CEA">
        <w:rPr>
          <w:bCs/>
        </w:rPr>
        <w:t xml:space="preserve">Flood, Sarah, Miriam King, Renae Rodgers, Steven Ruggles, and J. Robert Warren. 2021. </w:t>
      </w:r>
      <w:r w:rsidR="009C5CEA" w:rsidRPr="009C5CEA">
        <w:rPr>
          <w:bCs/>
          <w:i/>
          <w:iCs/>
        </w:rPr>
        <w:t>Integrated Public Use Microdata Series, Current Population Survey: Version 8.0</w:t>
      </w:r>
      <w:r w:rsidR="009C5CEA" w:rsidRPr="009C5CEA">
        <w:rPr>
          <w:bCs/>
        </w:rPr>
        <w:t>. https://doi.org/10.18128/D030.V8.0; analysis by PHI (June 2021).</w:t>
      </w:r>
    </w:p>
  </w:endnote>
  <w:endnote w:id="24">
    <w:p w14:paraId="385A5F34" w14:textId="77777777" w:rsidR="00242447" w:rsidRPr="00F554FA" w:rsidRDefault="00242447" w:rsidP="00242447">
      <w:pPr>
        <w:pStyle w:val="EndnoteText"/>
      </w:pPr>
      <w:r w:rsidRPr="00F554FA">
        <w:rPr>
          <w:rStyle w:val="EndnoteReference"/>
        </w:rPr>
        <w:endnoteRef/>
      </w:r>
      <w:r w:rsidRPr="00F554FA">
        <w:t xml:space="preserve"> </w:t>
      </w:r>
      <w:r>
        <w:t>McCall, Stephen. 2019. “</w:t>
      </w:r>
      <w:r w:rsidRPr="00730AF0">
        <w:t>Wisconsin Partnership Could Transform Nursing Assistant Field</w:t>
      </w:r>
      <w:r>
        <w:t xml:space="preserve">.” </w:t>
      </w:r>
      <w:r>
        <w:rPr>
          <w:i/>
          <w:iCs/>
        </w:rPr>
        <w:t xml:space="preserve">PHI Newsroom, </w:t>
      </w:r>
      <w:r>
        <w:t xml:space="preserve">April 1, 2019. </w:t>
      </w:r>
      <w:hyperlink r:id="rId20" w:history="1">
        <w:r w:rsidRPr="00BE7527">
          <w:rPr>
            <w:rStyle w:val="Hyperlink"/>
          </w:rPr>
          <w:t>https://phinational.org/wisconsin-partnership-could-transform-nursing-assistant-field/</w:t>
        </w:r>
      </w:hyperlink>
      <w:r>
        <w:t>.</w:t>
      </w:r>
      <w:r w:rsidRPr="00F554FA">
        <w:t xml:space="preserve"> </w:t>
      </w:r>
    </w:p>
  </w:endnote>
  <w:endnote w:id="25">
    <w:p w14:paraId="2821768F" w14:textId="77777777" w:rsidR="002721C6" w:rsidRPr="007024BE" w:rsidRDefault="002721C6" w:rsidP="002721C6">
      <w:pPr>
        <w:pStyle w:val="EndnoteText"/>
        <w:rPr>
          <w:bCs/>
        </w:rPr>
      </w:pPr>
      <w:r w:rsidRPr="007024BE">
        <w:rPr>
          <w:rStyle w:val="EndnoteReference"/>
          <w:bCs/>
        </w:rPr>
        <w:endnoteRef/>
      </w:r>
      <w:r w:rsidRPr="007024BE">
        <w:rPr>
          <w:bCs/>
        </w:rPr>
        <w:t xml:space="preserve"> Personal correspondence with Kevin Coughlin, Policy Initiatives Advisory at the Wisconsin Department of Health Services. </w:t>
      </w:r>
    </w:p>
  </w:endnote>
  <w:endnote w:id="26">
    <w:p w14:paraId="0A81116A" w14:textId="77777777" w:rsidR="00C33957" w:rsidRPr="00F554FA" w:rsidRDefault="00C33957" w:rsidP="00C33957">
      <w:pPr>
        <w:pStyle w:val="EndnoteText"/>
      </w:pPr>
      <w:r w:rsidRPr="00F554FA">
        <w:rPr>
          <w:rStyle w:val="EndnoteReference"/>
        </w:rPr>
        <w:endnoteRef/>
      </w:r>
      <w:r w:rsidRPr="00F554FA">
        <w:t xml:space="preserve"> </w:t>
      </w:r>
      <w:r>
        <w:t>Horowitz, Julia. 2021. “Mi</w:t>
      </w:r>
      <w:r w:rsidRPr="00FA6DD0">
        <w:t>llions of jobs and a shortage of applicants. Welcome to the new economy</w:t>
      </w:r>
      <w:r>
        <w:t xml:space="preserve">.” </w:t>
      </w:r>
      <w:r>
        <w:rPr>
          <w:i/>
          <w:iCs/>
        </w:rPr>
        <w:t xml:space="preserve">CNN Business, </w:t>
      </w:r>
      <w:r>
        <w:t xml:space="preserve">June 29, 2021. </w:t>
      </w:r>
      <w:hyperlink r:id="rId21" w:history="1">
        <w:r w:rsidRPr="00BE7527">
          <w:rPr>
            <w:rStyle w:val="Hyperlink"/>
          </w:rPr>
          <w:t>https://www.cnn.com/2021/06/29/economy/global-worker-shortage-pandemic-brexit/index.html</w:t>
        </w:r>
      </w:hyperlink>
      <w:r>
        <w:t xml:space="preserve">. </w:t>
      </w:r>
    </w:p>
  </w:endnote>
  <w:endnote w:id="27">
    <w:p w14:paraId="601F57AF" w14:textId="77777777" w:rsidR="00B249CE" w:rsidRPr="00F554FA" w:rsidRDefault="00B249CE" w:rsidP="00B249CE">
      <w:pPr>
        <w:pStyle w:val="EndnoteText"/>
      </w:pPr>
      <w:r w:rsidRPr="00F554FA">
        <w:rPr>
          <w:rStyle w:val="EndnoteReference"/>
        </w:rPr>
        <w:endnoteRef/>
      </w:r>
      <w:r w:rsidRPr="00F554FA">
        <w:t xml:space="preserve"> </w:t>
      </w:r>
      <w:r>
        <w:t>Edwards-Orr, Merle , Molly Morris, Casey DeLuca, Mark Sciegaj, and Kathleen Ujvari. 2020. “</w:t>
      </w:r>
      <w:r w:rsidRPr="00983455">
        <w:t>National Inventory of</w:t>
      </w:r>
      <w:r>
        <w:t xml:space="preserve"> </w:t>
      </w:r>
      <w:r w:rsidRPr="00983455">
        <w:t>Self-Directed Long-Term Services</w:t>
      </w:r>
      <w:r>
        <w:t xml:space="preserve"> and Supports Programs.” Accessed 8/30/21. </w:t>
      </w:r>
      <w:hyperlink r:id="rId22" w:history="1">
        <w:r w:rsidRPr="00BE7527">
          <w:rPr>
            <w:rStyle w:val="Hyperlink"/>
          </w:rPr>
          <w:t>https://www.appliedselfdirection.com/sites/default/files/SD%20LTSS%20National%20Inventory%20Report%202019.pdf</w:t>
        </w:r>
      </w:hyperlink>
      <w:r>
        <w:t xml:space="preserve">. </w:t>
      </w:r>
    </w:p>
  </w:endnote>
  <w:endnote w:id="28">
    <w:p w14:paraId="1A5DDE4E" w14:textId="15FBF8D6" w:rsidR="00027332" w:rsidRPr="00F554FA" w:rsidRDefault="00027332" w:rsidP="00027332">
      <w:pPr>
        <w:pStyle w:val="EndnoteText"/>
      </w:pPr>
      <w:r w:rsidRPr="00F554FA">
        <w:rPr>
          <w:rStyle w:val="EndnoteReference"/>
        </w:rPr>
        <w:endnoteRef/>
      </w:r>
      <w:r w:rsidRPr="00F554FA">
        <w:t xml:space="preserve"> </w:t>
      </w:r>
      <w:r>
        <w:t xml:space="preserve">PHI. “Matching Service Registries.” Accessed 8/30/21. </w:t>
      </w:r>
      <w:hyperlink r:id="rId23" w:history="1">
        <w:r w:rsidRPr="002801F8">
          <w:rPr>
            <w:rStyle w:val="Hyperlink"/>
          </w:rPr>
          <w:t>https://phinational.org/advocacy/matching-service-registries/</w:t>
        </w:r>
      </w:hyperlink>
      <w:r>
        <w:t>.</w:t>
      </w:r>
    </w:p>
  </w:endnote>
  <w:endnote w:id="29">
    <w:p w14:paraId="0E687E28" w14:textId="11D0484C" w:rsidR="0062733D" w:rsidRPr="00B3277F" w:rsidRDefault="0062733D" w:rsidP="0062733D">
      <w:pPr>
        <w:pStyle w:val="EndnoteText"/>
      </w:pPr>
      <w:r w:rsidRPr="00B3277F">
        <w:rPr>
          <w:rStyle w:val="EndnoteReference"/>
        </w:rPr>
        <w:endnoteRef/>
      </w:r>
      <w:r w:rsidRPr="00B3277F">
        <w:t xml:space="preserve"> PHI. “Matching Service Registries.” Accessed 8/30/21. </w:t>
      </w:r>
      <w:hyperlink r:id="rId24" w:history="1">
        <w:r w:rsidRPr="002801F8">
          <w:rPr>
            <w:rStyle w:val="Hyperlink"/>
          </w:rPr>
          <w:t>https://phinational.org/advocacy/matching-service-registries/</w:t>
        </w:r>
      </w:hyperlink>
      <w:r w:rsidRPr="00B3277F">
        <w:t>.</w:t>
      </w:r>
    </w:p>
  </w:endnote>
  <w:endnote w:id="30">
    <w:p w14:paraId="32E7EDC9" w14:textId="4C31014D" w:rsidR="00D762CF" w:rsidRPr="00B3277F" w:rsidRDefault="00D762CF" w:rsidP="00D762CF">
      <w:pPr>
        <w:pStyle w:val="EndnoteText"/>
      </w:pPr>
      <w:r w:rsidRPr="00B3277F">
        <w:rPr>
          <w:rStyle w:val="EndnoteReference"/>
        </w:rPr>
        <w:endnoteRef/>
      </w:r>
      <w:r w:rsidRPr="00B3277F">
        <w:t xml:space="preserve"> </w:t>
      </w:r>
      <w:r w:rsidR="00B3277F" w:rsidRPr="00B3277F">
        <w:t>Campbell</w:t>
      </w:r>
      <w:r w:rsidR="00392BBA">
        <w:t xml:space="preserve"> (McCall)</w:t>
      </w:r>
      <w:r w:rsidR="00B3277F" w:rsidRPr="00B3277F">
        <w:t>, Stephen</w:t>
      </w:r>
      <w:r w:rsidR="00B3277F">
        <w:t>. 2019. “</w:t>
      </w:r>
      <w:r w:rsidR="00B3277F" w:rsidRPr="00B3277F">
        <w:t>How Can Matching Service Registries Increase Their Impact?</w:t>
      </w:r>
      <w:r w:rsidR="00B3277F">
        <w:t xml:space="preserve">” </w:t>
      </w:r>
      <w:r w:rsidR="00B3277F">
        <w:rPr>
          <w:i/>
          <w:iCs/>
        </w:rPr>
        <w:t xml:space="preserve">PHI </w:t>
      </w:r>
      <w:r w:rsidR="00392BBA">
        <w:rPr>
          <w:i/>
          <w:iCs/>
        </w:rPr>
        <w:t>Newsroom</w:t>
      </w:r>
      <w:r w:rsidR="00B3277F">
        <w:t xml:space="preserve">, April 22. </w:t>
      </w:r>
      <w:hyperlink r:id="rId25" w:history="1">
        <w:r w:rsidR="00B3277F" w:rsidRPr="00A953AA">
          <w:rPr>
            <w:rStyle w:val="Hyperlink"/>
          </w:rPr>
          <w:t>http://phinational.org/how-can-matching-service-registries-increase-their-impact/</w:t>
        </w:r>
      </w:hyperlink>
      <w:r w:rsidR="00B3277F">
        <w:t xml:space="preserve">. </w:t>
      </w:r>
    </w:p>
  </w:endnote>
  <w:endnote w:id="31">
    <w:p w14:paraId="6FF1B11F" w14:textId="0F379F1E" w:rsidR="00920CAC" w:rsidRPr="00F554FA" w:rsidRDefault="00920CAC" w:rsidP="00920CAC">
      <w:pPr>
        <w:pStyle w:val="EndnoteText"/>
      </w:pPr>
      <w:r w:rsidRPr="00F554FA">
        <w:rPr>
          <w:rStyle w:val="EndnoteReference"/>
        </w:rPr>
        <w:endnoteRef/>
      </w:r>
      <w:r w:rsidRPr="00F554FA">
        <w:t xml:space="preserve"> </w:t>
      </w:r>
      <w:r w:rsidRPr="00CF5E29">
        <w:t xml:space="preserve">Edelstein, Steven and Dorie Seavey. 2009. </w:t>
      </w:r>
      <w:r w:rsidRPr="00CF5E29">
        <w:rPr>
          <w:i/>
          <w:iCs/>
        </w:rPr>
        <w:t>The Need for Monitoring the Long-Term Care Direct Service Workforce and Recommendations for Data Collection</w:t>
      </w:r>
      <w:r w:rsidRPr="00CF5E29">
        <w:t>. Woodlawn, MD: CMS.</w:t>
      </w:r>
      <w:r>
        <w:t xml:space="preserve"> </w:t>
      </w:r>
      <w:hyperlink r:id="rId26" w:history="1">
        <w:r w:rsidRPr="002801F8">
          <w:rPr>
            <w:rStyle w:val="Hyperlink"/>
          </w:rPr>
          <w:t>http://www.advancingstates.org/sites/nasuad/files/hcbs/files/153/7610/DSW_Data_Collection_Recommendations.pdf</w:t>
        </w:r>
      </w:hyperlink>
      <w:r w:rsidR="002801F8">
        <w:t>.</w:t>
      </w:r>
    </w:p>
  </w:endnote>
  <w:endnote w:id="32">
    <w:p w14:paraId="393CA894" w14:textId="77A21A46" w:rsidR="00E558DA" w:rsidRPr="00813699" w:rsidRDefault="00E558DA" w:rsidP="00813699">
      <w:pPr>
        <w:pStyle w:val="EndnoteText"/>
      </w:pPr>
      <w:r w:rsidRPr="007024BE">
        <w:rPr>
          <w:rStyle w:val="EndnoteReference"/>
          <w:bCs/>
        </w:rPr>
        <w:endnoteRef/>
      </w:r>
      <w:r w:rsidRPr="007024BE">
        <w:rPr>
          <w:bCs/>
        </w:rPr>
        <w:t xml:space="preserve"> </w:t>
      </w:r>
      <w:r w:rsidR="00073B31">
        <w:rPr>
          <w:bCs/>
        </w:rPr>
        <w:t>Texas Health and Human Services Commission</w:t>
      </w:r>
      <w:r w:rsidR="00813699">
        <w:rPr>
          <w:bCs/>
        </w:rPr>
        <w:t xml:space="preserve"> (</w:t>
      </w:r>
      <w:r w:rsidR="007B729A">
        <w:rPr>
          <w:bCs/>
        </w:rPr>
        <w:t>H</w:t>
      </w:r>
      <w:r w:rsidR="00813699">
        <w:rPr>
          <w:bCs/>
        </w:rPr>
        <w:t>HSC)</w:t>
      </w:r>
      <w:r w:rsidR="00073B31">
        <w:rPr>
          <w:bCs/>
        </w:rPr>
        <w:t xml:space="preserve">. 2019. </w:t>
      </w:r>
      <w:r w:rsidR="00813699" w:rsidRPr="00813699">
        <w:rPr>
          <w:bCs/>
          <w:i/>
          <w:iCs/>
        </w:rPr>
        <w:t>Community Attendant Recruitment and Retention Strategies</w:t>
      </w:r>
      <w:r w:rsidR="00813699">
        <w:rPr>
          <w:bCs/>
        </w:rPr>
        <w:t>. Austin, TX: H</w:t>
      </w:r>
      <w:r w:rsidR="007B729A">
        <w:rPr>
          <w:bCs/>
        </w:rPr>
        <w:t>H</w:t>
      </w:r>
      <w:r w:rsidR="00813699">
        <w:rPr>
          <w:bCs/>
        </w:rPr>
        <w:t>SC.</w:t>
      </w:r>
      <w:r w:rsidR="007B729A">
        <w:rPr>
          <w:bCs/>
        </w:rPr>
        <w:t xml:space="preserve"> </w:t>
      </w:r>
      <w:hyperlink r:id="rId27" w:history="1">
        <w:r w:rsidR="007B729A" w:rsidRPr="004332E0">
          <w:rPr>
            <w:rStyle w:val="Hyperlink"/>
            <w:bCs/>
          </w:rPr>
          <w:t>https://www.hhs.texas.gov/sites/default/files/documents/laws-regulations/reports-presentations/2019/community-attendant-recruitmt-retention-strat-aug-2019.pdf</w:t>
        </w:r>
      </w:hyperlink>
      <w:r w:rsidR="007B729A">
        <w:rPr>
          <w:bC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BookAntiqua">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 LT Std 45 Light">
    <w:altName w:val="Century Gothic"/>
    <w:panose1 w:val="00000000000000000000"/>
    <w:charset w:val="00"/>
    <w:family w:val="swiss"/>
    <w:notTrueType/>
    <w:pitch w:val="variable"/>
    <w:sig w:usb0="00000003" w:usb1="4000204A"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Segoe Condensed">
    <w:charset w:val="00"/>
    <w:family w:val="swiss"/>
    <w:pitch w:val="variable"/>
    <w:sig w:usb0="00000287" w:usb1="00000000" w:usb2="00000000" w:usb3="00000000" w:csb0="0000009F" w:csb1="00000000"/>
  </w:font>
  <w:font w:name="Marlett">
    <w:panose1 w:val="00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C0759" w14:textId="6FBE6D0D" w:rsidR="00C41566" w:rsidRDefault="00C41566">
    <w:pPr>
      <w:pStyle w:val="Footer"/>
      <w:jc w:val="right"/>
    </w:pPr>
  </w:p>
  <w:p w14:paraId="3C01BAF6" w14:textId="0D3724CE" w:rsidR="00145E9B" w:rsidRPr="008370C0" w:rsidRDefault="00145E9B" w:rsidP="00145E9B">
    <w:pPr>
      <w:pStyle w:val="Footer"/>
      <w:tabs>
        <w:tab w:val="clear" w:pos="9360"/>
      </w:tabs>
      <w:ind w:left="-720" w:right="-720"/>
      <w:rPr>
        <w:rFonts w:asciiTheme="minorHAnsi" w:hAnsiTheme="minorHAnsi" w:cstheme="minorHAnsi"/>
      </w:rPr>
    </w:pPr>
    <w:r w:rsidRPr="008370C0">
      <w:rPr>
        <w:rFonts w:asciiTheme="minorHAnsi" w:hAnsiTheme="minorHAnsi" w:cstheme="minorHAnsi"/>
        <w:b/>
        <w:i/>
        <w:iCs/>
        <w:noProof/>
        <w:color w:val="FFFFFF" w:themeColor="background1"/>
        <w:sz w:val="36"/>
        <w:szCs w:val="36"/>
      </w:rPr>
      <mc:AlternateContent>
        <mc:Choice Requires="wps">
          <w:drawing>
            <wp:anchor distT="0" distB="0" distL="114300" distR="114300" simplePos="0" relativeHeight="251658243" behindDoc="1" locked="1" layoutInCell="1" allowOverlap="1" wp14:anchorId="296E3115" wp14:editId="1BEDED08">
              <wp:simplePos x="0" y="0"/>
              <wp:positionH relativeFrom="page">
                <wp:posOffset>0</wp:posOffset>
              </wp:positionH>
              <wp:positionV relativeFrom="paragraph">
                <wp:posOffset>-288925</wp:posOffset>
              </wp:positionV>
              <wp:extent cx="7753985" cy="895350"/>
              <wp:effectExtent l="0" t="0" r="18415" b="19050"/>
              <wp:wrapNone/>
              <wp:docPr id="2" name="Rectangle 2"/>
              <wp:cNvGraphicFramePr/>
              <a:graphic xmlns:a="http://schemas.openxmlformats.org/drawingml/2006/main">
                <a:graphicData uri="http://schemas.microsoft.com/office/word/2010/wordprocessingShape">
                  <wps:wsp>
                    <wps:cNvSpPr/>
                    <wps:spPr>
                      <a:xfrm>
                        <a:off x="0" y="0"/>
                        <a:ext cx="7753985" cy="895350"/>
                      </a:xfrm>
                      <a:prstGeom prst="rect">
                        <a:avLst/>
                      </a:prstGeom>
                      <a:solidFill>
                        <a:srgbClr val="00529B"/>
                      </a:solidFill>
                      <a:ln>
                        <a:solidFill>
                          <a:srgbClr val="00529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575FEB" id="Rectangle 2" o:spid="_x0000_s1026" style="position:absolute;margin-left:0;margin-top:-22.75pt;width:610.55pt;height:70.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" fillcolor="#00529b" strokecolor="#00529b" strokeweight="2pt">
              <w10:wrap anchorx="page"/>
              <w10:anchorlock/>
            </v:rect>
          </w:pict>
        </mc:Fallback>
      </mc:AlternateContent>
    </w:r>
    <w:r w:rsidRPr="008370C0">
      <w:rPr>
        <w:rFonts w:asciiTheme="minorHAnsi" w:hAnsiTheme="minorHAnsi" w:cstheme="minorHAnsi"/>
        <w:b/>
        <w:i/>
        <w:iCs/>
        <w:noProof/>
        <w:color w:val="FFFFFF" w:themeColor="background1"/>
        <w:sz w:val="22"/>
        <w:szCs w:val="22"/>
      </w:rPr>
      <w:drawing>
        <wp:anchor distT="0" distB="0" distL="114300" distR="114300" simplePos="0" relativeHeight="251658242" behindDoc="1" locked="0" layoutInCell="1" allowOverlap="1" wp14:anchorId="3C71F7B2" wp14:editId="7B383057">
          <wp:simplePos x="0" y="0"/>
          <wp:positionH relativeFrom="column">
            <wp:posOffset>295275</wp:posOffset>
          </wp:positionH>
          <wp:positionV relativeFrom="paragraph">
            <wp:posOffset>8794750</wp:posOffset>
          </wp:positionV>
          <wp:extent cx="2091055" cy="833120"/>
          <wp:effectExtent l="0" t="0" r="4445" b="5080"/>
          <wp:wrapTight wrapText="bothSides">
            <wp:wrapPolygon edited="0">
              <wp:start x="0" y="0"/>
              <wp:lineTo x="0" y="21238"/>
              <wp:lineTo x="21449" y="21238"/>
              <wp:lineTo x="21449" y="0"/>
              <wp:lineTo x="0" y="0"/>
            </wp:wrapPolygon>
          </wp:wrapTight>
          <wp:docPr id="3" name="Picture 3" descr="C:\Users\rebecca.chang\AppData\Local\Microsoft\Windows\INetCache\Content.Word\CMS Logo white te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ebecca.chang\AppData\Local\Microsoft\Windows\INetCache\Content.Word\CMS Logo white tem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1055" cy="8331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color w:val="FFFFFF" w:themeColor="background1"/>
        <w:sz w:val="24"/>
      </w:rPr>
      <w:tab/>
    </w:r>
    <w:r>
      <w:rPr>
        <w:rFonts w:asciiTheme="minorHAnsi" w:hAnsiTheme="minorHAnsi" w:cstheme="minorHAnsi"/>
        <w:b/>
        <w:color w:val="FFFFFF" w:themeColor="background1"/>
        <w:sz w:val="24"/>
      </w:rPr>
      <w:tab/>
    </w:r>
    <w:r>
      <w:rPr>
        <w:rFonts w:asciiTheme="minorHAnsi" w:hAnsiTheme="minorHAnsi" w:cstheme="minorHAnsi"/>
        <w:b/>
        <w:color w:val="FFFFFF" w:themeColor="background1"/>
        <w:sz w:val="24"/>
      </w:rPr>
      <w:tab/>
    </w:r>
    <w:r>
      <w:rPr>
        <w:rFonts w:asciiTheme="minorHAnsi" w:hAnsiTheme="minorHAnsi" w:cstheme="minorHAnsi"/>
        <w:b/>
        <w:color w:val="FFFFFF" w:themeColor="background1"/>
        <w:sz w:val="24"/>
      </w:rPr>
      <w:tab/>
    </w:r>
    <w:r>
      <w:rPr>
        <w:rFonts w:asciiTheme="minorHAnsi" w:hAnsiTheme="minorHAnsi" w:cstheme="minorHAnsi"/>
        <w:b/>
        <w:color w:val="FFFFFF" w:themeColor="background1"/>
        <w:sz w:val="24"/>
      </w:rPr>
      <w:tab/>
    </w:r>
    <w:r>
      <w:rPr>
        <w:rFonts w:asciiTheme="minorHAnsi" w:hAnsiTheme="minorHAnsi" w:cstheme="minorHAnsi"/>
        <w:b/>
        <w:color w:val="FFFFFF" w:themeColor="background1"/>
        <w:sz w:val="24"/>
      </w:rPr>
      <w:tab/>
    </w:r>
    <w:r>
      <w:rPr>
        <w:rFonts w:asciiTheme="minorHAnsi" w:hAnsiTheme="minorHAnsi" w:cstheme="minorHAnsi"/>
        <w:b/>
        <w:color w:val="FFFFFF" w:themeColor="background1"/>
        <w:sz w:val="24"/>
      </w:rPr>
      <w:tab/>
    </w:r>
    <w:r>
      <w:rPr>
        <w:rFonts w:asciiTheme="minorHAnsi" w:hAnsiTheme="minorHAnsi" w:cstheme="minorHAnsi"/>
        <w:b/>
        <w:color w:val="FFFFFF" w:themeColor="background1"/>
        <w:sz w:val="24"/>
      </w:rPr>
      <w:tab/>
    </w:r>
    <w:r>
      <w:rPr>
        <w:rFonts w:asciiTheme="minorHAnsi" w:hAnsiTheme="minorHAnsi" w:cstheme="minorHAnsi"/>
        <w:b/>
        <w:color w:val="FFFFFF" w:themeColor="background1"/>
        <w:sz w:val="24"/>
      </w:rPr>
      <w:tab/>
    </w:r>
    <w:r>
      <w:rPr>
        <w:rFonts w:asciiTheme="minorHAnsi" w:hAnsiTheme="minorHAnsi" w:cstheme="minorHAnsi"/>
        <w:b/>
        <w:color w:val="FFFFFF" w:themeColor="background1"/>
        <w:sz w:val="24"/>
      </w:rPr>
      <w:tab/>
    </w:r>
    <w:r>
      <w:rPr>
        <w:rFonts w:asciiTheme="minorHAnsi" w:hAnsiTheme="minorHAnsi" w:cstheme="minorHAnsi"/>
        <w:b/>
        <w:color w:val="FFFFFF" w:themeColor="background1"/>
        <w:sz w:val="24"/>
      </w:rPr>
      <w:tab/>
    </w:r>
    <w:r>
      <w:rPr>
        <w:rFonts w:asciiTheme="minorHAnsi" w:hAnsiTheme="minorHAnsi" w:cstheme="minorHAnsi"/>
        <w:b/>
        <w:color w:val="FFFFFF" w:themeColor="background1"/>
        <w:sz w:val="24"/>
      </w:rPr>
      <w:tab/>
    </w:r>
    <w:r>
      <w:rPr>
        <w:rFonts w:asciiTheme="minorHAnsi" w:hAnsiTheme="minorHAnsi" w:cstheme="minorHAnsi"/>
        <w:b/>
        <w:color w:val="FFFFFF" w:themeColor="background1"/>
        <w:sz w:val="24"/>
      </w:rPr>
      <w:tab/>
    </w:r>
    <w:r w:rsidRPr="005B1CC8">
      <w:rPr>
        <w:rFonts w:asciiTheme="minorHAnsi" w:hAnsiTheme="minorHAnsi" w:cstheme="minorHAnsi"/>
        <w:b/>
        <w:color w:val="FFFFFF" w:themeColor="background1"/>
        <w:sz w:val="24"/>
      </w:rPr>
      <w:fldChar w:fldCharType="begin"/>
    </w:r>
    <w:r w:rsidRPr="005B1CC8">
      <w:rPr>
        <w:rFonts w:asciiTheme="minorHAnsi" w:hAnsiTheme="minorHAnsi" w:cstheme="minorHAnsi"/>
        <w:b/>
        <w:color w:val="FFFFFF" w:themeColor="background1"/>
        <w:sz w:val="24"/>
      </w:rPr>
      <w:instrText xml:space="preserve"> PAGE  \* Arabic </w:instrText>
    </w:r>
    <w:r w:rsidRPr="005B1CC8">
      <w:rPr>
        <w:rFonts w:asciiTheme="minorHAnsi" w:hAnsiTheme="minorHAnsi" w:cstheme="minorHAnsi"/>
        <w:b/>
        <w:color w:val="FFFFFF" w:themeColor="background1"/>
        <w:sz w:val="24"/>
      </w:rPr>
      <w:fldChar w:fldCharType="separate"/>
    </w:r>
    <w:r>
      <w:rPr>
        <w:rFonts w:asciiTheme="minorHAnsi" w:hAnsiTheme="minorHAnsi" w:cstheme="minorHAnsi"/>
        <w:b/>
        <w:color w:val="FFFFFF" w:themeColor="background1"/>
        <w:sz w:val="24"/>
      </w:rPr>
      <w:t>1</w:t>
    </w:r>
    <w:r w:rsidRPr="005B1CC8">
      <w:rPr>
        <w:rFonts w:asciiTheme="minorHAnsi" w:hAnsiTheme="minorHAnsi" w:cstheme="minorHAnsi"/>
        <w:b/>
        <w:color w:val="FFFFFF" w:themeColor="background1"/>
        <w:sz w:val="24"/>
      </w:rPr>
      <w:fldChar w:fldCharType="end"/>
    </w:r>
  </w:p>
  <w:p w14:paraId="77F2E760" w14:textId="77777777" w:rsidR="00C41566" w:rsidRDefault="00C415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F00A7" w14:textId="2B3A75FF" w:rsidR="004A24BA" w:rsidRPr="008370C0" w:rsidRDefault="004A24BA" w:rsidP="004A24BA">
    <w:pPr>
      <w:pStyle w:val="Footer"/>
      <w:tabs>
        <w:tab w:val="clear" w:pos="9360"/>
      </w:tabs>
      <w:ind w:left="-720" w:right="-720"/>
      <w:rPr>
        <w:rFonts w:asciiTheme="minorHAnsi" w:hAnsiTheme="minorHAnsi" w:cstheme="minorHAnsi"/>
      </w:rPr>
    </w:pPr>
    <w:r w:rsidRPr="008370C0">
      <w:rPr>
        <w:rFonts w:asciiTheme="minorHAnsi" w:hAnsiTheme="minorHAnsi" w:cstheme="minorHAnsi"/>
        <w:b/>
        <w:i/>
        <w:iCs/>
        <w:noProof/>
        <w:color w:val="FFFFFF" w:themeColor="background1"/>
        <w:sz w:val="36"/>
        <w:szCs w:val="36"/>
      </w:rPr>
      <mc:AlternateContent>
        <mc:Choice Requires="wps">
          <w:drawing>
            <wp:anchor distT="0" distB="0" distL="114300" distR="114300" simplePos="0" relativeHeight="251658241" behindDoc="1" locked="1" layoutInCell="1" allowOverlap="1" wp14:anchorId="5028E647" wp14:editId="4C1702F1">
              <wp:simplePos x="0" y="0"/>
              <wp:positionH relativeFrom="page">
                <wp:posOffset>0</wp:posOffset>
              </wp:positionH>
              <wp:positionV relativeFrom="paragraph">
                <wp:posOffset>-295910</wp:posOffset>
              </wp:positionV>
              <wp:extent cx="7753985" cy="1002665"/>
              <wp:effectExtent l="0" t="0" r="18415" b="26035"/>
              <wp:wrapNone/>
              <wp:docPr id="37" name="Rectangle 37"/>
              <wp:cNvGraphicFramePr/>
              <a:graphic xmlns:a="http://schemas.openxmlformats.org/drawingml/2006/main">
                <a:graphicData uri="http://schemas.microsoft.com/office/word/2010/wordprocessingShape">
                  <wps:wsp>
                    <wps:cNvSpPr/>
                    <wps:spPr>
                      <a:xfrm>
                        <a:off x="0" y="0"/>
                        <a:ext cx="7753985" cy="1002665"/>
                      </a:xfrm>
                      <a:prstGeom prst="rect">
                        <a:avLst/>
                      </a:prstGeom>
                      <a:solidFill>
                        <a:srgbClr val="00529B"/>
                      </a:solidFill>
                      <a:ln>
                        <a:solidFill>
                          <a:srgbClr val="00529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FADFA5" id="Rectangle 37" o:spid="_x0000_s1026" style="position:absolute;margin-left:0;margin-top:-23.3pt;width:610.55pt;height:78.9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" fillcolor="#00529b" strokecolor="#00529b" strokeweight="2pt">
              <w10:wrap anchorx="page"/>
              <w10:anchorlock/>
            </v:rect>
          </w:pict>
        </mc:Fallback>
      </mc:AlternateContent>
    </w:r>
    <w:r w:rsidRPr="008370C0">
      <w:rPr>
        <w:rFonts w:asciiTheme="minorHAnsi" w:hAnsiTheme="minorHAnsi" w:cstheme="minorHAnsi"/>
        <w:b/>
        <w:i/>
        <w:iCs/>
        <w:noProof/>
        <w:color w:val="FFFFFF" w:themeColor="background1"/>
        <w:sz w:val="22"/>
        <w:szCs w:val="22"/>
      </w:rPr>
      <w:drawing>
        <wp:anchor distT="0" distB="0" distL="114300" distR="114300" simplePos="0" relativeHeight="251658240" behindDoc="1" locked="0" layoutInCell="1" allowOverlap="1" wp14:anchorId="29D8A687" wp14:editId="77794DC0">
          <wp:simplePos x="0" y="0"/>
          <wp:positionH relativeFrom="column">
            <wp:posOffset>295275</wp:posOffset>
          </wp:positionH>
          <wp:positionV relativeFrom="paragraph">
            <wp:posOffset>8794750</wp:posOffset>
          </wp:positionV>
          <wp:extent cx="2091055" cy="833120"/>
          <wp:effectExtent l="0" t="0" r="4445" b="5080"/>
          <wp:wrapTight wrapText="bothSides">
            <wp:wrapPolygon edited="0">
              <wp:start x="0" y="0"/>
              <wp:lineTo x="0" y="21238"/>
              <wp:lineTo x="21449" y="21238"/>
              <wp:lineTo x="21449" y="0"/>
              <wp:lineTo x="0" y="0"/>
            </wp:wrapPolygon>
          </wp:wrapTight>
          <wp:docPr id="38" name="Picture 38" descr="C:\Users\rebecca.chang\AppData\Local\Microsoft\Windows\INetCache\Content.Word\CMS Logo white te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ebecca.chang\AppData\Local\Microsoft\Windows\INetCache\Content.Word\CMS Logo white tem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1055" cy="8331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color w:val="FFFFFF" w:themeColor="background1"/>
        <w:sz w:val="24"/>
      </w:rPr>
      <w:tab/>
    </w:r>
    <w:r>
      <w:rPr>
        <w:rFonts w:asciiTheme="minorHAnsi" w:hAnsiTheme="minorHAnsi" w:cstheme="minorHAnsi"/>
        <w:b/>
        <w:color w:val="FFFFFF" w:themeColor="background1"/>
        <w:sz w:val="24"/>
      </w:rPr>
      <w:tab/>
    </w:r>
    <w:r>
      <w:rPr>
        <w:rFonts w:asciiTheme="minorHAnsi" w:hAnsiTheme="minorHAnsi" w:cstheme="minorHAnsi"/>
        <w:b/>
        <w:color w:val="FFFFFF" w:themeColor="background1"/>
        <w:sz w:val="24"/>
      </w:rPr>
      <w:tab/>
    </w:r>
    <w:r>
      <w:rPr>
        <w:rFonts w:asciiTheme="minorHAnsi" w:hAnsiTheme="minorHAnsi" w:cstheme="minorHAnsi"/>
        <w:b/>
        <w:color w:val="FFFFFF" w:themeColor="background1"/>
        <w:sz w:val="24"/>
      </w:rPr>
      <w:tab/>
    </w:r>
    <w:r>
      <w:rPr>
        <w:rFonts w:asciiTheme="minorHAnsi" w:hAnsiTheme="minorHAnsi" w:cstheme="minorHAnsi"/>
        <w:b/>
        <w:color w:val="FFFFFF" w:themeColor="background1"/>
        <w:sz w:val="24"/>
      </w:rPr>
      <w:tab/>
    </w:r>
    <w:r>
      <w:rPr>
        <w:rFonts w:asciiTheme="minorHAnsi" w:hAnsiTheme="minorHAnsi" w:cstheme="minorHAnsi"/>
        <w:b/>
        <w:color w:val="FFFFFF" w:themeColor="background1"/>
        <w:sz w:val="24"/>
      </w:rPr>
      <w:tab/>
    </w:r>
    <w:r>
      <w:rPr>
        <w:rFonts w:asciiTheme="minorHAnsi" w:hAnsiTheme="minorHAnsi" w:cstheme="minorHAnsi"/>
        <w:b/>
        <w:color w:val="FFFFFF" w:themeColor="background1"/>
        <w:sz w:val="24"/>
      </w:rPr>
      <w:tab/>
    </w:r>
    <w:r>
      <w:rPr>
        <w:rFonts w:asciiTheme="minorHAnsi" w:hAnsiTheme="minorHAnsi" w:cstheme="minorHAnsi"/>
        <w:b/>
        <w:color w:val="FFFFFF" w:themeColor="background1"/>
        <w:sz w:val="24"/>
      </w:rPr>
      <w:tab/>
    </w:r>
    <w:r>
      <w:rPr>
        <w:rFonts w:asciiTheme="minorHAnsi" w:hAnsiTheme="minorHAnsi" w:cstheme="minorHAnsi"/>
        <w:b/>
        <w:color w:val="FFFFFF" w:themeColor="background1"/>
        <w:sz w:val="24"/>
      </w:rPr>
      <w:tab/>
    </w:r>
    <w:r>
      <w:rPr>
        <w:rFonts w:asciiTheme="minorHAnsi" w:hAnsiTheme="minorHAnsi" w:cstheme="minorHAnsi"/>
        <w:b/>
        <w:color w:val="FFFFFF" w:themeColor="background1"/>
        <w:sz w:val="24"/>
      </w:rPr>
      <w:tab/>
    </w:r>
    <w:r>
      <w:rPr>
        <w:rFonts w:asciiTheme="minorHAnsi" w:hAnsiTheme="minorHAnsi" w:cstheme="minorHAnsi"/>
        <w:b/>
        <w:color w:val="FFFFFF" w:themeColor="background1"/>
        <w:sz w:val="24"/>
      </w:rPr>
      <w:tab/>
    </w:r>
    <w:r>
      <w:rPr>
        <w:rFonts w:asciiTheme="minorHAnsi" w:hAnsiTheme="minorHAnsi" w:cstheme="minorHAnsi"/>
        <w:b/>
        <w:color w:val="FFFFFF" w:themeColor="background1"/>
        <w:sz w:val="24"/>
      </w:rPr>
      <w:tab/>
    </w:r>
    <w:r>
      <w:rPr>
        <w:rFonts w:asciiTheme="minorHAnsi" w:hAnsiTheme="minorHAnsi" w:cstheme="minorHAnsi"/>
        <w:b/>
        <w:color w:val="FFFFFF" w:themeColor="background1"/>
        <w:sz w:val="24"/>
      </w:rPr>
      <w:tab/>
    </w:r>
    <w:r w:rsidRPr="005B1CC8">
      <w:rPr>
        <w:rFonts w:asciiTheme="minorHAnsi" w:hAnsiTheme="minorHAnsi" w:cstheme="minorHAnsi"/>
        <w:b/>
        <w:color w:val="FFFFFF" w:themeColor="background1"/>
        <w:sz w:val="24"/>
      </w:rPr>
      <w:fldChar w:fldCharType="begin"/>
    </w:r>
    <w:r w:rsidRPr="005B1CC8">
      <w:rPr>
        <w:rFonts w:asciiTheme="minorHAnsi" w:hAnsiTheme="minorHAnsi" w:cstheme="minorHAnsi"/>
        <w:b/>
        <w:color w:val="FFFFFF" w:themeColor="background1"/>
        <w:sz w:val="24"/>
      </w:rPr>
      <w:instrText xml:space="preserve"> PAGE  \* Arabic </w:instrText>
    </w:r>
    <w:r w:rsidRPr="005B1CC8">
      <w:rPr>
        <w:rFonts w:asciiTheme="minorHAnsi" w:hAnsiTheme="minorHAnsi" w:cstheme="minorHAnsi"/>
        <w:b/>
        <w:color w:val="FFFFFF" w:themeColor="background1"/>
        <w:sz w:val="24"/>
      </w:rPr>
      <w:fldChar w:fldCharType="separate"/>
    </w:r>
    <w:r>
      <w:rPr>
        <w:rFonts w:asciiTheme="minorHAnsi" w:hAnsiTheme="minorHAnsi" w:cstheme="minorHAnsi"/>
        <w:b/>
        <w:color w:val="FFFFFF" w:themeColor="background1"/>
      </w:rPr>
      <w:t>1</w:t>
    </w:r>
    <w:r w:rsidRPr="005B1CC8">
      <w:rPr>
        <w:rFonts w:asciiTheme="minorHAnsi" w:hAnsiTheme="minorHAnsi" w:cstheme="minorHAnsi"/>
        <w:b/>
        <w:color w:val="FFFFFF" w:themeColor="background1"/>
        <w:sz w:val="24"/>
      </w:rPr>
      <w:fldChar w:fldCharType="end"/>
    </w:r>
  </w:p>
  <w:p w14:paraId="5F54CA3A" w14:textId="77777777" w:rsidR="004A24BA" w:rsidRDefault="004A24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6BBAD" w14:textId="77777777" w:rsidR="003D54BD" w:rsidRDefault="003D54BD" w:rsidP="00D721B6">
      <w:r>
        <w:separator/>
      </w:r>
    </w:p>
  </w:footnote>
  <w:footnote w:type="continuationSeparator" w:id="0">
    <w:p w14:paraId="2A0F19ED" w14:textId="77777777" w:rsidR="003D54BD" w:rsidRDefault="003D54BD" w:rsidP="00D721B6">
      <w:r>
        <w:continuationSeparator/>
      </w:r>
    </w:p>
  </w:footnote>
  <w:footnote w:type="continuationNotice" w:id="1">
    <w:p w14:paraId="79D50A65" w14:textId="77777777" w:rsidR="003D54BD" w:rsidRDefault="003D54BD" w:rsidP="00D721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1C81D" w14:textId="77777777" w:rsidR="004A24BA" w:rsidRDefault="004A24BA" w:rsidP="006B7400">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1CDF3" w14:textId="77777777" w:rsidR="00D02800" w:rsidRPr="00A85E33" w:rsidRDefault="00D02800" w:rsidP="00E93CAA">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194AD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D90D08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7B4A22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A727F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A12B65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05407E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7ECED5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BAED4B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FB4D5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C30C1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003E30"/>
    <w:multiLevelType w:val="multilevel"/>
    <w:tmpl w:val="E916B202"/>
    <w:lvl w:ilvl="0">
      <w:start w:val="1"/>
      <w:numFmt w:val="bullet"/>
      <w:pStyle w:val="Bullet"/>
      <w:lvlText w:val=""/>
      <w:lvlJc w:val="left"/>
      <w:pPr>
        <w:ind w:left="792" w:hanging="360"/>
      </w:pPr>
      <w:rPr>
        <w:rFonts w:ascii="Wingdings" w:hAnsi="Wingdings"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1512" w:hanging="360"/>
      </w:pPr>
      <w:rPr>
        <w:rFonts w:ascii="Symbol" w:hAnsi="Symbol" w:hint="default"/>
        <w:color w:val="auto"/>
      </w:rPr>
    </w:lvl>
    <w:lvl w:ilvl="2">
      <w:start w:val="1"/>
      <w:numFmt w:val="bullet"/>
      <w:lvlText w:val=""/>
      <w:lvlJc w:val="left"/>
      <w:pPr>
        <w:ind w:left="2232" w:hanging="360"/>
      </w:pPr>
      <w:rPr>
        <w:rFonts w:ascii="Wingdings" w:hAnsi="Wingdings" w:hint="default"/>
        <w:color w:val="auto"/>
      </w:rPr>
    </w:lvl>
    <w:lvl w:ilvl="3">
      <w:start w:val="1"/>
      <w:numFmt w:val="bullet"/>
      <w:lvlText w:val="▫"/>
      <w:lvlJc w:val="left"/>
      <w:pPr>
        <w:ind w:left="2952" w:hanging="360"/>
      </w:pPr>
      <w:rPr>
        <w:rFonts w:ascii="Times New Roman" w:hAnsi="Times New Roman" w:cs="Times New Roman" w:hint="default"/>
        <w:color w:val="auto"/>
      </w:rPr>
    </w:lvl>
    <w:lvl w:ilvl="4">
      <w:start w:val="1"/>
      <w:numFmt w:val="bullet"/>
      <w:lvlText w:val="◦"/>
      <w:lvlJc w:val="left"/>
      <w:pPr>
        <w:ind w:left="3672" w:hanging="360"/>
      </w:pPr>
      <w:rPr>
        <w:rFonts w:ascii="Times New Roman" w:hAnsi="Times New Roman" w:cs="Times New Roman" w:hint="default"/>
        <w:color w:val="auto"/>
      </w:rPr>
    </w:lvl>
    <w:lvl w:ilvl="5">
      <w:start w:val="1"/>
      <w:numFmt w:val="bullet"/>
      <w:lvlText w:val=""/>
      <w:lvlJc w:val="left"/>
      <w:pPr>
        <w:ind w:left="4392" w:hanging="360"/>
      </w:pPr>
      <w:rPr>
        <w:rFonts w:ascii="Wingdings" w:hAnsi="Wingdings" w:hint="default"/>
        <w:color w:val="auto"/>
      </w:rPr>
    </w:lvl>
    <w:lvl w:ilvl="6">
      <w:start w:val="1"/>
      <w:numFmt w:val="bullet"/>
      <w:lvlText w:val=""/>
      <w:lvlJc w:val="left"/>
      <w:pPr>
        <w:ind w:left="5112" w:hanging="360"/>
      </w:pPr>
      <w:rPr>
        <w:rFonts w:ascii="Symbol" w:hAnsi="Symbol" w:hint="default"/>
        <w:color w:val="auto"/>
      </w:rPr>
    </w:lvl>
    <w:lvl w:ilvl="7">
      <w:start w:val="1"/>
      <w:numFmt w:val="bullet"/>
      <w:lvlText w:val="o"/>
      <w:lvlJc w:val="left"/>
      <w:pPr>
        <w:ind w:left="5832" w:hanging="360"/>
      </w:pPr>
      <w:rPr>
        <w:rFonts w:ascii="Courier New" w:hAnsi="Courier New" w:hint="default"/>
        <w:color w:val="auto"/>
      </w:rPr>
    </w:lvl>
    <w:lvl w:ilvl="8">
      <w:start w:val="1"/>
      <w:numFmt w:val="bullet"/>
      <w:lvlText w:val=""/>
      <w:lvlJc w:val="left"/>
      <w:pPr>
        <w:ind w:left="6552" w:hanging="360"/>
      </w:pPr>
      <w:rPr>
        <w:rFonts w:ascii="Wingdings" w:hAnsi="Wingdings" w:hint="default"/>
        <w:color w:val="auto"/>
      </w:rPr>
    </w:lvl>
  </w:abstractNum>
  <w:abstractNum w:abstractNumId="11" w15:restartNumberingAfterBreak="0">
    <w:nsid w:val="14913C1A"/>
    <w:multiLevelType w:val="hybridMultilevel"/>
    <w:tmpl w:val="79CAC6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0E4698"/>
    <w:multiLevelType w:val="hybridMultilevel"/>
    <w:tmpl w:val="D5EAF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540128"/>
    <w:multiLevelType w:val="hybridMultilevel"/>
    <w:tmpl w:val="A5E4B978"/>
    <w:lvl w:ilvl="0" w:tplc="E91EE5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8169A3"/>
    <w:multiLevelType w:val="hybridMultilevel"/>
    <w:tmpl w:val="94DADEDC"/>
    <w:lvl w:ilvl="0" w:tplc="730859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2562AC"/>
    <w:multiLevelType w:val="hybridMultilevel"/>
    <w:tmpl w:val="560C62F2"/>
    <w:lvl w:ilvl="0" w:tplc="24B46796">
      <w:start w:val="1"/>
      <w:numFmt w:val="bullet"/>
      <w:lvlText w:val=""/>
      <w:lvlJc w:val="left"/>
      <w:pPr>
        <w:ind w:left="2520" w:hanging="360"/>
      </w:pPr>
      <w:rPr>
        <w:rFonts w:ascii="Wingdings 2" w:hAnsi="Wingdings 2" w:hint="default"/>
        <w:b w:val="0"/>
        <w:i w:val="0"/>
        <w:caps w:val="0"/>
        <w:strike w:val="0"/>
        <w:dstrike w:val="0"/>
        <w:vanish w:val="0"/>
        <w:color w:val="00267F"/>
        <w:sz w:val="20"/>
        <w:u w:val="none"/>
        <w:vertAlign w:val="baseline"/>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366D28AD"/>
    <w:multiLevelType w:val="hybridMultilevel"/>
    <w:tmpl w:val="F2FE8C04"/>
    <w:lvl w:ilvl="0" w:tplc="C2EA44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712290"/>
    <w:multiLevelType w:val="hybridMultilevel"/>
    <w:tmpl w:val="6EECE67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38DF0892"/>
    <w:multiLevelType w:val="hybridMultilevel"/>
    <w:tmpl w:val="7F86BAF2"/>
    <w:lvl w:ilvl="0" w:tplc="085023CA">
      <w:numFmt w:val="bullet"/>
      <w:lvlText w:val=""/>
      <w:lvlJc w:val="left"/>
      <w:pPr>
        <w:ind w:left="1080" w:hanging="360"/>
      </w:pPr>
      <w:rPr>
        <w:rFonts w:ascii="Symbol" w:hAnsi="Symbol" w:cs="Arial" w:hint="default"/>
        <w:color w:val="00267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AF7A07"/>
    <w:multiLevelType w:val="hybridMultilevel"/>
    <w:tmpl w:val="8C727BA2"/>
    <w:lvl w:ilvl="0" w:tplc="03344C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921E66"/>
    <w:multiLevelType w:val="multilevel"/>
    <w:tmpl w:val="366C563E"/>
    <w:lvl w:ilvl="0">
      <w:start w:val="1"/>
      <w:numFmt w:val="bullet"/>
      <w:pStyle w:val="TableBullet"/>
      <w:lvlText w:val=""/>
      <w:lvlJc w:val="left"/>
      <w:pPr>
        <w:ind w:left="216" w:hanging="216"/>
      </w:pPr>
      <w:rPr>
        <w:rFonts w:ascii="Wingdings" w:hAnsi="Wingdings" w:hint="default"/>
        <w:color w:val="00529B" w:themeColor="accent1"/>
      </w:rPr>
    </w:lvl>
    <w:lvl w:ilvl="1">
      <w:start w:val="1"/>
      <w:numFmt w:val="bullet"/>
      <w:lvlText w:val=""/>
      <w:lvlJc w:val="left"/>
      <w:pPr>
        <w:ind w:left="432" w:hanging="216"/>
      </w:pPr>
      <w:rPr>
        <w:rFonts w:ascii="Symbol" w:hAnsi="Symbol" w:hint="default"/>
        <w:color w:val="00529B" w:themeColor="accent1"/>
        <w:sz w:val="18"/>
      </w:rPr>
    </w:lvl>
    <w:lvl w:ilvl="2">
      <w:start w:val="1"/>
      <w:numFmt w:val="bullet"/>
      <w:lvlText w:val=""/>
      <w:lvlJc w:val="left"/>
      <w:pPr>
        <w:ind w:left="648" w:hanging="216"/>
      </w:pPr>
      <w:rPr>
        <w:rFonts w:ascii="Wingdings" w:hAnsi="Wingdings" w:hint="default"/>
        <w:color w:val="00529B" w:themeColor="accent1"/>
      </w:rPr>
    </w:lvl>
    <w:lvl w:ilvl="3">
      <w:start w:val="1"/>
      <w:numFmt w:val="bullet"/>
      <w:lvlText w:val=""/>
      <w:lvlJc w:val="left"/>
      <w:pPr>
        <w:ind w:left="864" w:hanging="216"/>
      </w:pPr>
      <w:rPr>
        <w:rFonts w:ascii="Symbol" w:hAnsi="Symbol" w:hint="default"/>
        <w:color w:val="00529B" w:themeColor="accent1"/>
      </w:rPr>
    </w:lvl>
    <w:lvl w:ilvl="4">
      <w:start w:val="1"/>
      <w:numFmt w:val="bullet"/>
      <w:lvlText w:val=""/>
      <w:lvlJc w:val="left"/>
      <w:pPr>
        <w:ind w:left="1080" w:hanging="216"/>
      </w:pPr>
      <w:rPr>
        <w:rFonts w:ascii="Wingdings" w:hAnsi="Wingdings" w:hint="default"/>
        <w:color w:val="00529B" w:themeColor="accent1"/>
      </w:rPr>
    </w:lvl>
    <w:lvl w:ilvl="5">
      <w:start w:val="1"/>
      <w:numFmt w:val="bullet"/>
      <w:lvlText w:val=""/>
      <w:lvlJc w:val="left"/>
      <w:pPr>
        <w:ind w:left="1296" w:hanging="216"/>
      </w:pPr>
      <w:rPr>
        <w:rFonts w:ascii="Symbol" w:hAnsi="Symbol" w:hint="default"/>
        <w:color w:val="00529B" w:themeColor="accent1"/>
      </w:rPr>
    </w:lvl>
    <w:lvl w:ilvl="6">
      <w:start w:val="1"/>
      <w:numFmt w:val="bullet"/>
      <w:lvlText w:val="o"/>
      <w:lvlJc w:val="left"/>
      <w:pPr>
        <w:ind w:left="1512" w:hanging="216"/>
      </w:pPr>
      <w:rPr>
        <w:rFonts w:ascii="Courier New" w:hAnsi="Courier New" w:hint="default"/>
        <w:color w:val="00529B" w:themeColor="accent1"/>
      </w:rPr>
    </w:lvl>
    <w:lvl w:ilvl="7">
      <w:start w:val="1"/>
      <w:numFmt w:val="bullet"/>
      <w:lvlText w:val=""/>
      <w:lvlJc w:val="left"/>
      <w:pPr>
        <w:ind w:left="1728" w:hanging="216"/>
      </w:pPr>
      <w:rPr>
        <w:rFonts w:ascii="Wingdings" w:hAnsi="Wingdings" w:hint="default"/>
        <w:color w:val="00529B" w:themeColor="accent1"/>
      </w:rPr>
    </w:lvl>
    <w:lvl w:ilvl="8">
      <w:start w:val="1"/>
      <w:numFmt w:val="bullet"/>
      <w:lvlText w:val=""/>
      <w:lvlJc w:val="left"/>
      <w:pPr>
        <w:ind w:left="1944" w:hanging="216"/>
      </w:pPr>
      <w:rPr>
        <w:rFonts w:ascii="Symbol" w:hAnsi="Symbol" w:hint="default"/>
        <w:color w:val="00529B" w:themeColor="accent1"/>
      </w:rPr>
    </w:lvl>
  </w:abstractNum>
  <w:abstractNum w:abstractNumId="21" w15:restartNumberingAfterBreak="0">
    <w:nsid w:val="52C05054"/>
    <w:multiLevelType w:val="hybridMultilevel"/>
    <w:tmpl w:val="CB38C4D2"/>
    <w:lvl w:ilvl="0" w:tplc="291EAC2C">
      <w:start w:val="1"/>
      <w:numFmt w:val="decimal"/>
      <w:lvlText w:val="%1."/>
      <w:lvlJc w:val="left"/>
      <w:pPr>
        <w:ind w:left="720" w:hanging="360"/>
      </w:pPr>
      <w:rPr>
        <w:rFont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170108"/>
    <w:multiLevelType w:val="multilevel"/>
    <w:tmpl w:val="55006524"/>
    <w:lvl w:ilvl="0">
      <w:start w:val="1"/>
      <w:numFmt w:val="bullet"/>
      <w:pStyle w:val="Call-outBoxBullet"/>
      <w:lvlText w:val=""/>
      <w:lvlJc w:val="left"/>
      <w:pPr>
        <w:ind w:left="288" w:hanging="288"/>
      </w:pPr>
      <w:rPr>
        <w:rFonts w:ascii="Symbol" w:hAnsi="Symbol" w:hint="default"/>
        <w:b w:val="0"/>
        <w:i w:val="0"/>
        <w:caps w:val="0"/>
        <w:strike w:val="0"/>
        <w:dstrike w:val="0"/>
        <w:vanish w:val="0"/>
        <w:color w:val="00529B" w:themeColor="accent1"/>
        <w:sz w:val="20"/>
        <w:u w:val="none"/>
        <w:vertAlign w:val="baseline"/>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23" w15:restartNumberingAfterBreak="0">
    <w:nsid w:val="5F6D3293"/>
    <w:multiLevelType w:val="hybridMultilevel"/>
    <w:tmpl w:val="BA887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6534A7"/>
    <w:multiLevelType w:val="hybridMultilevel"/>
    <w:tmpl w:val="596881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8B33F26"/>
    <w:multiLevelType w:val="hybridMultilevel"/>
    <w:tmpl w:val="8A568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880E0B"/>
    <w:multiLevelType w:val="multilevel"/>
    <w:tmpl w:val="7A300C0C"/>
    <w:lvl w:ilvl="0">
      <w:start w:val="1"/>
      <w:numFmt w:val="decimal"/>
      <w:pStyle w:val="Numberedlist"/>
      <w:lvlText w:val="%1."/>
      <w:lvlJc w:val="left"/>
      <w:pPr>
        <w:ind w:left="864" w:hanging="432"/>
      </w:pPr>
      <w:rPr>
        <w:rFonts w:hint="default"/>
      </w:rPr>
    </w:lvl>
    <w:lvl w:ilvl="1">
      <w:start w:val="1"/>
      <w:numFmt w:val="lowerLetter"/>
      <w:lvlText w:val="%2."/>
      <w:lvlJc w:val="left"/>
      <w:pPr>
        <w:ind w:left="1584" w:hanging="432"/>
      </w:pPr>
      <w:rPr>
        <w:rFonts w:hint="default"/>
      </w:rPr>
    </w:lvl>
    <w:lvl w:ilvl="2">
      <w:start w:val="1"/>
      <w:numFmt w:val="lowerRoman"/>
      <w:lvlText w:val="%3."/>
      <w:lvlJc w:val="right"/>
      <w:pPr>
        <w:ind w:left="2304" w:hanging="432"/>
      </w:pPr>
      <w:rPr>
        <w:rFonts w:hint="default"/>
      </w:rPr>
    </w:lvl>
    <w:lvl w:ilvl="3">
      <w:start w:val="1"/>
      <w:numFmt w:val="decimal"/>
      <w:lvlText w:val="%4."/>
      <w:lvlJc w:val="left"/>
      <w:pPr>
        <w:ind w:left="3024" w:hanging="432"/>
      </w:pPr>
      <w:rPr>
        <w:rFonts w:hint="default"/>
      </w:rPr>
    </w:lvl>
    <w:lvl w:ilvl="4">
      <w:start w:val="1"/>
      <w:numFmt w:val="lowerLetter"/>
      <w:lvlText w:val="%5."/>
      <w:lvlJc w:val="left"/>
      <w:pPr>
        <w:ind w:left="3744" w:hanging="432"/>
      </w:pPr>
      <w:rPr>
        <w:rFonts w:hint="default"/>
      </w:rPr>
    </w:lvl>
    <w:lvl w:ilvl="5">
      <w:start w:val="1"/>
      <w:numFmt w:val="lowerRoman"/>
      <w:lvlText w:val="%6."/>
      <w:lvlJc w:val="right"/>
      <w:pPr>
        <w:ind w:left="4464" w:hanging="432"/>
      </w:pPr>
      <w:rPr>
        <w:rFonts w:hint="default"/>
      </w:rPr>
    </w:lvl>
    <w:lvl w:ilvl="6">
      <w:start w:val="1"/>
      <w:numFmt w:val="decimal"/>
      <w:lvlText w:val="%7."/>
      <w:lvlJc w:val="left"/>
      <w:pPr>
        <w:ind w:left="5184" w:hanging="432"/>
      </w:pPr>
      <w:rPr>
        <w:rFonts w:hint="default"/>
      </w:rPr>
    </w:lvl>
    <w:lvl w:ilvl="7">
      <w:start w:val="1"/>
      <w:numFmt w:val="lowerLetter"/>
      <w:lvlText w:val="%8."/>
      <w:lvlJc w:val="left"/>
      <w:pPr>
        <w:ind w:left="5904" w:hanging="432"/>
      </w:pPr>
      <w:rPr>
        <w:rFonts w:hint="default"/>
      </w:rPr>
    </w:lvl>
    <w:lvl w:ilvl="8">
      <w:start w:val="1"/>
      <w:numFmt w:val="lowerRoman"/>
      <w:lvlText w:val="%9."/>
      <w:lvlJc w:val="right"/>
      <w:pPr>
        <w:ind w:left="6624" w:hanging="432"/>
      </w:pPr>
      <w:rPr>
        <w:rFonts w:hint="default"/>
      </w:rPr>
    </w:lvl>
  </w:abstractNum>
  <w:num w:numId="1">
    <w:abstractNumId w:val="18"/>
  </w:num>
  <w:num w:numId="2">
    <w:abstractNumId w:val="10"/>
  </w:num>
  <w:num w:numId="3">
    <w:abstractNumId w:val="15"/>
  </w:num>
  <w:num w:numId="4">
    <w:abstractNumId w:val="22"/>
  </w:num>
  <w:num w:numId="5">
    <w:abstractNumId w:val="20"/>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9"/>
  </w:num>
  <w:num w:numId="20">
    <w:abstractNumId w:val="13"/>
  </w:num>
  <w:num w:numId="21">
    <w:abstractNumId w:val="11"/>
  </w:num>
  <w:num w:numId="22">
    <w:abstractNumId w:val="16"/>
  </w:num>
  <w:num w:numId="23">
    <w:abstractNumId w:val="24"/>
  </w:num>
  <w:num w:numId="24">
    <w:abstractNumId w:val="21"/>
  </w:num>
  <w:num w:numId="25">
    <w:abstractNumId w:val="17"/>
  </w:num>
  <w:num w:numId="26">
    <w:abstractNumId w:val="12"/>
  </w:num>
  <w:num w:numId="27">
    <w:abstractNumId w:val="25"/>
  </w:num>
  <w:num w:numId="28">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432"/>
  <w:noPunctuationKerning/>
  <w:characterSpacingControl w:val="doNotCompress"/>
  <w:hdrShapeDefaults>
    <o:shapedefaults v:ext="edit" spidmax="4097"/>
  </w:hdrShapeDefaults>
  <w:footnotePr>
    <w:numFmt w:val="lowerRoman"/>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2sDQ1NDO0AFKmhko6SsGpxcWZ+XkgBSa1AKKJYzksAAAA"/>
  </w:docVars>
  <w:rsids>
    <w:rsidRoot w:val="00C21837"/>
    <w:rsid w:val="000038AF"/>
    <w:rsid w:val="000039B1"/>
    <w:rsid w:val="000043CE"/>
    <w:rsid w:val="00004B11"/>
    <w:rsid w:val="00006316"/>
    <w:rsid w:val="00006D5D"/>
    <w:rsid w:val="00013639"/>
    <w:rsid w:val="0001418E"/>
    <w:rsid w:val="0001459A"/>
    <w:rsid w:val="0002211A"/>
    <w:rsid w:val="00023240"/>
    <w:rsid w:val="00026031"/>
    <w:rsid w:val="00026620"/>
    <w:rsid w:val="00027332"/>
    <w:rsid w:val="00032001"/>
    <w:rsid w:val="00037AFC"/>
    <w:rsid w:val="000428CD"/>
    <w:rsid w:val="00044A6B"/>
    <w:rsid w:val="000522A5"/>
    <w:rsid w:val="0005438D"/>
    <w:rsid w:val="00057708"/>
    <w:rsid w:val="00057800"/>
    <w:rsid w:val="00057AC2"/>
    <w:rsid w:val="00061E9F"/>
    <w:rsid w:val="000629F2"/>
    <w:rsid w:val="00063428"/>
    <w:rsid w:val="0006715C"/>
    <w:rsid w:val="000719F2"/>
    <w:rsid w:val="00071DCC"/>
    <w:rsid w:val="00072985"/>
    <w:rsid w:val="00072CEC"/>
    <w:rsid w:val="00072D07"/>
    <w:rsid w:val="00073933"/>
    <w:rsid w:val="00073B31"/>
    <w:rsid w:val="0008228C"/>
    <w:rsid w:val="00085713"/>
    <w:rsid w:val="00086BB3"/>
    <w:rsid w:val="000912C5"/>
    <w:rsid w:val="00096286"/>
    <w:rsid w:val="000972F1"/>
    <w:rsid w:val="000A15D3"/>
    <w:rsid w:val="000A397E"/>
    <w:rsid w:val="000A4AB4"/>
    <w:rsid w:val="000A5B17"/>
    <w:rsid w:val="000A6D5F"/>
    <w:rsid w:val="000B5AF3"/>
    <w:rsid w:val="000B7666"/>
    <w:rsid w:val="000C0D50"/>
    <w:rsid w:val="000D063A"/>
    <w:rsid w:val="000D6B25"/>
    <w:rsid w:val="000E2041"/>
    <w:rsid w:val="000E5D07"/>
    <w:rsid w:val="000F0F13"/>
    <w:rsid w:val="000F0F58"/>
    <w:rsid w:val="000F31A8"/>
    <w:rsid w:val="000F73E5"/>
    <w:rsid w:val="00101516"/>
    <w:rsid w:val="00104432"/>
    <w:rsid w:val="0011176D"/>
    <w:rsid w:val="00112FDF"/>
    <w:rsid w:val="001134CA"/>
    <w:rsid w:val="00115187"/>
    <w:rsid w:val="00115A47"/>
    <w:rsid w:val="0011645E"/>
    <w:rsid w:val="0011675E"/>
    <w:rsid w:val="00120DD5"/>
    <w:rsid w:val="001225AC"/>
    <w:rsid w:val="00122D6C"/>
    <w:rsid w:val="00126E63"/>
    <w:rsid w:val="001273D0"/>
    <w:rsid w:val="00127AAA"/>
    <w:rsid w:val="001322E0"/>
    <w:rsid w:val="00132351"/>
    <w:rsid w:val="00137363"/>
    <w:rsid w:val="00141881"/>
    <w:rsid w:val="00145E9B"/>
    <w:rsid w:val="001474DD"/>
    <w:rsid w:val="001475EA"/>
    <w:rsid w:val="00155776"/>
    <w:rsid w:val="00155A50"/>
    <w:rsid w:val="001619F9"/>
    <w:rsid w:val="00161CD4"/>
    <w:rsid w:val="0016474D"/>
    <w:rsid w:val="00167AB7"/>
    <w:rsid w:val="00174EED"/>
    <w:rsid w:val="0018108D"/>
    <w:rsid w:val="00183659"/>
    <w:rsid w:val="001905A1"/>
    <w:rsid w:val="001935F4"/>
    <w:rsid w:val="001A3BF2"/>
    <w:rsid w:val="001A428C"/>
    <w:rsid w:val="001B1962"/>
    <w:rsid w:val="001B50D0"/>
    <w:rsid w:val="001B6770"/>
    <w:rsid w:val="001C2F91"/>
    <w:rsid w:val="001C4171"/>
    <w:rsid w:val="001C4F06"/>
    <w:rsid w:val="001D0C0B"/>
    <w:rsid w:val="001D2B8F"/>
    <w:rsid w:val="001D413E"/>
    <w:rsid w:val="001D47D9"/>
    <w:rsid w:val="001D490A"/>
    <w:rsid w:val="001D4FAC"/>
    <w:rsid w:val="001D798E"/>
    <w:rsid w:val="001E02D2"/>
    <w:rsid w:val="001E3A09"/>
    <w:rsid w:val="001E5985"/>
    <w:rsid w:val="001E72FA"/>
    <w:rsid w:val="001F194A"/>
    <w:rsid w:val="00202FE1"/>
    <w:rsid w:val="00203666"/>
    <w:rsid w:val="00203C8E"/>
    <w:rsid w:val="00210BC7"/>
    <w:rsid w:val="00211012"/>
    <w:rsid w:val="0021164C"/>
    <w:rsid w:val="0021320D"/>
    <w:rsid w:val="002158FF"/>
    <w:rsid w:val="002163E5"/>
    <w:rsid w:val="0022027E"/>
    <w:rsid w:val="00220764"/>
    <w:rsid w:val="002208F9"/>
    <w:rsid w:val="00220CF0"/>
    <w:rsid w:val="00226D20"/>
    <w:rsid w:val="00235123"/>
    <w:rsid w:val="00236617"/>
    <w:rsid w:val="00240B44"/>
    <w:rsid w:val="00240D29"/>
    <w:rsid w:val="00241860"/>
    <w:rsid w:val="0024208F"/>
    <w:rsid w:val="0024226A"/>
    <w:rsid w:val="00242447"/>
    <w:rsid w:val="00243991"/>
    <w:rsid w:val="00245499"/>
    <w:rsid w:val="00250021"/>
    <w:rsid w:val="00253C24"/>
    <w:rsid w:val="0026016E"/>
    <w:rsid w:val="00264C4E"/>
    <w:rsid w:val="00264D52"/>
    <w:rsid w:val="00265802"/>
    <w:rsid w:val="00265E95"/>
    <w:rsid w:val="0026737C"/>
    <w:rsid w:val="002721C6"/>
    <w:rsid w:val="00273E46"/>
    <w:rsid w:val="00277CA6"/>
    <w:rsid w:val="002801F8"/>
    <w:rsid w:val="00287513"/>
    <w:rsid w:val="00291DAB"/>
    <w:rsid w:val="00294B5D"/>
    <w:rsid w:val="002956FE"/>
    <w:rsid w:val="00295744"/>
    <w:rsid w:val="00297388"/>
    <w:rsid w:val="002A3777"/>
    <w:rsid w:val="002B08F6"/>
    <w:rsid w:val="002B412C"/>
    <w:rsid w:val="002B6117"/>
    <w:rsid w:val="002C2D7C"/>
    <w:rsid w:val="002C476E"/>
    <w:rsid w:val="002D1882"/>
    <w:rsid w:val="002D46F7"/>
    <w:rsid w:val="002D57AF"/>
    <w:rsid w:val="002E0DE1"/>
    <w:rsid w:val="002E45E2"/>
    <w:rsid w:val="002E5740"/>
    <w:rsid w:val="002E5AF2"/>
    <w:rsid w:val="002F1560"/>
    <w:rsid w:val="002F6547"/>
    <w:rsid w:val="00301534"/>
    <w:rsid w:val="00301FB5"/>
    <w:rsid w:val="003040FC"/>
    <w:rsid w:val="003044F9"/>
    <w:rsid w:val="003076DD"/>
    <w:rsid w:val="00310978"/>
    <w:rsid w:val="00315B0E"/>
    <w:rsid w:val="00317005"/>
    <w:rsid w:val="00320E88"/>
    <w:rsid w:val="00324F64"/>
    <w:rsid w:val="00325571"/>
    <w:rsid w:val="00327D26"/>
    <w:rsid w:val="0034088D"/>
    <w:rsid w:val="003409B7"/>
    <w:rsid w:val="003424DF"/>
    <w:rsid w:val="00342A3D"/>
    <w:rsid w:val="0034330B"/>
    <w:rsid w:val="0034470E"/>
    <w:rsid w:val="00345C2E"/>
    <w:rsid w:val="00354CEB"/>
    <w:rsid w:val="00357835"/>
    <w:rsid w:val="00361E3F"/>
    <w:rsid w:val="00363AD7"/>
    <w:rsid w:val="003652A8"/>
    <w:rsid w:val="00365FA2"/>
    <w:rsid w:val="00366DAB"/>
    <w:rsid w:val="00371B68"/>
    <w:rsid w:val="0039287A"/>
    <w:rsid w:val="00392BBA"/>
    <w:rsid w:val="00394536"/>
    <w:rsid w:val="00394E0C"/>
    <w:rsid w:val="0039517B"/>
    <w:rsid w:val="0039611E"/>
    <w:rsid w:val="00396228"/>
    <w:rsid w:val="003A06A7"/>
    <w:rsid w:val="003A4989"/>
    <w:rsid w:val="003B473D"/>
    <w:rsid w:val="003B5E0F"/>
    <w:rsid w:val="003B7C5D"/>
    <w:rsid w:val="003C1A7E"/>
    <w:rsid w:val="003C5F37"/>
    <w:rsid w:val="003D4FF6"/>
    <w:rsid w:val="003D54BD"/>
    <w:rsid w:val="003D74DA"/>
    <w:rsid w:val="003D7857"/>
    <w:rsid w:val="003E0E08"/>
    <w:rsid w:val="003E1A0F"/>
    <w:rsid w:val="003E1D77"/>
    <w:rsid w:val="003E498D"/>
    <w:rsid w:val="003E5965"/>
    <w:rsid w:val="003E68CE"/>
    <w:rsid w:val="0040422A"/>
    <w:rsid w:val="004048C7"/>
    <w:rsid w:val="00405010"/>
    <w:rsid w:val="00406EE8"/>
    <w:rsid w:val="00410A3D"/>
    <w:rsid w:val="00411783"/>
    <w:rsid w:val="00414451"/>
    <w:rsid w:val="00423797"/>
    <w:rsid w:val="00426888"/>
    <w:rsid w:val="00431AD1"/>
    <w:rsid w:val="00433998"/>
    <w:rsid w:val="00433B49"/>
    <w:rsid w:val="00433C57"/>
    <w:rsid w:val="00437741"/>
    <w:rsid w:val="00450B30"/>
    <w:rsid w:val="00450C1A"/>
    <w:rsid w:val="0045420E"/>
    <w:rsid w:val="0045463F"/>
    <w:rsid w:val="004664A8"/>
    <w:rsid w:val="00467289"/>
    <w:rsid w:val="004737F4"/>
    <w:rsid w:val="00477B7E"/>
    <w:rsid w:val="00482604"/>
    <w:rsid w:val="0048589D"/>
    <w:rsid w:val="00494C53"/>
    <w:rsid w:val="00496D5C"/>
    <w:rsid w:val="004A24BA"/>
    <w:rsid w:val="004A2CC5"/>
    <w:rsid w:val="004A2F3F"/>
    <w:rsid w:val="004A2FDD"/>
    <w:rsid w:val="004A5C49"/>
    <w:rsid w:val="004A611B"/>
    <w:rsid w:val="004B0C38"/>
    <w:rsid w:val="004B40DE"/>
    <w:rsid w:val="004B4B0C"/>
    <w:rsid w:val="004B5AF8"/>
    <w:rsid w:val="004B793C"/>
    <w:rsid w:val="004C1ABF"/>
    <w:rsid w:val="004D7C86"/>
    <w:rsid w:val="004E1BC9"/>
    <w:rsid w:val="004E3F61"/>
    <w:rsid w:val="004E7A2B"/>
    <w:rsid w:val="004E7FE7"/>
    <w:rsid w:val="004F2ED6"/>
    <w:rsid w:val="004F3D21"/>
    <w:rsid w:val="004F670A"/>
    <w:rsid w:val="005034A6"/>
    <w:rsid w:val="00513554"/>
    <w:rsid w:val="005205DE"/>
    <w:rsid w:val="005310D7"/>
    <w:rsid w:val="00536D47"/>
    <w:rsid w:val="005372AC"/>
    <w:rsid w:val="00540C6E"/>
    <w:rsid w:val="005421E3"/>
    <w:rsid w:val="0054455F"/>
    <w:rsid w:val="00545209"/>
    <w:rsid w:val="005456DB"/>
    <w:rsid w:val="005543F8"/>
    <w:rsid w:val="0056656F"/>
    <w:rsid w:val="005701A3"/>
    <w:rsid w:val="00575A28"/>
    <w:rsid w:val="00583EE1"/>
    <w:rsid w:val="00584003"/>
    <w:rsid w:val="00590ACB"/>
    <w:rsid w:val="00595E53"/>
    <w:rsid w:val="00597152"/>
    <w:rsid w:val="005A103D"/>
    <w:rsid w:val="005A3584"/>
    <w:rsid w:val="005A51D9"/>
    <w:rsid w:val="005A54E3"/>
    <w:rsid w:val="005B0F41"/>
    <w:rsid w:val="005B1CC8"/>
    <w:rsid w:val="005B2168"/>
    <w:rsid w:val="005B2781"/>
    <w:rsid w:val="005B29FF"/>
    <w:rsid w:val="005B6DAD"/>
    <w:rsid w:val="005B7046"/>
    <w:rsid w:val="005C33D7"/>
    <w:rsid w:val="005C6537"/>
    <w:rsid w:val="005D03F5"/>
    <w:rsid w:val="005D09EA"/>
    <w:rsid w:val="005D6860"/>
    <w:rsid w:val="005E20EF"/>
    <w:rsid w:val="005E217E"/>
    <w:rsid w:val="005E2A37"/>
    <w:rsid w:val="005E2E97"/>
    <w:rsid w:val="005E3719"/>
    <w:rsid w:val="005E3AA1"/>
    <w:rsid w:val="005E4B64"/>
    <w:rsid w:val="005E62DA"/>
    <w:rsid w:val="005E7C62"/>
    <w:rsid w:val="005F29C5"/>
    <w:rsid w:val="005F3593"/>
    <w:rsid w:val="005F6A58"/>
    <w:rsid w:val="00603DCE"/>
    <w:rsid w:val="00604673"/>
    <w:rsid w:val="00606397"/>
    <w:rsid w:val="00610FBB"/>
    <w:rsid w:val="00614BE0"/>
    <w:rsid w:val="00614CED"/>
    <w:rsid w:val="006236A6"/>
    <w:rsid w:val="00625B8D"/>
    <w:rsid w:val="0062733D"/>
    <w:rsid w:val="0062747E"/>
    <w:rsid w:val="0063009A"/>
    <w:rsid w:val="00632D40"/>
    <w:rsid w:val="006358AF"/>
    <w:rsid w:val="006438D7"/>
    <w:rsid w:val="0064551D"/>
    <w:rsid w:val="00646981"/>
    <w:rsid w:val="006516EA"/>
    <w:rsid w:val="00657012"/>
    <w:rsid w:val="0066141D"/>
    <w:rsid w:val="006623EE"/>
    <w:rsid w:val="00666039"/>
    <w:rsid w:val="006667B0"/>
    <w:rsid w:val="00667AA8"/>
    <w:rsid w:val="0067294D"/>
    <w:rsid w:val="00672D78"/>
    <w:rsid w:val="006A14E2"/>
    <w:rsid w:val="006A24E8"/>
    <w:rsid w:val="006A4A61"/>
    <w:rsid w:val="006A59E9"/>
    <w:rsid w:val="006A7DC3"/>
    <w:rsid w:val="006B4143"/>
    <w:rsid w:val="006B43A9"/>
    <w:rsid w:val="006B7400"/>
    <w:rsid w:val="006C0F4D"/>
    <w:rsid w:val="006D15B8"/>
    <w:rsid w:val="006D5BEC"/>
    <w:rsid w:val="006D683D"/>
    <w:rsid w:val="006D75B4"/>
    <w:rsid w:val="006E2388"/>
    <w:rsid w:val="006E4C50"/>
    <w:rsid w:val="006E5AEC"/>
    <w:rsid w:val="006E62D8"/>
    <w:rsid w:val="006E6B9A"/>
    <w:rsid w:val="006E73D2"/>
    <w:rsid w:val="006F2BDF"/>
    <w:rsid w:val="0070240C"/>
    <w:rsid w:val="007024BE"/>
    <w:rsid w:val="007031FD"/>
    <w:rsid w:val="00705C4B"/>
    <w:rsid w:val="00707782"/>
    <w:rsid w:val="007153F2"/>
    <w:rsid w:val="00717A52"/>
    <w:rsid w:val="007352EB"/>
    <w:rsid w:val="00742FE2"/>
    <w:rsid w:val="00744D13"/>
    <w:rsid w:val="00745FDE"/>
    <w:rsid w:val="00750B44"/>
    <w:rsid w:val="00751AFB"/>
    <w:rsid w:val="00753585"/>
    <w:rsid w:val="00753E3D"/>
    <w:rsid w:val="00755783"/>
    <w:rsid w:val="007604BB"/>
    <w:rsid w:val="00760F96"/>
    <w:rsid w:val="0076169F"/>
    <w:rsid w:val="00761EC9"/>
    <w:rsid w:val="00762691"/>
    <w:rsid w:val="007631CD"/>
    <w:rsid w:val="007642C8"/>
    <w:rsid w:val="00767011"/>
    <w:rsid w:val="00771215"/>
    <w:rsid w:val="007718CD"/>
    <w:rsid w:val="00776B0B"/>
    <w:rsid w:val="00777F40"/>
    <w:rsid w:val="0078167E"/>
    <w:rsid w:val="007818DD"/>
    <w:rsid w:val="00783104"/>
    <w:rsid w:val="0078451B"/>
    <w:rsid w:val="00784617"/>
    <w:rsid w:val="00785BD7"/>
    <w:rsid w:val="00786331"/>
    <w:rsid w:val="007874BD"/>
    <w:rsid w:val="007875C7"/>
    <w:rsid w:val="00791225"/>
    <w:rsid w:val="00791BAA"/>
    <w:rsid w:val="00795760"/>
    <w:rsid w:val="00797737"/>
    <w:rsid w:val="007979C1"/>
    <w:rsid w:val="007A6F79"/>
    <w:rsid w:val="007B13C8"/>
    <w:rsid w:val="007B18DF"/>
    <w:rsid w:val="007B29C0"/>
    <w:rsid w:val="007B31C9"/>
    <w:rsid w:val="007B729A"/>
    <w:rsid w:val="007C0F55"/>
    <w:rsid w:val="007C110D"/>
    <w:rsid w:val="007C354D"/>
    <w:rsid w:val="007D3F3C"/>
    <w:rsid w:val="007D4156"/>
    <w:rsid w:val="007D4426"/>
    <w:rsid w:val="007D53A5"/>
    <w:rsid w:val="007D58E9"/>
    <w:rsid w:val="007E02F5"/>
    <w:rsid w:val="007E6988"/>
    <w:rsid w:val="007F2D4B"/>
    <w:rsid w:val="007F3C24"/>
    <w:rsid w:val="007F78FB"/>
    <w:rsid w:val="00800062"/>
    <w:rsid w:val="00802052"/>
    <w:rsid w:val="00806440"/>
    <w:rsid w:val="00811FE8"/>
    <w:rsid w:val="00812BAB"/>
    <w:rsid w:val="0081316A"/>
    <w:rsid w:val="00813699"/>
    <w:rsid w:val="00813A32"/>
    <w:rsid w:val="00816CEC"/>
    <w:rsid w:val="0082170E"/>
    <w:rsid w:val="00823F81"/>
    <w:rsid w:val="00827168"/>
    <w:rsid w:val="008323F1"/>
    <w:rsid w:val="00833FCA"/>
    <w:rsid w:val="00836E60"/>
    <w:rsid w:val="008370C0"/>
    <w:rsid w:val="00840F7C"/>
    <w:rsid w:val="00841B26"/>
    <w:rsid w:val="0084390C"/>
    <w:rsid w:val="008449E0"/>
    <w:rsid w:val="008515A0"/>
    <w:rsid w:val="00853B13"/>
    <w:rsid w:val="00855168"/>
    <w:rsid w:val="008557AF"/>
    <w:rsid w:val="00860F46"/>
    <w:rsid w:val="00863A51"/>
    <w:rsid w:val="00864E60"/>
    <w:rsid w:val="00865300"/>
    <w:rsid w:val="00866DC9"/>
    <w:rsid w:val="00867EC0"/>
    <w:rsid w:val="00870070"/>
    <w:rsid w:val="008706F3"/>
    <w:rsid w:val="00871042"/>
    <w:rsid w:val="00874FD5"/>
    <w:rsid w:val="00877248"/>
    <w:rsid w:val="00880082"/>
    <w:rsid w:val="008873C2"/>
    <w:rsid w:val="00893FC9"/>
    <w:rsid w:val="00895B71"/>
    <w:rsid w:val="008B2A1D"/>
    <w:rsid w:val="008C4833"/>
    <w:rsid w:val="008C7096"/>
    <w:rsid w:val="008D01F2"/>
    <w:rsid w:val="008D0ABC"/>
    <w:rsid w:val="008D2A78"/>
    <w:rsid w:val="008D5436"/>
    <w:rsid w:val="008F04D7"/>
    <w:rsid w:val="008F5848"/>
    <w:rsid w:val="008F63DD"/>
    <w:rsid w:val="008F757E"/>
    <w:rsid w:val="00901E3B"/>
    <w:rsid w:val="00901F28"/>
    <w:rsid w:val="00905211"/>
    <w:rsid w:val="0090586A"/>
    <w:rsid w:val="00905F29"/>
    <w:rsid w:val="0090637F"/>
    <w:rsid w:val="00907565"/>
    <w:rsid w:val="00913C32"/>
    <w:rsid w:val="0091667D"/>
    <w:rsid w:val="00920095"/>
    <w:rsid w:val="00920CAC"/>
    <w:rsid w:val="00921F7E"/>
    <w:rsid w:val="009224A1"/>
    <w:rsid w:val="00925A73"/>
    <w:rsid w:val="00930FF8"/>
    <w:rsid w:val="009333DC"/>
    <w:rsid w:val="0093685C"/>
    <w:rsid w:val="00942224"/>
    <w:rsid w:val="00945760"/>
    <w:rsid w:val="00954408"/>
    <w:rsid w:val="009703AE"/>
    <w:rsid w:val="0097116F"/>
    <w:rsid w:val="0097231B"/>
    <w:rsid w:val="0097607F"/>
    <w:rsid w:val="00976142"/>
    <w:rsid w:val="00976907"/>
    <w:rsid w:val="00980DAF"/>
    <w:rsid w:val="0098375F"/>
    <w:rsid w:val="00984E4A"/>
    <w:rsid w:val="009856A7"/>
    <w:rsid w:val="0099267E"/>
    <w:rsid w:val="009931D4"/>
    <w:rsid w:val="009932A5"/>
    <w:rsid w:val="00995398"/>
    <w:rsid w:val="009958A3"/>
    <w:rsid w:val="009979F8"/>
    <w:rsid w:val="009A03BC"/>
    <w:rsid w:val="009A1F94"/>
    <w:rsid w:val="009A3588"/>
    <w:rsid w:val="009A4CE9"/>
    <w:rsid w:val="009A617C"/>
    <w:rsid w:val="009A6F1E"/>
    <w:rsid w:val="009C0B72"/>
    <w:rsid w:val="009C4089"/>
    <w:rsid w:val="009C4EB0"/>
    <w:rsid w:val="009C5CEA"/>
    <w:rsid w:val="009D2E98"/>
    <w:rsid w:val="009D34E0"/>
    <w:rsid w:val="009D3B15"/>
    <w:rsid w:val="009D42C8"/>
    <w:rsid w:val="009E0196"/>
    <w:rsid w:val="009E2A25"/>
    <w:rsid w:val="009E4AD3"/>
    <w:rsid w:val="009E6ECC"/>
    <w:rsid w:val="009F4799"/>
    <w:rsid w:val="009F549D"/>
    <w:rsid w:val="009F585C"/>
    <w:rsid w:val="00A1116A"/>
    <w:rsid w:val="00A168E1"/>
    <w:rsid w:val="00A16A02"/>
    <w:rsid w:val="00A176E2"/>
    <w:rsid w:val="00A24EBD"/>
    <w:rsid w:val="00A24EE0"/>
    <w:rsid w:val="00A33133"/>
    <w:rsid w:val="00A3400E"/>
    <w:rsid w:val="00A342DB"/>
    <w:rsid w:val="00A35DB2"/>
    <w:rsid w:val="00A40E04"/>
    <w:rsid w:val="00A42E90"/>
    <w:rsid w:val="00A432D0"/>
    <w:rsid w:val="00A43486"/>
    <w:rsid w:val="00A46235"/>
    <w:rsid w:val="00A50CE3"/>
    <w:rsid w:val="00A51CBC"/>
    <w:rsid w:val="00A5399D"/>
    <w:rsid w:val="00A55306"/>
    <w:rsid w:val="00A57047"/>
    <w:rsid w:val="00A62A76"/>
    <w:rsid w:val="00A64EBD"/>
    <w:rsid w:val="00A65066"/>
    <w:rsid w:val="00A76493"/>
    <w:rsid w:val="00A7671A"/>
    <w:rsid w:val="00A77CD1"/>
    <w:rsid w:val="00A84BAF"/>
    <w:rsid w:val="00A858E0"/>
    <w:rsid w:val="00A85E33"/>
    <w:rsid w:val="00A9000B"/>
    <w:rsid w:val="00A90B58"/>
    <w:rsid w:val="00A974B4"/>
    <w:rsid w:val="00AA0111"/>
    <w:rsid w:val="00AA0F55"/>
    <w:rsid w:val="00AB3C9D"/>
    <w:rsid w:val="00AB6C96"/>
    <w:rsid w:val="00AB7B83"/>
    <w:rsid w:val="00AC16CF"/>
    <w:rsid w:val="00AC2F24"/>
    <w:rsid w:val="00AC55E1"/>
    <w:rsid w:val="00AC785F"/>
    <w:rsid w:val="00AD2A31"/>
    <w:rsid w:val="00AD3055"/>
    <w:rsid w:val="00AD4795"/>
    <w:rsid w:val="00AD4ADB"/>
    <w:rsid w:val="00AE2E34"/>
    <w:rsid w:val="00AF2EB6"/>
    <w:rsid w:val="00AF3CB1"/>
    <w:rsid w:val="00AF5A25"/>
    <w:rsid w:val="00AF5D7A"/>
    <w:rsid w:val="00AF6CFB"/>
    <w:rsid w:val="00AF7231"/>
    <w:rsid w:val="00B015E5"/>
    <w:rsid w:val="00B10FE8"/>
    <w:rsid w:val="00B1185B"/>
    <w:rsid w:val="00B14709"/>
    <w:rsid w:val="00B22CB9"/>
    <w:rsid w:val="00B249CE"/>
    <w:rsid w:val="00B310B0"/>
    <w:rsid w:val="00B3277F"/>
    <w:rsid w:val="00B3328B"/>
    <w:rsid w:val="00B35B2B"/>
    <w:rsid w:val="00B375C0"/>
    <w:rsid w:val="00B43956"/>
    <w:rsid w:val="00B501FE"/>
    <w:rsid w:val="00B53CE1"/>
    <w:rsid w:val="00B54B76"/>
    <w:rsid w:val="00B60748"/>
    <w:rsid w:val="00B63395"/>
    <w:rsid w:val="00B67D57"/>
    <w:rsid w:val="00B73A3D"/>
    <w:rsid w:val="00B73B1C"/>
    <w:rsid w:val="00B81AD0"/>
    <w:rsid w:val="00B87501"/>
    <w:rsid w:val="00B90AD7"/>
    <w:rsid w:val="00BA0527"/>
    <w:rsid w:val="00BB2BAF"/>
    <w:rsid w:val="00BB5C6A"/>
    <w:rsid w:val="00BB5FEF"/>
    <w:rsid w:val="00BC2E07"/>
    <w:rsid w:val="00BC4EDB"/>
    <w:rsid w:val="00BC6237"/>
    <w:rsid w:val="00BC6486"/>
    <w:rsid w:val="00BD36B1"/>
    <w:rsid w:val="00BE0723"/>
    <w:rsid w:val="00BE1B79"/>
    <w:rsid w:val="00BE4C38"/>
    <w:rsid w:val="00BE5D87"/>
    <w:rsid w:val="00BE7D93"/>
    <w:rsid w:val="00BF0FAD"/>
    <w:rsid w:val="00BF2CB9"/>
    <w:rsid w:val="00BF36BC"/>
    <w:rsid w:val="00BF6408"/>
    <w:rsid w:val="00C205AE"/>
    <w:rsid w:val="00C21837"/>
    <w:rsid w:val="00C21892"/>
    <w:rsid w:val="00C25F59"/>
    <w:rsid w:val="00C26AFD"/>
    <w:rsid w:val="00C27E9F"/>
    <w:rsid w:val="00C328F3"/>
    <w:rsid w:val="00C33957"/>
    <w:rsid w:val="00C34B11"/>
    <w:rsid w:val="00C3715B"/>
    <w:rsid w:val="00C37E9C"/>
    <w:rsid w:val="00C40A87"/>
    <w:rsid w:val="00C41566"/>
    <w:rsid w:val="00C41A9B"/>
    <w:rsid w:val="00C42F09"/>
    <w:rsid w:val="00C46A8E"/>
    <w:rsid w:val="00C505FF"/>
    <w:rsid w:val="00C5125D"/>
    <w:rsid w:val="00C535E6"/>
    <w:rsid w:val="00C543E9"/>
    <w:rsid w:val="00C54E4E"/>
    <w:rsid w:val="00C61CBE"/>
    <w:rsid w:val="00C646A8"/>
    <w:rsid w:val="00C66C6F"/>
    <w:rsid w:val="00C6708A"/>
    <w:rsid w:val="00C70115"/>
    <w:rsid w:val="00C7034C"/>
    <w:rsid w:val="00C74553"/>
    <w:rsid w:val="00C7566E"/>
    <w:rsid w:val="00C774CA"/>
    <w:rsid w:val="00C776C3"/>
    <w:rsid w:val="00C77763"/>
    <w:rsid w:val="00C778E3"/>
    <w:rsid w:val="00C81150"/>
    <w:rsid w:val="00C825BB"/>
    <w:rsid w:val="00C84C34"/>
    <w:rsid w:val="00C86DEA"/>
    <w:rsid w:val="00C90814"/>
    <w:rsid w:val="00C921B4"/>
    <w:rsid w:val="00C9410E"/>
    <w:rsid w:val="00C95414"/>
    <w:rsid w:val="00C9566A"/>
    <w:rsid w:val="00CA6FDF"/>
    <w:rsid w:val="00CB182C"/>
    <w:rsid w:val="00CB1A3C"/>
    <w:rsid w:val="00CC62D6"/>
    <w:rsid w:val="00CC73D9"/>
    <w:rsid w:val="00CD1989"/>
    <w:rsid w:val="00CD5BB7"/>
    <w:rsid w:val="00CD6851"/>
    <w:rsid w:val="00CD79FF"/>
    <w:rsid w:val="00CE11D1"/>
    <w:rsid w:val="00CE36F6"/>
    <w:rsid w:val="00CE4E87"/>
    <w:rsid w:val="00CE5FCD"/>
    <w:rsid w:val="00CE60B0"/>
    <w:rsid w:val="00CF011A"/>
    <w:rsid w:val="00CF609B"/>
    <w:rsid w:val="00D02800"/>
    <w:rsid w:val="00D0315A"/>
    <w:rsid w:val="00D0586D"/>
    <w:rsid w:val="00D075CF"/>
    <w:rsid w:val="00D07870"/>
    <w:rsid w:val="00D10F57"/>
    <w:rsid w:val="00D16157"/>
    <w:rsid w:val="00D2096A"/>
    <w:rsid w:val="00D23C07"/>
    <w:rsid w:val="00D3056C"/>
    <w:rsid w:val="00D3246B"/>
    <w:rsid w:val="00D328A3"/>
    <w:rsid w:val="00D34457"/>
    <w:rsid w:val="00D358E1"/>
    <w:rsid w:val="00D463EC"/>
    <w:rsid w:val="00D520D4"/>
    <w:rsid w:val="00D53C74"/>
    <w:rsid w:val="00D631E1"/>
    <w:rsid w:val="00D7090D"/>
    <w:rsid w:val="00D721B6"/>
    <w:rsid w:val="00D732A3"/>
    <w:rsid w:val="00D762CF"/>
    <w:rsid w:val="00D82D82"/>
    <w:rsid w:val="00D83844"/>
    <w:rsid w:val="00D860AD"/>
    <w:rsid w:val="00D9110E"/>
    <w:rsid w:val="00D940AD"/>
    <w:rsid w:val="00D97A36"/>
    <w:rsid w:val="00DA3A97"/>
    <w:rsid w:val="00DA7BD9"/>
    <w:rsid w:val="00DB1C30"/>
    <w:rsid w:val="00DB250E"/>
    <w:rsid w:val="00DB61CA"/>
    <w:rsid w:val="00DB693B"/>
    <w:rsid w:val="00DC4023"/>
    <w:rsid w:val="00DD1DB9"/>
    <w:rsid w:val="00DD4B04"/>
    <w:rsid w:val="00DD4BB0"/>
    <w:rsid w:val="00DD5604"/>
    <w:rsid w:val="00DD7922"/>
    <w:rsid w:val="00DE108A"/>
    <w:rsid w:val="00DE21D8"/>
    <w:rsid w:val="00DE2258"/>
    <w:rsid w:val="00DE5CFB"/>
    <w:rsid w:val="00DE6526"/>
    <w:rsid w:val="00DF0827"/>
    <w:rsid w:val="00DF1E78"/>
    <w:rsid w:val="00DF4285"/>
    <w:rsid w:val="00DF6E15"/>
    <w:rsid w:val="00E078E0"/>
    <w:rsid w:val="00E0790B"/>
    <w:rsid w:val="00E10809"/>
    <w:rsid w:val="00E207C9"/>
    <w:rsid w:val="00E21C25"/>
    <w:rsid w:val="00E25444"/>
    <w:rsid w:val="00E34BFD"/>
    <w:rsid w:val="00E34F09"/>
    <w:rsid w:val="00E359A3"/>
    <w:rsid w:val="00E441E8"/>
    <w:rsid w:val="00E4508F"/>
    <w:rsid w:val="00E46A66"/>
    <w:rsid w:val="00E4740B"/>
    <w:rsid w:val="00E51CB8"/>
    <w:rsid w:val="00E5491D"/>
    <w:rsid w:val="00E54FD2"/>
    <w:rsid w:val="00E558DA"/>
    <w:rsid w:val="00E6249B"/>
    <w:rsid w:val="00E72639"/>
    <w:rsid w:val="00E72C51"/>
    <w:rsid w:val="00E74ED1"/>
    <w:rsid w:val="00E8487B"/>
    <w:rsid w:val="00E86044"/>
    <w:rsid w:val="00E8759E"/>
    <w:rsid w:val="00E90C5B"/>
    <w:rsid w:val="00E91611"/>
    <w:rsid w:val="00E918D4"/>
    <w:rsid w:val="00E93CAA"/>
    <w:rsid w:val="00E94CF2"/>
    <w:rsid w:val="00E96975"/>
    <w:rsid w:val="00EA17B6"/>
    <w:rsid w:val="00EA2864"/>
    <w:rsid w:val="00EB32A6"/>
    <w:rsid w:val="00EB416F"/>
    <w:rsid w:val="00EC4458"/>
    <w:rsid w:val="00EC5237"/>
    <w:rsid w:val="00EC5593"/>
    <w:rsid w:val="00EC6206"/>
    <w:rsid w:val="00ED14D3"/>
    <w:rsid w:val="00ED3C0A"/>
    <w:rsid w:val="00ED473F"/>
    <w:rsid w:val="00ED4AEE"/>
    <w:rsid w:val="00ED65FC"/>
    <w:rsid w:val="00EE0157"/>
    <w:rsid w:val="00EE1197"/>
    <w:rsid w:val="00EE2557"/>
    <w:rsid w:val="00EF14F9"/>
    <w:rsid w:val="00EF1B6D"/>
    <w:rsid w:val="00F01F2D"/>
    <w:rsid w:val="00F204F3"/>
    <w:rsid w:val="00F21E48"/>
    <w:rsid w:val="00F24FD0"/>
    <w:rsid w:val="00F30055"/>
    <w:rsid w:val="00F334C3"/>
    <w:rsid w:val="00F33ACC"/>
    <w:rsid w:val="00F366AA"/>
    <w:rsid w:val="00F51774"/>
    <w:rsid w:val="00F534EC"/>
    <w:rsid w:val="00F63865"/>
    <w:rsid w:val="00F66D10"/>
    <w:rsid w:val="00F73462"/>
    <w:rsid w:val="00F74CFB"/>
    <w:rsid w:val="00F814A3"/>
    <w:rsid w:val="00F83B74"/>
    <w:rsid w:val="00F84C08"/>
    <w:rsid w:val="00F87DA8"/>
    <w:rsid w:val="00F929EB"/>
    <w:rsid w:val="00F93590"/>
    <w:rsid w:val="00F93A6E"/>
    <w:rsid w:val="00FA4149"/>
    <w:rsid w:val="00FA4841"/>
    <w:rsid w:val="00FA4F94"/>
    <w:rsid w:val="00FB0247"/>
    <w:rsid w:val="00FB4368"/>
    <w:rsid w:val="00FB7231"/>
    <w:rsid w:val="00FB7544"/>
    <w:rsid w:val="00FC1834"/>
    <w:rsid w:val="00FC6036"/>
    <w:rsid w:val="00FD179B"/>
    <w:rsid w:val="00FD19D2"/>
    <w:rsid w:val="00FD25B3"/>
    <w:rsid w:val="00FE09DD"/>
    <w:rsid w:val="00FE5DCD"/>
    <w:rsid w:val="00FF014A"/>
    <w:rsid w:val="00FF0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EDED159"/>
  <w15:docId w15:val="{5A9D2F41-1905-42DD-8B51-E285F673A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21B6"/>
    <w:pPr>
      <w:spacing w:after="240"/>
    </w:pPr>
    <w:rPr>
      <w:spacing w:val="-2"/>
      <w:sz w:val="24"/>
      <w:szCs w:val="24"/>
    </w:rPr>
  </w:style>
  <w:style w:type="paragraph" w:styleId="Heading1">
    <w:name w:val="heading 1"/>
    <w:basedOn w:val="Heading2"/>
    <w:next w:val="Normal"/>
    <w:link w:val="Heading1Char"/>
    <w:qFormat/>
    <w:rsid w:val="005E217E"/>
    <w:pPr>
      <w:jc w:val="center"/>
      <w:outlineLvl w:val="0"/>
    </w:pPr>
    <w:rPr>
      <w:b/>
    </w:rPr>
  </w:style>
  <w:style w:type="paragraph" w:styleId="Heading2">
    <w:name w:val="heading 2"/>
    <w:basedOn w:val="Normal"/>
    <w:next w:val="Normal"/>
    <w:link w:val="Heading2Char"/>
    <w:qFormat/>
    <w:rsid w:val="00126E63"/>
    <w:pPr>
      <w:keepNext/>
      <w:spacing w:after="120"/>
      <w:outlineLvl w:val="1"/>
    </w:pPr>
    <w:rPr>
      <w:rFonts w:asciiTheme="minorHAnsi" w:hAnsiTheme="minorHAnsi" w:cstheme="minorHAnsi"/>
      <w:bCs/>
      <w:iCs/>
      <w:color w:val="00529B"/>
      <w:sz w:val="40"/>
      <w:szCs w:val="40"/>
    </w:rPr>
  </w:style>
  <w:style w:type="paragraph" w:styleId="Heading3">
    <w:name w:val="heading 3"/>
    <w:basedOn w:val="Normal"/>
    <w:next w:val="Normal"/>
    <w:qFormat/>
    <w:rsid w:val="00D721B6"/>
    <w:pPr>
      <w:keepNext/>
      <w:spacing w:after="180"/>
      <w:outlineLvl w:val="2"/>
    </w:pPr>
    <w:rPr>
      <w:rFonts w:asciiTheme="minorHAnsi" w:hAnsiTheme="minorHAnsi" w:cstheme="minorHAnsi"/>
      <w:b/>
      <w:bCs/>
      <w:color w:val="00529B"/>
      <w:sz w:val="30"/>
      <w:szCs w:val="30"/>
    </w:rPr>
  </w:style>
  <w:style w:type="paragraph" w:styleId="Heading4">
    <w:name w:val="heading 4"/>
    <w:basedOn w:val="Normal"/>
    <w:next w:val="Normal"/>
    <w:qFormat/>
    <w:rsid w:val="00D631E1"/>
    <w:pPr>
      <w:keepNext/>
      <w:spacing w:after="120"/>
      <w:ind w:left="432"/>
      <w:outlineLvl w:val="3"/>
    </w:pPr>
    <w:rPr>
      <w:rFonts w:asciiTheme="minorHAnsi" w:hAnsiTheme="minorHAnsi" w:cstheme="minorHAnsi"/>
      <w:b/>
      <w:bCs/>
      <w:i/>
      <w:color w:val="00529B"/>
      <w:sz w:val="30"/>
      <w:szCs w:val="30"/>
    </w:rPr>
  </w:style>
  <w:style w:type="paragraph" w:styleId="Heading5">
    <w:name w:val="heading 5"/>
    <w:basedOn w:val="Heading4"/>
    <w:next w:val="Normal"/>
    <w:qFormat/>
    <w:rsid w:val="001225AC"/>
    <w:pPr>
      <w:outlineLvl w:val="4"/>
    </w:pPr>
    <w:rPr>
      <w:b w:val="0"/>
    </w:rPr>
  </w:style>
  <w:style w:type="paragraph" w:styleId="Heading6">
    <w:name w:val="heading 6"/>
    <w:basedOn w:val="Heading5"/>
    <w:next w:val="Normal"/>
    <w:link w:val="Heading6Char"/>
    <w:unhideWhenUsed/>
    <w:qFormat/>
    <w:rsid w:val="00D631E1"/>
    <w:pPr>
      <w:ind w:left="1008"/>
      <w:outlineLvl w:val="5"/>
    </w:pPr>
    <w:rPr>
      <w:i w:val="0"/>
    </w:rPr>
  </w:style>
  <w:style w:type="paragraph" w:styleId="Heading7">
    <w:name w:val="heading 7"/>
    <w:basedOn w:val="Normal"/>
    <w:next w:val="Normal"/>
    <w:link w:val="Heading7Char"/>
    <w:semiHidden/>
    <w:unhideWhenUsed/>
    <w:qFormat/>
    <w:rsid w:val="00AC785F"/>
    <w:pPr>
      <w:keepNext/>
      <w:keepLines/>
      <w:spacing w:before="40" w:after="0"/>
      <w:outlineLvl w:val="6"/>
    </w:pPr>
    <w:rPr>
      <w:rFonts w:asciiTheme="majorHAnsi" w:eastAsiaTheme="majorEastAsia" w:hAnsiTheme="majorHAnsi" w:cstheme="majorBidi"/>
      <w:i/>
      <w:iCs/>
      <w:color w:val="00284D" w:themeColor="accent1" w:themeShade="7F"/>
    </w:rPr>
  </w:style>
  <w:style w:type="paragraph" w:styleId="Heading8">
    <w:name w:val="heading 8"/>
    <w:basedOn w:val="Normal"/>
    <w:next w:val="Normal"/>
    <w:link w:val="Heading8Char"/>
    <w:semiHidden/>
    <w:unhideWhenUsed/>
    <w:qFormat/>
    <w:rsid w:val="00AC785F"/>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qFormat/>
    <w:rsid w:val="00D721B6"/>
    <w:pPr>
      <w:numPr>
        <w:numId w:val="2"/>
      </w:numPr>
      <w:spacing w:after="120"/>
    </w:pPr>
  </w:style>
  <w:style w:type="paragraph" w:styleId="Subtitle">
    <w:name w:val="Subtitle"/>
    <w:basedOn w:val="ReportSubtitle"/>
    <w:next w:val="Normal"/>
    <w:link w:val="SubtitleChar"/>
    <w:qFormat/>
    <w:rsid w:val="006B4143"/>
    <w:pPr>
      <w:spacing w:after="3000"/>
    </w:pPr>
  </w:style>
  <w:style w:type="character" w:customStyle="1" w:styleId="SubtitleChar">
    <w:name w:val="Subtitle Char"/>
    <w:basedOn w:val="DefaultParagraphFont"/>
    <w:link w:val="Subtitle"/>
    <w:rsid w:val="006B4143"/>
    <w:rPr>
      <w:rFonts w:asciiTheme="minorHAnsi" w:eastAsia="Century Gothic" w:hAnsiTheme="minorHAnsi" w:cstheme="minorHAnsi"/>
      <w:b/>
      <w:i/>
      <w:color w:val="FFFFFF" w:themeColor="background1"/>
      <w:spacing w:val="-14"/>
      <w:sz w:val="40"/>
      <w:szCs w:val="40"/>
    </w:rPr>
  </w:style>
  <w:style w:type="paragraph" w:styleId="NormalIndent">
    <w:name w:val="Normal Indent"/>
    <w:basedOn w:val="Normal"/>
    <w:link w:val="NormalIndentChar"/>
    <w:unhideWhenUsed/>
    <w:qFormat/>
    <w:rsid w:val="009F549D"/>
    <w:pPr>
      <w:ind w:left="432"/>
    </w:pPr>
  </w:style>
  <w:style w:type="paragraph" w:customStyle="1" w:styleId="Note">
    <w:name w:val="Note"/>
    <w:basedOn w:val="Bullet"/>
    <w:next w:val="Normal"/>
    <w:rsid w:val="005D6860"/>
    <w:pPr>
      <w:numPr>
        <w:numId w:val="0"/>
      </w:numPr>
      <w:spacing w:before="120" w:after="240"/>
      <w:ind w:left="432" w:hanging="432"/>
    </w:pPr>
    <w:rPr>
      <w:rFonts w:ascii="Trebuchet MS" w:hAnsi="Trebuchet MS"/>
      <w:sz w:val="20"/>
      <w:szCs w:val="20"/>
    </w:rPr>
  </w:style>
  <w:style w:type="paragraph" w:customStyle="1" w:styleId="Source">
    <w:name w:val="Source"/>
    <w:basedOn w:val="Normal"/>
    <w:next w:val="Normal"/>
    <w:rsid w:val="005D6860"/>
    <w:pPr>
      <w:spacing w:before="120"/>
    </w:pPr>
    <w:rPr>
      <w:rFonts w:ascii="Trebuchet MS" w:hAnsi="Trebuchet MS"/>
      <w:sz w:val="20"/>
      <w:szCs w:val="20"/>
    </w:rPr>
  </w:style>
  <w:style w:type="paragraph" w:styleId="TOCHeading">
    <w:name w:val="TOC Heading"/>
    <w:next w:val="TOC1"/>
    <w:uiPriority w:val="39"/>
    <w:qFormat/>
    <w:rsid w:val="006B4143"/>
    <w:pPr>
      <w:spacing w:after="360"/>
      <w:jc w:val="center"/>
    </w:pPr>
    <w:rPr>
      <w:rFonts w:asciiTheme="minorHAnsi" w:hAnsiTheme="minorHAnsi" w:cstheme="minorHAnsi"/>
      <w:color w:val="00529B"/>
      <w:sz w:val="60"/>
      <w:szCs w:val="60"/>
    </w:rPr>
  </w:style>
  <w:style w:type="paragraph" w:styleId="TOC1">
    <w:name w:val="toc 1"/>
    <w:next w:val="Normal"/>
    <w:uiPriority w:val="39"/>
    <w:rsid w:val="00220764"/>
    <w:pPr>
      <w:tabs>
        <w:tab w:val="left" w:pos="432"/>
        <w:tab w:val="right" w:leader="dot" w:pos="9360"/>
      </w:tabs>
      <w:spacing w:before="240" w:after="120"/>
    </w:pPr>
    <w:rPr>
      <w:rFonts w:ascii="Calibri" w:hAnsi="Calibri"/>
      <w:sz w:val="24"/>
      <w:szCs w:val="22"/>
    </w:rPr>
  </w:style>
  <w:style w:type="paragraph" w:styleId="TOC5">
    <w:name w:val="toc 5"/>
    <w:basedOn w:val="Normal"/>
    <w:next w:val="Normal"/>
    <w:autoRedefine/>
    <w:semiHidden/>
    <w:rsid w:val="001F194A"/>
    <w:pPr>
      <w:ind w:left="864"/>
    </w:pPr>
    <w:rPr>
      <w:rFonts w:asciiTheme="minorHAnsi" w:hAnsiTheme="minorHAnsi"/>
      <w:sz w:val="20"/>
    </w:rPr>
  </w:style>
  <w:style w:type="paragraph" w:styleId="TOC2">
    <w:name w:val="toc 2"/>
    <w:basedOn w:val="Normal"/>
    <w:next w:val="Normal"/>
    <w:uiPriority w:val="39"/>
    <w:rsid w:val="00220764"/>
    <w:pPr>
      <w:tabs>
        <w:tab w:val="left" w:pos="0"/>
        <w:tab w:val="left" w:pos="864"/>
        <w:tab w:val="right" w:leader="dot" w:pos="9360"/>
      </w:tabs>
      <w:spacing w:after="120"/>
    </w:pPr>
    <w:rPr>
      <w:rFonts w:asciiTheme="minorHAnsi" w:hAnsiTheme="minorHAnsi"/>
      <w:i/>
    </w:rPr>
  </w:style>
  <w:style w:type="paragraph" w:styleId="TOC3">
    <w:name w:val="toc 3"/>
    <w:basedOn w:val="Normal"/>
    <w:next w:val="Normal"/>
    <w:uiPriority w:val="39"/>
    <w:rsid w:val="001F194A"/>
    <w:pPr>
      <w:tabs>
        <w:tab w:val="left" w:pos="1296"/>
        <w:tab w:val="right" w:leader="dot" w:pos="9360"/>
      </w:tabs>
      <w:spacing w:after="120"/>
      <w:ind w:left="432"/>
    </w:pPr>
    <w:rPr>
      <w:rFonts w:ascii="Calibri" w:hAnsi="Calibri"/>
      <w:szCs w:val="22"/>
    </w:rPr>
  </w:style>
  <w:style w:type="paragraph" w:styleId="TOC4">
    <w:name w:val="toc 4"/>
    <w:basedOn w:val="Normal"/>
    <w:next w:val="Normal"/>
    <w:autoRedefine/>
    <w:uiPriority w:val="39"/>
    <w:rsid w:val="001F194A"/>
    <w:pPr>
      <w:tabs>
        <w:tab w:val="right" w:leader="dot" w:pos="9350"/>
      </w:tabs>
      <w:ind w:left="864"/>
    </w:pPr>
    <w:rPr>
      <w:rFonts w:ascii="Calibri" w:hAnsi="Calibri"/>
      <w:sz w:val="20"/>
      <w:szCs w:val="20"/>
    </w:rPr>
  </w:style>
  <w:style w:type="paragraph" w:styleId="BodyText">
    <w:name w:val="Body Text"/>
    <w:basedOn w:val="Normal"/>
    <w:link w:val="BodyTextChar"/>
    <w:rsid w:val="00C5125D"/>
    <w:rPr>
      <w:szCs w:val="22"/>
    </w:rPr>
  </w:style>
  <w:style w:type="table" w:styleId="TableGrid">
    <w:name w:val="Table Grid"/>
    <w:basedOn w:val="TableNormal"/>
    <w:rsid w:val="00C46A8E"/>
    <w:pPr>
      <w:spacing w:before="40" w:after="40"/>
      <w:jc w:val="center"/>
    </w:pPr>
    <w:rPr>
      <w:rFonts w:ascii="Trebuchet MS" w:hAnsi="Trebuchet MS"/>
    </w:rPr>
    <w:tblPr>
      <w:tblBorders>
        <w:top w:val="single" w:sz="12" w:space="0" w:color="auto"/>
        <w:bottom w:val="single" w:sz="12" w:space="0" w:color="auto"/>
      </w:tblBorders>
    </w:tblPr>
    <w:tblStylePr w:type="firstRow">
      <w:pPr>
        <w:jc w:val="center"/>
      </w:pPr>
      <w:rPr>
        <w:rFonts w:ascii="Trebuchet MS" w:hAnsi="Trebuchet MS"/>
        <w:b/>
        <w:sz w:val="20"/>
      </w:rPr>
      <w:tblPr/>
      <w:tcPr>
        <w:tcBorders>
          <w:bottom w:val="single" w:sz="12" w:space="0" w:color="auto"/>
        </w:tcBorders>
      </w:tcPr>
    </w:tblStylePr>
    <w:tblStylePr w:type="lastRow">
      <w:pPr>
        <w:wordWrap/>
        <w:spacing w:beforeLines="0" w:before="40" w:beforeAutospacing="0" w:afterLines="0" w:after="40" w:afterAutospacing="0"/>
      </w:pPr>
      <w:rPr>
        <w:rFonts w:ascii="Trebuchet MS" w:hAnsi="Trebuchet MS"/>
        <w:sz w:val="20"/>
      </w:rPr>
      <w:tblPr/>
      <w:tcPr>
        <w:tcBorders>
          <w:bottom w:val="single" w:sz="12" w:space="0" w:color="auto"/>
        </w:tcBorders>
      </w:tcPr>
    </w:tblStylePr>
  </w:style>
  <w:style w:type="paragraph" w:styleId="Header">
    <w:name w:val="header"/>
    <w:basedOn w:val="Normal"/>
    <w:link w:val="HeaderChar"/>
    <w:uiPriority w:val="99"/>
    <w:rsid w:val="001E02D2"/>
    <w:pPr>
      <w:pBdr>
        <w:bottom w:val="single" w:sz="4" w:space="1" w:color="auto"/>
      </w:pBdr>
      <w:tabs>
        <w:tab w:val="right" w:pos="9360"/>
      </w:tabs>
    </w:pPr>
    <w:rPr>
      <w:i/>
      <w:sz w:val="20"/>
    </w:rPr>
  </w:style>
  <w:style w:type="paragraph" w:styleId="Footer">
    <w:name w:val="footer"/>
    <w:link w:val="FooterChar"/>
    <w:uiPriority w:val="99"/>
    <w:rsid w:val="00FB0247"/>
    <w:pPr>
      <w:tabs>
        <w:tab w:val="center" w:pos="5040"/>
        <w:tab w:val="right" w:pos="9360"/>
      </w:tabs>
    </w:pPr>
    <w:rPr>
      <w:sz w:val="16"/>
      <w:szCs w:val="24"/>
    </w:rPr>
  </w:style>
  <w:style w:type="character" w:styleId="PageNumber">
    <w:name w:val="page number"/>
    <w:rsid w:val="0090637F"/>
    <w:rPr>
      <w:rFonts w:ascii="Calibri" w:hAnsi="Calibri"/>
      <w:sz w:val="20"/>
      <w:szCs w:val="22"/>
    </w:rPr>
  </w:style>
  <w:style w:type="paragraph" w:customStyle="1" w:styleId="PCDocs">
    <w:name w:val="PCDocs#"/>
    <w:basedOn w:val="Normal"/>
    <w:rsid w:val="00EE1197"/>
    <w:pPr>
      <w:spacing w:before="120" w:after="0"/>
      <w:ind w:left="634"/>
    </w:pPr>
    <w:rPr>
      <w:sz w:val="16"/>
      <w:szCs w:val="16"/>
    </w:rPr>
  </w:style>
  <w:style w:type="paragraph" w:customStyle="1" w:styleId="PageHeader">
    <w:name w:val="Page Header"/>
    <w:rsid w:val="00FB0247"/>
    <w:rPr>
      <w:i/>
      <w:szCs w:val="24"/>
    </w:rPr>
  </w:style>
  <w:style w:type="paragraph" w:customStyle="1" w:styleId="Numberedlist">
    <w:name w:val="Numbered list"/>
    <w:basedOn w:val="Normal"/>
    <w:qFormat/>
    <w:rsid w:val="008515A0"/>
    <w:pPr>
      <w:numPr>
        <w:numId w:val="7"/>
      </w:numPr>
      <w:spacing w:after="120"/>
    </w:pPr>
  </w:style>
  <w:style w:type="character" w:customStyle="1" w:styleId="FooterChar">
    <w:name w:val="Footer Char"/>
    <w:link w:val="Footer"/>
    <w:uiPriority w:val="99"/>
    <w:rsid w:val="00FB0247"/>
    <w:rPr>
      <w:sz w:val="16"/>
      <w:szCs w:val="24"/>
    </w:rPr>
  </w:style>
  <w:style w:type="table" w:styleId="TableColumns3">
    <w:name w:val="Table Columns 3"/>
    <w:basedOn w:val="TableNormal"/>
    <w:rsid w:val="001A428C"/>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basedOn w:val="Normal"/>
    <w:qFormat/>
    <w:rsid w:val="00405010"/>
    <w:pPr>
      <w:spacing w:before="40" w:after="40" w:line="220" w:lineRule="exact"/>
    </w:pPr>
    <w:rPr>
      <w:rFonts w:ascii="Calibri" w:hAnsi="Calibri"/>
      <w:sz w:val="20"/>
    </w:rPr>
  </w:style>
  <w:style w:type="character" w:styleId="Hyperlink">
    <w:name w:val="Hyperlink"/>
    <w:uiPriority w:val="99"/>
    <w:rsid w:val="00D860AD"/>
    <w:rPr>
      <w:color w:val="0000FF"/>
      <w:u w:val="single"/>
    </w:rPr>
  </w:style>
  <w:style w:type="paragraph" w:customStyle="1" w:styleId="NormalDoubleIndent">
    <w:name w:val="Normal Double Indent"/>
    <w:basedOn w:val="NormalIndent"/>
    <w:next w:val="Normal"/>
    <w:link w:val="NormalDoubleIndentChar"/>
    <w:qFormat/>
    <w:rsid w:val="00115187"/>
    <w:pPr>
      <w:ind w:left="864"/>
    </w:pPr>
  </w:style>
  <w:style w:type="paragraph" w:customStyle="1" w:styleId="Disclaimer1">
    <w:name w:val="Disclaimer 1"/>
    <w:basedOn w:val="Normal"/>
    <w:rsid w:val="00FB0247"/>
    <w:pPr>
      <w:autoSpaceDE w:val="0"/>
      <w:autoSpaceDN w:val="0"/>
      <w:adjustRightInd w:val="0"/>
      <w:spacing w:before="3480" w:after="0"/>
    </w:pPr>
    <w:rPr>
      <w:rFonts w:cs="BookAntiqua"/>
      <w:color w:val="00267F"/>
      <w:sz w:val="18"/>
      <w:szCs w:val="18"/>
    </w:rPr>
  </w:style>
  <w:style w:type="paragraph" w:customStyle="1" w:styleId="ALogo">
    <w:name w:val="A Logo"/>
    <w:basedOn w:val="Normal"/>
    <w:uiPriority w:val="1"/>
    <w:rsid w:val="00BF36BC"/>
    <w:pPr>
      <w:widowControl w:val="0"/>
      <w:spacing w:after="480"/>
    </w:pPr>
    <w:rPr>
      <w:sz w:val="20"/>
      <w:szCs w:val="20"/>
    </w:rPr>
  </w:style>
  <w:style w:type="character" w:customStyle="1" w:styleId="HeaderChar">
    <w:name w:val="Header Char"/>
    <w:link w:val="Header"/>
    <w:uiPriority w:val="99"/>
    <w:rsid w:val="001E02D2"/>
    <w:rPr>
      <w:i/>
      <w:spacing w:val="-2"/>
      <w:szCs w:val="24"/>
    </w:rPr>
  </w:style>
  <w:style w:type="paragraph" w:styleId="Title">
    <w:name w:val="Title"/>
    <w:next w:val="Normal"/>
    <w:link w:val="TitleChar"/>
    <w:rsid w:val="00FB0247"/>
    <w:pPr>
      <w:widowControl w:val="0"/>
      <w:spacing w:after="240"/>
      <w:jc w:val="right"/>
    </w:pPr>
    <w:rPr>
      <w:rFonts w:ascii="Tahoma" w:eastAsia="Frutiger LT Std 45 Light" w:hAnsi="Tahoma" w:cs="Arial"/>
      <w:color w:val="00267F"/>
      <w:spacing w:val="-14"/>
      <w:sz w:val="36"/>
      <w:szCs w:val="36"/>
    </w:rPr>
  </w:style>
  <w:style w:type="character" w:customStyle="1" w:styleId="TitleChar">
    <w:name w:val="Title Char"/>
    <w:link w:val="Title"/>
    <w:rsid w:val="00FB0247"/>
    <w:rPr>
      <w:rFonts w:ascii="Tahoma" w:eastAsia="Frutiger LT Std 45 Light" w:hAnsi="Tahoma" w:cs="Arial"/>
      <w:color w:val="00267F"/>
      <w:spacing w:val="-14"/>
      <w:sz w:val="36"/>
      <w:szCs w:val="36"/>
    </w:rPr>
  </w:style>
  <w:style w:type="character" w:customStyle="1" w:styleId="NormalIndentChar">
    <w:name w:val="Normal Indent Char"/>
    <w:basedOn w:val="DefaultParagraphFont"/>
    <w:link w:val="NormalIndent"/>
    <w:rsid w:val="009F549D"/>
    <w:rPr>
      <w:spacing w:val="-2"/>
      <w:sz w:val="24"/>
      <w:szCs w:val="24"/>
    </w:rPr>
  </w:style>
  <w:style w:type="character" w:customStyle="1" w:styleId="NormalDoubleIndentChar">
    <w:name w:val="Normal Double Indent Char"/>
    <w:basedOn w:val="NormalIndentChar"/>
    <w:link w:val="NormalDoubleIndent"/>
    <w:rsid w:val="00115187"/>
    <w:rPr>
      <w:spacing w:val="-2"/>
      <w:sz w:val="24"/>
      <w:szCs w:val="24"/>
    </w:rPr>
  </w:style>
  <w:style w:type="paragraph" w:customStyle="1" w:styleId="BasicParagraph">
    <w:name w:val="[Basic Paragraph]"/>
    <w:basedOn w:val="Normal"/>
    <w:uiPriority w:val="99"/>
    <w:rsid w:val="001273D0"/>
    <w:pPr>
      <w:widowControl w:val="0"/>
      <w:autoSpaceDE w:val="0"/>
      <w:autoSpaceDN w:val="0"/>
      <w:adjustRightInd w:val="0"/>
      <w:spacing w:after="0" w:line="288" w:lineRule="auto"/>
      <w:textAlignment w:val="center"/>
    </w:pPr>
    <w:rPr>
      <w:rFonts w:ascii="Times-Roman" w:eastAsia="MS PGothic" w:hAnsi="Times-Roman" w:cs="Times-Roman"/>
      <w:color w:val="000000"/>
    </w:rPr>
  </w:style>
  <w:style w:type="character" w:styleId="CommentReference">
    <w:name w:val="annotation reference"/>
    <w:uiPriority w:val="99"/>
    <w:rsid w:val="00405010"/>
    <w:rPr>
      <w:sz w:val="16"/>
      <w:szCs w:val="16"/>
    </w:rPr>
  </w:style>
  <w:style w:type="paragraph" w:styleId="CommentText">
    <w:name w:val="annotation text"/>
    <w:basedOn w:val="Normal"/>
    <w:link w:val="CommentTextChar"/>
    <w:uiPriority w:val="99"/>
    <w:rsid w:val="00405010"/>
    <w:rPr>
      <w:sz w:val="20"/>
      <w:szCs w:val="20"/>
    </w:rPr>
  </w:style>
  <w:style w:type="character" w:customStyle="1" w:styleId="CommentTextChar">
    <w:name w:val="Comment Text Char"/>
    <w:link w:val="CommentText"/>
    <w:uiPriority w:val="99"/>
    <w:rsid w:val="00405010"/>
    <w:rPr>
      <w:rFonts w:ascii="Book Antiqua" w:hAnsi="Book Antiqua"/>
    </w:rPr>
  </w:style>
  <w:style w:type="paragraph" w:styleId="CommentSubject">
    <w:name w:val="annotation subject"/>
    <w:basedOn w:val="CommentText"/>
    <w:next w:val="CommentText"/>
    <w:link w:val="CommentSubjectChar"/>
    <w:rsid w:val="00405010"/>
    <w:rPr>
      <w:b/>
      <w:bCs/>
    </w:rPr>
  </w:style>
  <w:style w:type="character" w:customStyle="1" w:styleId="CommentSubjectChar">
    <w:name w:val="Comment Subject Char"/>
    <w:link w:val="CommentSubject"/>
    <w:rsid w:val="00405010"/>
    <w:rPr>
      <w:rFonts w:ascii="Book Antiqua" w:hAnsi="Book Antiqua"/>
      <w:b/>
      <w:bCs/>
    </w:rPr>
  </w:style>
  <w:style w:type="paragraph" w:styleId="BalloonText">
    <w:name w:val="Balloon Text"/>
    <w:basedOn w:val="Normal"/>
    <w:link w:val="BalloonTextChar"/>
    <w:rsid w:val="00405010"/>
    <w:pPr>
      <w:spacing w:after="0"/>
    </w:pPr>
    <w:rPr>
      <w:rFonts w:ascii="Tahoma" w:hAnsi="Tahoma" w:cs="Tahoma"/>
      <w:sz w:val="16"/>
      <w:szCs w:val="16"/>
    </w:rPr>
  </w:style>
  <w:style w:type="character" w:customStyle="1" w:styleId="BalloonTextChar">
    <w:name w:val="Balloon Text Char"/>
    <w:link w:val="BalloonText"/>
    <w:rsid w:val="00405010"/>
    <w:rPr>
      <w:rFonts w:ascii="Tahoma" w:hAnsi="Tahoma" w:cs="Tahoma"/>
      <w:sz w:val="16"/>
      <w:szCs w:val="16"/>
    </w:rPr>
  </w:style>
  <w:style w:type="paragraph" w:styleId="Revision">
    <w:name w:val="Revision"/>
    <w:hidden/>
    <w:uiPriority w:val="99"/>
    <w:semiHidden/>
    <w:rsid w:val="00405010"/>
    <w:rPr>
      <w:rFonts w:ascii="Book Antiqua" w:hAnsi="Book Antiqua"/>
      <w:sz w:val="22"/>
      <w:szCs w:val="24"/>
    </w:rPr>
  </w:style>
  <w:style w:type="paragraph" w:styleId="NoSpacing">
    <w:name w:val="No Spacing"/>
    <w:basedOn w:val="Normal"/>
    <w:uiPriority w:val="1"/>
    <w:qFormat/>
    <w:rsid w:val="00D0586D"/>
    <w:rPr>
      <w:rFonts w:cstheme="minorHAnsi"/>
    </w:rPr>
  </w:style>
  <w:style w:type="character" w:customStyle="1" w:styleId="BodyTextChar">
    <w:name w:val="Body Text Char"/>
    <w:link w:val="BodyText"/>
    <w:rsid w:val="00405010"/>
    <w:rPr>
      <w:rFonts w:ascii="Book Antiqua" w:hAnsi="Book Antiqua"/>
      <w:spacing w:val="-2"/>
      <w:sz w:val="22"/>
      <w:szCs w:val="22"/>
    </w:rPr>
  </w:style>
  <w:style w:type="paragraph" w:customStyle="1" w:styleId="Call-outBoxHeader">
    <w:name w:val="Call-out Box Header"/>
    <w:basedOn w:val="Normal"/>
    <w:qFormat/>
    <w:rsid w:val="00DE6526"/>
    <w:pPr>
      <w:framePr w:hSpace="180" w:wrap="around" w:vAnchor="text" w:hAnchor="margin" w:y="240"/>
      <w:spacing w:before="60" w:after="120" w:line="260" w:lineRule="exact"/>
      <w:jc w:val="center"/>
    </w:pPr>
    <w:rPr>
      <w:rFonts w:ascii="Calibri" w:hAnsi="Calibri"/>
      <w:b/>
    </w:rPr>
  </w:style>
  <w:style w:type="paragraph" w:customStyle="1" w:styleId="Call-outBoxText">
    <w:name w:val="Call-out Box Text"/>
    <w:basedOn w:val="Normal"/>
    <w:qFormat/>
    <w:rsid w:val="00DE6526"/>
    <w:pPr>
      <w:framePr w:hSpace="180" w:wrap="around" w:vAnchor="text" w:hAnchor="margin" w:y="240"/>
      <w:spacing w:before="40" w:after="40" w:line="240" w:lineRule="exact"/>
    </w:pPr>
    <w:rPr>
      <w:rFonts w:ascii="Calibri" w:hAnsi="Calibri"/>
      <w:sz w:val="22"/>
    </w:rPr>
  </w:style>
  <w:style w:type="paragraph" w:customStyle="1" w:styleId="TableSubheaderRow">
    <w:name w:val="Table Subheader Row"/>
    <w:basedOn w:val="Normal"/>
    <w:qFormat/>
    <w:rsid w:val="006A4A61"/>
    <w:pPr>
      <w:spacing w:before="40" w:after="40" w:line="220" w:lineRule="exact"/>
    </w:pPr>
    <w:rPr>
      <w:rFonts w:ascii="Calibri" w:hAnsi="Calibri"/>
      <w:b/>
      <w:i/>
      <w:color w:val="00529B" w:themeColor="accent1"/>
      <w:sz w:val="20"/>
    </w:rPr>
  </w:style>
  <w:style w:type="paragraph" w:customStyle="1" w:styleId="Call-outBoxBullet">
    <w:name w:val="Call-out Box Bullet"/>
    <w:basedOn w:val="Call-outBoxText"/>
    <w:qFormat/>
    <w:rsid w:val="00DE6526"/>
    <w:pPr>
      <w:framePr w:wrap="around"/>
      <w:numPr>
        <w:numId w:val="4"/>
      </w:numPr>
      <w:tabs>
        <w:tab w:val="left" w:pos="288"/>
      </w:tabs>
    </w:pPr>
  </w:style>
  <w:style w:type="paragraph" w:customStyle="1" w:styleId="Normal6ptafter">
    <w:name w:val="Normal (6 pt after)"/>
    <w:basedOn w:val="Normal"/>
    <w:link w:val="Normal6ptafterChar"/>
    <w:qFormat/>
    <w:rsid w:val="000F0F13"/>
    <w:pPr>
      <w:spacing w:after="120"/>
    </w:pPr>
  </w:style>
  <w:style w:type="character" w:customStyle="1" w:styleId="Heading6Char">
    <w:name w:val="Heading 6 Char"/>
    <w:basedOn w:val="DefaultParagraphFont"/>
    <w:link w:val="Heading6"/>
    <w:rsid w:val="00D631E1"/>
    <w:rPr>
      <w:rFonts w:asciiTheme="minorHAnsi" w:hAnsiTheme="minorHAnsi" w:cstheme="minorHAnsi"/>
      <w:bCs/>
      <w:color w:val="00529B"/>
      <w:spacing w:val="-2"/>
      <w:sz w:val="30"/>
      <w:szCs w:val="30"/>
    </w:rPr>
  </w:style>
  <w:style w:type="paragraph" w:customStyle="1" w:styleId="TableBullet">
    <w:name w:val="Table Bullet"/>
    <w:basedOn w:val="TableText"/>
    <w:qFormat/>
    <w:rsid w:val="009958A3"/>
    <w:pPr>
      <w:numPr>
        <w:numId w:val="5"/>
      </w:numPr>
      <w:tabs>
        <w:tab w:val="left" w:pos="216"/>
      </w:tabs>
    </w:pPr>
    <w:rPr>
      <w:bCs/>
      <w:spacing w:val="0"/>
    </w:rPr>
  </w:style>
  <w:style w:type="paragraph" w:styleId="ListParagraph">
    <w:name w:val="List Paragraph"/>
    <w:basedOn w:val="Normal"/>
    <w:uiPriority w:val="34"/>
    <w:qFormat/>
    <w:rsid w:val="00E6249B"/>
    <w:pPr>
      <w:ind w:left="720"/>
      <w:contextualSpacing/>
    </w:pPr>
  </w:style>
  <w:style w:type="paragraph" w:customStyle="1" w:styleId="TableColumnHeader">
    <w:name w:val="Table Column Header"/>
    <w:basedOn w:val="Normal"/>
    <w:qFormat/>
    <w:rsid w:val="002B08F6"/>
    <w:pPr>
      <w:keepNext/>
      <w:spacing w:before="40" w:after="40" w:line="240" w:lineRule="exact"/>
      <w:jc w:val="center"/>
    </w:pPr>
    <w:rPr>
      <w:rFonts w:ascii="Calibri" w:hAnsi="Calibri"/>
      <w:spacing w:val="0"/>
      <w:sz w:val="22"/>
    </w:rPr>
  </w:style>
  <w:style w:type="paragraph" w:customStyle="1" w:styleId="TableRowHeader">
    <w:name w:val="Table Row Header"/>
    <w:basedOn w:val="Normal"/>
    <w:qFormat/>
    <w:rsid w:val="005E3719"/>
    <w:pPr>
      <w:spacing w:before="40" w:after="40" w:line="240" w:lineRule="exact"/>
    </w:pPr>
    <w:rPr>
      <w:rFonts w:ascii="Calibri" w:hAnsi="Calibri"/>
      <w:b/>
      <w:color w:val="00529B"/>
      <w:spacing w:val="0"/>
      <w:sz w:val="22"/>
    </w:rPr>
  </w:style>
  <w:style w:type="paragraph" w:styleId="Caption">
    <w:name w:val="caption"/>
    <w:basedOn w:val="Normal"/>
    <w:next w:val="Normal"/>
    <w:unhideWhenUsed/>
    <w:qFormat/>
    <w:rsid w:val="00D721B6"/>
    <w:pPr>
      <w:keepNext/>
      <w:spacing w:after="80"/>
      <w:jc w:val="center"/>
    </w:pPr>
    <w:rPr>
      <w:rFonts w:asciiTheme="minorHAnsi" w:hAnsiTheme="minorHAnsi" w:cstheme="minorHAnsi"/>
      <w:b/>
      <w:color w:val="000000"/>
      <w:sz w:val="28"/>
      <w:szCs w:val="28"/>
    </w:rPr>
  </w:style>
  <w:style w:type="character" w:customStyle="1" w:styleId="Heading7Char">
    <w:name w:val="Heading 7 Char"/>
    <w:basedOn w:val="DefaultParagraphFont"/>
    <w:link w:val="Heading7"/>
    <w:semiHidden/>
    <w:rsid w:val="00AC785F"/>
    <w:rPr>
      <w:rFonts w:asciiTheme="majorHAnsi" w:eastAsiaTheme="majorEastAsia" w:hAnsiTheme="majorHAnsi" w:cstheme="majorBidi"/>
      <w:i/>
      <w:iCs/>
      <w:color w:val="00284D" w:themeColor="accent1" w:themeShade="7F"/>
      <w:spacing w:val="-2"/>
      <w:sz w:val="24"/>
      <w:szCs w:val="24"/>
    </w:rPr>
  </w:style>
  <w:style w:type="character" w:customStyle="1" w:styleId="Heading8Char">
    <w:name w:val="Heading 8 Char"/>
    <w:basedOn w:val="DefaultParagraphFont"/>
    <w:link w:val="Heading8"/>
    <w:semiHidden/>
    <w:rsid w:val="00AC785F"/>
    <w:rPr>
      <w:rFonts w:asciiTheme="majorHAnsi" w:eastAsiaTheme="majorEastAsia" w:hAnsiTheme="majorHAnsi" w:cstheme="majorBidi"/>
      <w:color w:val="272727" w:themeColor="text1" w:themeTint="D8"/>
      <w:spacing w:val="-2"/>
      <w:sz w:val="21"/>
      <w:szCs w:val="21"/>
    </w:rPr>
  </w:style>
  <w:style w:type="character" w:customStyle="1" w:styleId="Heading1Char">
    <w:name w:val="Heading 1 Char"/>
    <w:basedOn w:val="DefaultParagraphFont"/>
    <w:link w:val="Heading1"/>
    <w:rsid w:val="005E217E"/>
    <w:rPr>
      <w:rFonts w:asciiTheme="minorHAnsi" w:hAnsiTheme="minorHAnsi" w:cstheme="minorHAnsi"/>
      <w:b/>
      <w:bCs/>
      <w:iCs/>
      <w:color w:val="00529B"/>
      <w:spacing w:val="-2"/>
      <w:sz w:val="40"/>
      <w:szCs w:val="40"/>
    </w:rPr>
  </w:style>
  <w:style w:type="paragraph" w:customStyle="1" w:styleId="TitlePage-DraftorFinal">
    <w:name w:val="Title Page - Draft or Final"/>
    <w:basedOn w:val="Title"/>
    <w:link w:val="TitlePage-DraftorFinalChar"/>
    <w:qFormat/>
    <w:rsid w:val="00791225"/>
    <w:pPr>
      <w:spacing w:after="0"/>
      <w:jc w:val="left"/>
    </w:pPr>
    <w:rPr>
      <w:rFonts w:asciiTheme="minorHAnsi" w:eastAsia="Century Gothic" w:hAnsiTheme="minorHAnsi" w:cstheme="minorHAnsi"/>
      <w:color w:val="00529B"/>
      <w:sz w:val="40"/>
      <w:szCs w:val="40"/>
    </w:rPr>
  </w:style>
  <w:style w:type="character" w:styleId="PlaceholderText">
    <w:name w:val="Placeholder Text"/>
    <w:basedOn w:val="DefaultParagraphFont"/>
    <w:uiPriority w:val="99"/>
    <w:semiHidden/>
    <w:rsid w:val="00C9410E"/>
    <w:rPr>
      <w:color w:val="808080"/>
    </w:rPr>
  </w:style>
  <w:style w:type="paragraph" w:customStyle="1" w:styleId="HeaderFooter">
    <w:name w:val="Header/Footer"/>
    <w:basedOn w:val="Normal"/>
    <w:link w:val="HeaderFooterChar"/>
    <w:rsid w:val="002F1560"/>
    <w:pPr>
      <w:jc w:val="right"/>
    </w:pPr>
    <w:rPr>
      <w:rFonts w:ascii="Segoe Condensed" w:hAnsi="Segoe Condensed"/>
    </w:rPr>
  </w:style>
  <w:style w:type="paragraph" w:customStyle="1" w:styleId="ReportTitle">
    <w:name w:val="Report Title"/>
    <w:basedOn w:val="Heading1"/>
    <w:link w:val="ReportTitleChar"/>
    <w:qFormat/>
    <w:rsid w:val="002F1560"/>
  </w:style>
  <w:style w:type="character" w:customStyle="1" w:styleId="HeaderFooterChar">
    <w:name w:val="Header/Footer Char"/>
    <w:basedOn w:val="DefaultParagraphFont"/>
    <w:link w:val="HeaderFooter"/>
    <w:rsid w:val="002F1560"/>
    <w:rPr>
      <w:rFonts w:ascii="Segoe Condensed" w:hAnsi="Segoe Condensed" w:cstheme="minorHAnsi"/>
      <w:spacing w:val="-2"/>
      <w:sz w:val="24"/>
      <w:szCs w:val="24"/>
    </w:rPr>
  </w:style>
  <w:style w:type="paragraph" w:customStyle="1" w:styleId="ReportSubtitle">
    <w:name w:val="Report Subtitle"/>
    <w:basedOn w:val="TitlePage-DraftorFinal"/>
    <w:link w:val="ReportSubtitleChar"/>
    <w:qFormat/>
    <w:rsid w:val="00791225"/>
    <w:pPr>
      <w:spacing w:after="2600"/>
      <w:jc w:val="right"/>
    </w:pPr>
    <w:rPr>
      <w:b/>
      <w:i/>
      <w:color w:val="FFFFFF" w:themeColor="background1"/>
    </w:rPr>
  </w:style>
  <w:style w:type="character" w:customStyle="1" w:styleId="ReportTitleChar">
    <w:name w:val="Report Title Char"/>
    <w:basedOn w:val="Heading1Char"/>
    <w:link w:val="ReportTitle"/>
    <w:rsid w:val="002F1560"/>
    <w:rPr>
      <w:rFonts w:ascii="Segoe Condensed" w:hAnsi="Segoe Condensed" w:cstheme="minorHAnsi"/>
      <w:b/>
      <w:bCs/>
      <w:iCs/>
      <w:color w:val="FFFFFF" w:themeColor="background1"/>
      <w:spacing w:val="-2"/>
      <w:sz w:val="60"/>
      <w:szCs w:val="60"/>
    </w:rPr>
  </w:style>
  <w:style w:type="table" w:customStyle="1" w:styleId="CMSHCBSSP">
    <w:name w:val="CMS HCBS SP"/>
    <w:basedOn w:val="TableNormal"/>
    <w:uiPriority w:val="99"/>
    <w:rsid w:val="00921F7E"/>
    <w:rPr>
      <w:rFonts w:ascii="Calibri" w:hAnsi="Calibri"/>
    </w:rPr>
    <w:tblPr>
      <w:tblStyleRowBandSize w:val="1"/>
      <w:tblStyleCol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86" w:type="dxa"/>
      </w:tblCellMar>
    </w:tblPr>
    <w:trPr>
      <w:cantSplit/>
      <w:jc w:val="center"/>
    </w:trPr>
    <w:tcPr>
      <w:shd w:val="clear" w:color="auto" w:fill="FFFFFF" w:themeFill="background1"/>
      <w:vAlign w:val="center"/>
    </w:tcPr>
    <w:tblStylePr w:type="firstRow">
      <w:pPr>
        <w:jc w:val="center"/>
      </w:pPr>
      <w:rPr>
        <w:rFonts w:ascii="Calibri" w:hAnsi="Calibri"/>
        <w:b/>
        <w:color w:val="FFFFFF" w:themeColor="background1"/>
        <w:sz w:val="22"/>
      </w:rPr>
      <w:tblPr/>
      <w:tcPr>
        <w:tcBorders>
          <w:top w:val="single" w:sz="4" w:space="0" w:color="auto"/>
          <w:left w:val="single" w:sz="4" w:space="0" w:color="auto"/>
          <w:bottom w:val="nil"/>
          <w:right w:val="single" w:sz="4" w:space="0" w:color="auto"/>
          <w:insideH w:val="single" w:sz="4" w:space="0" w:color="auto"/>
          <w:insideV w:val="single" w:sz="4" w:space="0" w:color="auto"/>
          <w:tl2br w:val="nil"/>
          <w:tr2bl w:val="nil"/>
        </w:tcBorders>
        <w:shd w:val="clear" w:color="auto" w:fill="00529B"/>
      </w:tcPr>
    </w:tblStylePr>
    <w:tblStylePr w:type="lastRow">
      <w:tblPr/>
      <w:tcPr>
        <w:shd w:val="clear" w:color="auto" w:fill="EAF4FD" w:themeFill="accent2" w:themeFillTint="66"/>
      </w:tcPr>
    </w:tblStylePr>
    <w:tblStylePr w:type="firstCol">
      <w:rPr>
        <w:b/>
      </w:rPr>
      <w:tblPr/>
      <w:tcPr>
        <w:tcBorders>
          <w:top w:val="single" w:sz="4" w:space="0" w:color="004250"/>
          <w:left w:val="single" w:sz="4" w:space="0" w:color="004250"/>
          <w:bottom w:val="single" w:sz="4" w:space="0" w:color="004250"/>
          <w:right w:val="single" w:sz="4" w:space="0" w:color="004250"/>
          <w:insideH w:val="single" w:sz="4" w:space="0" w:color="004250"/>
          <w:insideV w:val="single" w:sz="4" w:space="0" w:color="004250"/>
        </w:tcBorders>
      </w:tcPr>
    </w:tblStylePr>
    <w:tblStylePr w:type="lastCol">
      <w:tblPr/>
      <w:tcPr>
        <w:tcBorders>
          <w:top w:val="single" w:sz="4" w:space="0" w:color="004250"/>
          <w:left w:val="single" w:sz="4" w:space="0" w:color="004250"/>
          <w:bottom w:val="single" w:sz="4" w:space="0" w:color="004250"/>
          <w:right w:val="single" w:sz="4" w:space="0" w:color="004250"/>
          <w:insideH w:val="single" w:sz="4" w:space="0" w:color="004250"/>
          <w:insideV w:val="single" w:sz="4" w:space="0" w:color="004250"/>
        </w:tcBorders>
      </w:tcPr>
    </w:tblStylePr>
    <w:tblStylePr w:type="band1Vert">
      <w:tblPr/>
      <w:tcPr>
        <w:tcBorders>
          <w:top w:val="single" w:sz="4" w:space="0" w:color="004250"/>
          <w:left w:val="single" w:sz="4" w:space="0" w:color="004250"/>
          <w:bottom w:val="single" w:sz="4" w:space="0" w:color="004250"/>
          <w:right w:val="single" w:sz="4" w:space="0" w:color="004250"/>
          <w:insideH w:val="single" w:sz="4" w:space="0" w:color="004250"/>
          <w:insideV w:val="single" w:sz="4" w:space="0" w:color="004250"/>
        </w:tcBorders>
      </w:tcPr>
    </w:tblStylePr>
    <w:tblStylePr w:type="band2Vert">
      <w:tblPr/>
      <w:tcPr>
        <w:tcBorders>
          <w:top w:val="single" w:sz="4" w:space="0" w:color="004250"/>
          <w:left w:val="single" w:sz="4" w:space="0" w:color="004250"/>
          <w:bottom w:val="single" w:sz="4" w:space="0" w:color="004250"/>
          <w:right w:val="single" w:sz="4" w:space="0" w:color="004250"/>
          <w:insideH w:val="single" w:sz="4" w:space="0" w:color="004250"/>
          <w:insideV w:val="single" w:sz="4" w:space="0" w:color="004250"/>
        </w:tcBorders>
      </w:tcPr>
    </w:tblStylePr>
    <w:tblStylePr w:type="band1Horz">
      <w:pPr>
        <w:jc w:val="left"/>
      </w:pPr>
      <w:rPr>
        <w:rFonts w:ascii="Calibri" w:hAnsi="Calibri"/>
        <w:sz w:val="20"/>
      </w:rPr>
      <w:tblPr/>
      <w:tcPr>
        <w:tcBorders>
          <w:top w:val="single" w:sz="4" w:space="0" w:color="004250"/>
          <w:left w:val="single" w:sz="4" w:space="0" w:color="004250"/>
          <w:bottom w:val="single" w:sz="4" w:space="0" w:color="004250"/>
          <w:right w:val="single" w:sz="4" w:space="0" w:color="004250"/>
          <w:insideH w:val="single" w:sz="4" w:space="0" w:color="004250"/>
          <w:insideV w:val="single" w:sz="4" w:space="0" w:color="004250"/>
        </w:tcBorders>
        <w:shd w:val="clear" w:color="auto" w:fill="FFFFFF" w:themeFill="background1"/>
      </w:tcPr>
    </w:tblStylePr>
    <w:tblStylePr w:type="band2Horz">
      <w:pPr>
        <w:jc w:val="left"/>
      </w:pPr>
      <w:rPr>
        <w:rFonts w:ascii="Calibri" w:hAnsi="Calibri"/>
        <w:sz w:val="20"/>
      </w:rPr>
      <w:tblPr/>
      <w:tcPr>
        <w:shd w:val="clear" w:color="auto" w:fill="CDE7FF"/>
      </w:tcPr>
    </w:tblStylePr>
    <w:tblStylePr w:type="nwCell">
      <w:tblPr/>
      <w:tcPr>
        <w:tcBorders>
          <w:top w:val="single" w:sz="4" w:space="0" w:color="00529B" w:themeColor="accent1"/>
          <w:left w:val="single" w:sz="4" w:space="0" w:color="00529B" w:themeColor="accent1"/>
          <w:bottom w:val="nil"/>
          <w:right w:val="nil"/>
          <w:insideH w:val="nil"/>
          <w:insideV w:val="nil"/>
          <w:tl2br w:val="nil"/>
          <w:tr2bl w:val="nil"/>
        </w:tcBorders>
      </w:tcPr>
    </w:tblStylePr>
    <w:tblStylePr w:type="swCell">
      <w:tblPr/>
      <w:tcPr>
        <w:tcBorders>
          <w:top w:val="single" w:sz="4" w:space="0" w:color="004250"/>
          <w:left w:val="single" w:sz="4" w:space="0" w:color="004250"/>
          <w:bottom w:val="single" w:sz="4" w:space="0" w:color="004250"/>
          <w:right w:val="single" w:sz="4" w:space="0" w:color="004250"/>
          <w:insideH w:val="single" w:sz="4" w:space="0" w:color="004250"/>
          <w:insideV w:val="single" w:sz="4" w:space="0" w:color="004250"/>
        </w:tcBorders>
      </w:tcPr>
    </w:tblStylePr>
  </w:style>
  <w:style w:type="character" w:customStyle="1" w:styleId="TitlePage-DraftorFinalChar">
    <w:name w:val="Title Page - Draft or Final Char"/>
    <w:basedOn w:val="TitleChar"/>
    <w:link w:val="TitlePage-DraftorFinal"/>
    <w:rsid w:val="00791225"/>
    <w:rPr>
      <w:rFonts w:asciiTheme="minorHAnsi" w:eastAsia="Century Gothic" w:hAnsiTheme="minorHAnsi" w:cstheme="minorHAnsi"/>
      <w:color w:val="00529B"/>
      <w:spacing w:val="-14"/>
      <w:sz w:val="40"/>
      <w:szCs w:val="40"/>
    </w:rPr>
  </w:style>
  <w:style w:type="character" w:customStyle="1" w:styleId="ReportSubtitleChar">
    <w:name w:val="Report Subtitle Char"/>
    <w:basedOn w:val="TitlePage-DraftorFinalChar"/>
    <w:link w:val="ReportSubtitle"/>
    <w:rsid w:val="00791225"/>
    <w:rPr>
      <w:rFonts w:asciiTheme="minorHAnsi" w:eastAsia="Century Gothic" w:hAnsiTheme="minorHAnsi" w:cstheme="minorHAnsi"/>
      <w:b/>
      <w:i/>
      <w:color w:val="FFFFFF" w:themeColor="background1"/>
      <w:spacing w:val="-14"/>
      <w:sz w:val="40"/>
      <w:szCs w:val="40"/>
    </w:rPr>
  </w:style>
  <w:style w:type="table" w:customStyle="1" w:styleId="CMSHCBSRowHeaders">
    <w:name w:val="CMS HCBS Row Headers"/>
    <w:basedOn w:val="TableNormal"/>
    <w:uiPriority w:val="99"/>
    <w:rsid w:val="00921F7E"/>
    <w:rPr>
      <w:rFonts w:ascii="Calibri" w:hAnsi="Calibri"/>
    </w:rPr>
    <w:tblPr>
      <w:tblStyleRowBandSize w:val="1"/>
      <w:tblStyleColBandSize w:val="1"/>
      <w:jc w:val="center"/>
      <w:tblBorders>
        <w:top w:val="single" w:sz="4" w:space="0" w:color="00529B" w:themeColor="accent1"/>
        <w:left w:val="single" w:sz="4" w:space="0" w:color="00529B" w:themeColor="accent1"/>
        <w:bottom w:val="single" w:sz="4" w:space="0" w:color="00529B" w:themeColor="accent1"/>
        <w:right w:val="single" w:sz="4" w:space="0" w:color="00529B" w:themeColor="accent1"/>
        <w:insideH w:val="single" w:sz="4" w:space="0" w:color="00529B" w:themeColor="accent1"/>
        <w:insideV w:val="single" w:sz="4" w:space="0" w:color="00529B" w:themeColor="accent1"/>
      </w:tblBorders>
      <w:tblCellMar>
        <w:left w:w="86" w:type="dxa"/>
        <w:right w:w="86" w:type="dxa"/>
      </w:tblCellMar>
    </w:tblPr>
    <w:trPr>
      <w:cantSplit/>
      <w:jc w:val="center"/>
    </w:trPr>
    <w:tcPr>
      <w:vAlign w:val="center"/>
    </w:tcPr>
    <w:tblStylePr w:type="firstRow">
      <w:pPr>
        <w:jc w:val="center"/>
      </w:pPr>
      <w:rPr>
        <w:rFonts w:ascii="Calibri" w:hAnsi="Calibri"/>
        <w:b/>
        <w:color w:val="FFFFFF" w:themeColor="background1"/>
        <w:sz w:val="22"/>
      </w:rPr>
      <w:tblPr/>
      <w:trPr>
        <w:tblHeader/>
      </w:trPr>
      <w:tcPr>
        <w:tcBorders>
          <w:top w:val="single" w:sz="4" w:space="0" w:color="auto"/>
          <w:left w:val="single" w:sz="4" w:space="0" w:color="00529B" w:themeColor="accent1"/>
          <w:bottom w:val="nil"/>
          <w:right w:val="single" w:sz="4" w:space="0" w:color="00529B" w:themeColor="accent1"/>
          <w:insideH w:val="single" w:sz="4" w:space="0" w:color="FFFFFF" w:themeColor="background1"/>
          <w:insideV w:val="single" w:sz="4" w:space="0" w:color="FFFFFF" w:themeColor="background1"/>
          <w:tl2br w:val="nil"/>
          <w:tr2bl w:val="nil"/>
        </w:tcBorders>
        <w:shd w:val="clear" w:color="auto" w:fill="00529B"/>
      </w:tcPr>
    </w:tblStylePr>
    <w:tblStylePr w:type="lastRow">
      <w:tblPr/>
      <w:tcPr>
        <w:shd w:val="clear" w:color="auto" w:fill="EAF4FD" w:themeFill="accent2" w:themeFillTint="66"/>
      </w:tcPr>
    </w:tblStylePr>
    <w:tblStylePr w:type="firstCol">
      <w:rPr>
        <w:b w:val="0"/>
      </w:rPr>
      <w:tblPr/>
      <w:tcPr>
        <w:tcBorders>
          <w:top w:val="single" w:sz="4" w:space="0" w:color="004250"/>
          <w:left w:val="single" w:sz="4" w:space="0" w:color="004250"/>
          <w:bottom w:val="single" w:sz="4" w:space="0" w:color="004250"/>
          <w:right w:val="single" w:sz="4" w:space="0" w:color="004250"/>
          <w:insideH w:val="single" w:sz="4" w:space="0" w:color="004250"/>
          <w:insideV w:val="single" w:sz="4" w:space="0" w:color="004250"/>
        </w:tcBorders>
        <w:shd w:val="clear" w:color="auto" w:fill="F8E7A5"/>
      </w:tcPr>
    </w:tblStylePr>
    <w:tblStylePr w:type="lastCol">
      <w:tblPr/>
      <w:tcPr>
        <w:tcBorders>
          <w:top w:val="single" w:sz="4" w:space="0" w:color="004250"/>
          <w:left w:val="single" w:sz="4" w:space="0" w:color="004250"/>
          <w:bottom w:val="single" w:sz="4" w:space="0" w:color="004250"/>
          <w:right w:val="single" w:sz="4" w:space="0" w:color="004250"/>
          <w:insideH w:val="single" w:sz="4" w:space="0" w:color="004250"/>
          <w:insideV w:val="single" w:sz="4" w:space="0" w:color="004250"/>
        </w:tcBorders>
      </w:tcPr>
    </w:tblStylePr>
    <w:tblStylePr w:type="band1Vert">
      <w:tblPr/>
      <w:tcPr>
        <w:tcBorders>
          <w:top w:val="single" w:sz="4" w:space="0" w:color="004250"/>
          <w:left w:val="single" w:sz="4" w:space="0" w:color="004250"/>
          <w:bottom w:val="single" w:sz="4" w:space="0" w:color="004250"/>
          <w:right w:val="single" w:sz="4" w:space="0" w:color="004250"/>
          <w:insideH w:val="single" w:sz="4" w:space="0" w:color="004250"/>
          <w:insideV w:val="single" w:sz="4" w:space="0" w:color="004250"/>
        </w:tcBorders>
      </w:tcPr>
    </w:tblStylePr>
    <w:tblStylePr w:type="band2Vert">
      <w:tblPr/>
      <w:tcPr>
        <w:tcBorders>
          <w:top w:val="single" w:sz="4" w:space="0" w:color="004250"/>
          <w:left w:val="single" w:sz="4" w:space="0" w:color="004250"/>
          <w:bottom w:val="single" w:sz="4" w:space="0" w:color="004250"/>
          <w:right w:val="single" w:sz="4" w:space="0" w:color="004250"/>
          <w:insideH w:val="single" w:sz="4" w:space="0" w:color="004250"/>
          <w:insideV w:val="single" w:sz="4" w:space="0" w:color="004250"/>
        </w:tcBorders>
      </w:tcPr>
    </w:tblStylePr>
    <w:tblStylePr w:type="band1Horz">
      <w:pPr>
        <w:jc w:val="left"/>
      </w:pPr>
      <w:rPr>
        <w:rFonts w:ascii="Calibri" w:hAnsi="Calibri"/>
        <w:sz w:val="20"/>
      </w:rPr>
      <w:tblPr/>
      <w:tcPr>
        <w:tcBorders>
          <w:top w:val="single" w:sz="4" w:space="0" w:color="004250"/>
          <w:left w:val="single" w:sz="4" w:space="0" w:color="004250"/>
          <w:bottom w:val="single" w:sz="4" w:space="0" w:color="004250"/>
          <w:right w:val="single" w:sz="4" w:space="0" w:color="004250"/>
          <w:insideH w:val="single" w:sz="4" w:space="0" w:color="004250"/>
          <w:insideV w:val="single" w:sz="4" w:space="0" w:color="004250"/>
        </w:tcBorders>
      </w:tcPr>
    </w:tblStylePr>
    <w:tblStylePr w:type="band2Horz">
      <w:pPr>
        <w:jc w:val="left"/>
      </w:pPr>
      <w:rPr>
        <w:rFonts w:ascii="Calibri" w:hAnsi="Calibri"/>
        <w:sz w:val="20"/>
      </w:rPr>
      <w:tblPr/>
      <w:tcPr>
        <w:shd w:val="clear" w:color="auto" w:fill="CDE7FF"/>
      </w:tcPr>
    </w:tblStylePr>
    <w:tblStylePr w:type="nwCell">
      <w:tblPr/>
      <w:tcPr>
        <w:tcBorders>
          <w:top w:val="single" w:sz="4" w:space="0" w:color="00529B" w:themeColor="accent1"/>
          <w:left w:val="single" w:sz="4" w:space="0" w:color="00529B" w:themeColor="accent1"/>
          <w:bottom w:val="nil"/>
          <w:right w:val="nil"/>
          <w:insideH w:val="nil"/>
          <w:insideV w:val="nil"/>
          <w:tl2br w:val="nil"/>
          <w:tr2bl w:val="nil"/>
        </w:tcBorders>
      </w:tcPr>
    </w:tblStylePr>
    <w:tblStylePr w:type="swCell">
      <w:rPr>
        <w:b w:val="0"/>
      </w:rPr>
      <w:tblPr/>
      <w:tcPr>
        <w:tcBorders>
          <w:top w:val="single" w:sz="4" w:space="0" w:color="004250"/>
          <w:left w:val="single" w:sz="4" w:space="0" w:color="004250"/>
          <w:bottom w:val="single" w:sz="4" w:space="0" w:color="004250"/>
          <w:right w:val="single" w:sz="4" w:space="0" w:color="004250"/>
          <w:insideH w:val="single" w:sz="4" w:space="0" w:color="004250"/>
          <w:insideV w:val="single" w:sz="4" w:space="0" w:color="004250"/>
        </w:tcBorders>
        <w:shd w:val="clear" w:color="auto" w:fill="F2D24A" w:themeFill="accent3"/>
      </w:tcPr>
    </w:tblStylePr>
  </w:style>
  <w:style w:type="paragraph" w:customStyle="1" w:styleId="QuoteStatisticText">
    <w:name w:val="Quote/Statistic Text"/>
    <w:basedOn w:val="Normal6ptafter"/>
    <w:link w:val="QuoteStatisticTextChar"/>
    <w:qFormat/>
    <w:rsid w:val="00FC1834"/>
    <w:pPr>
      <w:spacing w:after="0"/>
    </w:pPr>
    <w:rPr>
      <w:rFonts w:asciiTheme="minorHAnsi" w:hAnsiTheme="minorHAnsi" w:cstheme="minorHAnsi"/>
      <w:b/>
    </w:rPr>
  </w:style>
  <w:style w:type="character" w:customStyle="1" w:styleId="Normal6ptafterChar">
    <w:name w:val="Normal (6 pt after) Char"/>
    <w:basedOn w:val="DefaultParagraphFont"/>
    <w:link w:val="Normal6ptafter"/>
    <w:rsid w:val="000E2041"/>
    <w:rPr>
      <w:rFonts w:asciiTheme="minorHAnsi" w:hAnsiTheme="minorHAnsi" w:cstheme="minorHAnsi"/>
      <w:spacing w:val="-2"/>
      <w:sz w:val="24"/>
      <w:szCs w:val="24"/>
    </w:rPr>
  </w:style>
  <w:style w:type="character" w:customStyle="1" w:styleId="QuoteStatisticTextChar">
    <w:name w:val="Quote/Statistic Text Char"/>
    <w:basedOn w:val="Normal6ptafterChar"/>
    <w:link w:val="QuoteStatisticText"/>
    <w:rsid w:val="00FC1834"/>
    <w:rPr>
      <w:rFonts w:asciiTheme="minorHAnsi" w:hAnsiTheme="minorHAnsi" w:cstheme="minorHAnsi"/>
      <w:b/>
      <w:spacing w:val="-2"/>
      <w:sz w:val="24"/>
      <w:szCs w:val="24"/>
    </w:rPr>
  </w:style>
  <w:style w:type="character" w:styleId="Emphasis">
    <w:name w:val="Emphasis"/>
    <w:basedOn w:val="Normal6ptafterChar"/>
    <w:qFormat/>
    <w:rsid w:val="0066141D"/>
    <w:rPr>
      <w:rFonts w:asciiTheme="minorHAnsi" w:hAnsiTheme="minorHAnsi" w:cstheme="minorHAnsi"/>
      <w:i/>
      <w:iCs/>
      <w:spacing w:val="-2"/>
      <w:sz w:val="24"/>
      <w:szCs w:val="24"/>
    </w:rPr>
  </w:style>
  <w:style w:type="paragraph" w:styleId="FootnoteText">
    <w:name w:val="footnote text"/>
    <w:link w:val="FootnoteTextChar"/>
    <w:semiHidden/>
    <w:unhideWhenUsed/>
    <w:rsid w:val="00D463EC"/>
    <w:rPr>
      <w:spacing w:val="-2"/>
    </w:rPr>
  </w:style>
  <w:style w:type="character" w:customStyle="1" w:styleId="FootnoteTextChar">
    <w:name w:val="Footnote Text Char"/>
    <w:basedOn w:val="DefaultParagraphFont"/>
    <w:link w:val="FootnoteText"/>
    <w:semiHidden/>
    <w:rsid w:val="00D463EC"/>
    <w:rPr>
      <w:spacing w:val="-2"/>
    </w:rPr>
  </w:style>
  <w:style w:type="character" w:styleId="FootnoteReference">
    <w:name w:val="footnote reference"/>
    <w:basedOn w:val="DefaultParagraphFont"/>
    <w:semiHidden/>
    <w:unhideWhenUsed/>
    <w:rsid w:val="00575A28"/>
    <w:rPr>
      <w:rFonts w:ascii="Times New Roman" w:hAnsi="Times New Roman"/>
      <w:vertAlign w:val="superscript"/>
    </w:rPr>
  </w:style>
  <w:style w:type="paragraph" w:styleId="EndnoteText">
    <w:name w:val="endnote text"/>
    <w:basedOn w:val="Normal"/>
    <w:next w:val="Normal"/>
    <w:link w:val="EndnoteTextChar"/>
    <w:uiPriority w:val="99"/>
    <w:unhideWhenUsed/>
    <w:rsid w:val="005E3719"/>
    <w:pPr>
      <w:spacing w:after="0"/>
    </w:pPr>
    <w:rPr>
      <w:sz w:val="20"/>
      <w:szCs w:val="20"/>
    </w:rPr>
  </w:style>
  <w:style w:type="character" w:customStyle="1" w:styleId="EndnoteTextChar">
    <w:name w:val="Endnote Text Char"/>
    <w:basedOn w:val="DefaultParagraphFont"/>
    <w:link w:val="EndnoteText"/>
    <w:uiPriority w:val="99"/>
    <w:rsid w:val="005E3719"/>
    <w:rPr>
      <w:rFonts w:asciiTheme="minorHAnsi" w:hAnsiTheme="minorHAnsi"/>
      <w:spacing w:val="-2"/>
    </w:rPr>
  </w:style>
  <w:style w:type="character" w:styleId="EndnoteReference">
    <w:name w:val="endnote reference"/>
    <w:basedOn w:val="EndnoteTextChar"/>
    <w:uiPriority w:val="99"/>
    <w:semiHidden/>
    <w:unhideWhenUsed/>
    <w:rsid w:val="00575A28"/>
    <w:rPr>
      <w:rFonts w:ascii="Times New Roman" w:hAnsi="Times New Roman"/>
      <w:spacing w:val="-2"/>
      <w:vertAlign w:val="superscript"/>
    </w:rPr>
  </w:style>
  <w:style w:type="paragraph" w:styleId="HTMLPreformatted">
    <w:name w:val="HTML Preformatted"/>
    <w:basedOn w:val="Normal"/>
    <w:link w:val="HTMLPreformattedChar"/>
    <w:uiPriority w:val="99"/>
    <w:semiHidden/>
    <w:unhideWhenUsed/>
    <w:rsid w:val="00D10F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pacing w:val="0"/>
      <w:sz w:val="20"/>
      <w:szCs w:val="20"/>
    </w:rPr>
  </w:style>
  <w:style w:type="character" w:customStyle="1" w:styleId="HTMLPreformattedChar">
    <w:name w:val="HTML Preformatted Char"/>
    <w:basedOn w:val="DefaultParagraphFont"/>
    <w:link w:val="HTMLPreformatted"/>
    <w:uiPriority w:val="99"/>
    <w:semiHidden/>
    <w:rsid w:val="00D10F57"/>
    <w:rPr>
      <w:rFonts w:ascii="Courier New" w:hAnsi="Courier New" w:cs="Courier New"/>
    </w:rPr>
  </w:style>
  <w:style w:type="paragraph" w:customStyle="1" w:styleId="HeaderText">
    <w:name w:val="Header Text"/>
    <w:basedOn w:val="Header"/>
    <w:qFormat/>
    <w:rsid w:val="006B4143"/>
    <w:pPr>
      <w:pBdr>
        <w:bottom w:val="none" w:sz="0" w:space="0" w:color="auto"/>
      </w:pBdr>
      <w:tabs>
        <w:tab w:val="clear" w:pos="9360"/>
      </w:tabs>
      <w:ind w:left="7200" w:right="-1080"/>
    </w:pPr>
    <w:rPr>
      <w:rFonts w:asciiTheme="minorHAnsi" w:hAnsiTheme="minorHAnsi" w:cstheme="minorHAnsi"/>
      <w:i w:val="0"/>
    </w:rPr>
  </w:style>
  <w:style w:type="table" w:customStyle="1" w:styleId="TableGrid1">
    <w:name w:val="Table Grid1"/>
    <w:basedOn w:val="TableNormal"/>
    <w:next w:val="TableGrid"/>
    <w:rsid w:val="00FC1834"/>
    <w:pPr>
      <w:spacing w:before="40" w:after="40"/>
      <w:jc w:val="center"/>
    </w:pPr>
    <w:rPr>
      <w:rFonts w:ascii="Trebuchet MS" w:hAnsi="Trebuchet MS"/>
    </w:rPr>
    <w:tblPr>
      <w:tblBorders>
        <w:top w:val="single" w:sz="12" w:space="0" w:color="auto"/>
        <w:bottom w:val="single" w:sz="12" w:space="0" w:color="auto"/>
      </w:tblBorders>
    </w:tblPr>
    <w:tblStylePr w:type="firstRow">
      <w:pPr>
        <w:jc w:val="center"/>
      </w:pPr>
      <w:rPr>
        <w:rFonts w:ascii="Marlett" w:hAnsi="Marlett"/>
        <w:b/>
        <w:sz w:val="20"/>
      </w:rPr>
      <w:tblPr/>
      <w:tcPr>
        <w:tcBorders>
          <w:bottom w:val="single" w:sz="12" w:space="0" w:color="auto"/>
        </w:tcBorders>
      </w:tcPr>
    </w:tblStylePr>
    <w:tblStylePr w:type="lastRow">
      <w:pPr>
        <w:wordWrap/>
        <w:spacing w:beforeLines="0" w:before="40" w:beforeAutospacing="0" w:afterLines="0" w:after="40" w:afterAutospacing="0"/>
      </w:pPr>
      <w:rPr>
        <w:rFonts w:ascii="Marlett" w:hAnsi="Marlett"/>
        <w:sz w:val="20"/>
      </w:rPr>
      <w:tblPr/>
      <w:tcPr>
        <w:tcBorders>
          <w:bottom w:val="single" w:sz="12" w:space="0" w:color="auto"/>
        </w:tcBorders>
      </w:tcPr>
    </w:tblStylePr>
  </w:style>
  <w:style w:type="table" w:styleId="TableGridLight">
    <w:name w:val="Grid Table Light"/>
    <w:basedOn w:val="TableNormal"/>
    <w:uiPriority w:val="40"/>
    <w:rsid w:val="00DE652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AHeading">
    <w:name w:val="toa heading"/>
    <w:basedOn w:val="Normal"/>
    <w:next w:val="Normal"/>
    <w:semiHidden/>
    <w:unhideWhenUsed/>
    <w:rsid w:val="00575A28"/>
    <w:pPr>
      <w:spacing w:before="120"/>
    </w:pPr>
    <w:rPr>
      <w:rFonts w:eastAsiaTheme="majorEastAsia" w:cstheme="majorBidi"/>
      <w:b/>
      <w:bCs/>
    </w:rPr>
  </w:style>
  <w:style w:type="paragraph" w:styleId="TOC6">
    <w:name w:val="toc 6"/>
    <w:basedOn w:val="Normal"/>
    <w:next w:val="Normal"/>
    <w:autoRedefine/>
    <w:semiHidden/>
    <w:unhideWhenUsed/>
    <w:rsid w:val="00575A28"/>
    <w:pPr>
      <w:spacing w:after="100"/>
      <w:ind w:left="1200"/>
    </w:pPr>
    <w:rPr>
      <w:rFonts w:ascii="Calibri" w:hAnsi="Calibri"/>
    </w:rPr>
  </w:style>
  <w:style w:type="paragraph" w:styleId="TOC7">
    <w:name w:val="toc 7"/>
    <w:basedOn w:val="Normal"/>
    <w:next w:val="Normal"/>
    <w:autoRedefine/>
    <w:semiHidden/>
    <w:unhideWhenUsed/>
    <w:rsid w:val="00575A28"/>
    <w:pPr>
      <w:spacing w:after="100"/>
      <w:ind w:left="1440"/>
    </w:pPr>
    <w:rPr>
      <w:rFonts w:asciiTheme="minorHAnsi" w:hAnsiTheme="minorHAnsi"/>
    </w:rPr>
  </w:style>
  <w:style w:type="paragraph" w:styleId="TOC8">
    <w:name w:val="toc 8"/>
    <w:basedOn w:val="Normal"/>
    <w:next w:val="Normal"/>
    <w:autoRedefine/>
    <w:semiHidden/>
    <w:unhideWhenUsed/>
    <w:rsid w:val="00575A28"/>
    <w:pPr>
      <w:spacing w:after="100"/>
      <w:ind w:left="1680"/>
    </w:pPr>
    <w:rPr>
      <w:rFonts w:ascii="Calibri" w:hAnsi="Calibri"/>
    </w:rPr>
  </w:style>
  <w:style w:type="paragraph" w:styleId="TOC9">
    <w:name w:val="toc 9"/>
    <w:basedOn w:val="Normal"/>
    <w:next w:val="Normal"/>
    <w:autoRedefine/>
    <w:semiHidden/>
    <w:unhideWhenUsed/>
    <w:rsid w:val="00575A28"/>
    <w:pPr>
      <w:spacing w:after="100"/>
      <w:ind w:left="1920"/>
    </w:pPr>
    <w:rPr>
      <w:rFonts w:asciiTheme="minorHAnsi" w:hAnsiTheme="minorHAnsi"/>
    </w:rPr>
  </w:style>
  <w:style w:type="character" w:customStyle="1" w:styleId="Heading2Char">
    <w:name w:val="Heading 2 Char"/>
    <w:basedOn w:val="DefaultParagraphFont"/>
    <w:link w:val="Heading2"/>
    <w:rsid w:val="00126E63"/>
    <w:rPr>
      <w:rFonts w:asciiTheme="minorHAnsi" w:hAnsiTheme="minorHAnsi" w:cstheme="minorHAnsi"/>
      <w:bCs/>
      <w:iCs/>
      <w:color w:val="00529B"/>
      <w:spacing w:val="-2"/>
      <w:sz w:val="40"/>
      <w:szCs w:val="40"/>
    </w:rPr>
  </w:style>
  <w:style w:type="character" w:styleId="FollowedHyperlink">
    <w:name w:val="FollowedHyperlink"/>
    <w:basedOn w:val="DefaultParagraphFont"/>
    <w:semiHidden/>
    <w:unhideWhenUsed/>
    <w:rsid w:val="00132351"/>
    <w:rPr>
      <w:color w:val="4D4F53" w:themeColor="followedHyperlink"/>
      <w:u w:val="single"/>
    </w:rPr>
  </w:style>
  <w:style w:type="character" w:styleId="UnresolvedMention">
    <w:name w:val="Unresolved Mention"/>
    <w:basedOn w:val="DefaultParagraphFont"/>
    <w:uiPriority w:val="99"/>
    <w:semiHidden/>
    <w:unhideWhenUsed/>
    <w:rsid w:val="001E59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513657">
      <w:bodyDiv w:val="1"/>
      <w:marLeft w:val="0"/>
      <w:marRight w:val="0"/>
      <w:marTop w:val="0"/>
      <w:marBottom w:val="0"/>
      <w:divBdr>
        <w:top w:val="none" w:sz="0" w:space="0" w:color="auto"/>
        <w:left w:val="none" w:sz="0" w:space="0" w:color="auto"/>
        <w:bottom w:val="none" w:sz="0" w:space="0" w:color="auto"/>
        <w:right w:val="none" w:sz="0" w:space="0" w:color="auto"/>
      </w:divBdr>
    </w:div>
    <w:div w:id="344137482">
      <w:bodyDiv w:val="1"/>
      <w:marLeft w:val="0"/>
      <w:marRight w:val="0"/>
      <w:marTop w:val="0"/>
      <w:marBottom w:val="0"/>
      <w:divBdr>
        <w:top w:val="none" w:sz="0" w:space="0" w:color="auto"/>
        <w:left w:val="none" w:sz="0" w:space="0" w:color="auto"/>
        <w:bottom w:val="none" w:sz="0" w:space="0" w:color="auto"/>
        <w:right w:val="none" w:sz="0" w:space="0" w:color="auto"/>
      </w:divBdr>
    </w:div>
    <w:div w:id="608128346">
      <w:bodyDiv w:val="1"/>
      <w:marLeft w:val="0"/>
      <w:marRight w:val="0"/>
      <w:marTop w:val="0"/>
      <w:marBottom w:val="0"/>
      <w:divBdr>
        <w:top w:val="none" w:sz="0" w:space="0" w:color="auto"/>
        <w:left w:val="none" w:sz="0" w:space="0" w:color="auto"/>
        <w:bottom w:val="none" w:sz="0" w:space="0" w:color="auto"/>
        <w:right w:val="none" w:sz="0" w:space="0" w:color="auto"/>
      </w:divBdr>
    </w:div>
    <w:div w:id="693920694">
      <w:bodyDiv w:val="1"/>
      <w:marLeft w:val="0"/>
      <w:marRight w:val="0"/>
      <w:marTop w:val="0"/>
      <w:marBottom w:val="0"/>
      <w:divBdr>
        <w:top w:val="none" w:sz="0" w:space="0" w:color="auto"/>
        <w:left w:val="none" w:sz="0" w:space="0" w:color="auto"/>
        <w:bottom w:val="none" w:sz="0" w:space="0" w:color="auto"/>
        <w:right w:val="none" w:sz="0" w:space="0" w:color="auto"/>
      </w:divBdr>
    </w:div>
    <w:div w:id="102016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8" Type="http://schemas.openxmlformats.org/officeDocument/2006/relationships/hyperlink" Target="https://leadingage.org/sites/default/files/Making%20Care%20Work%20Pay%20Report.pdf" TargetMode="External"/><Relationship Id="rId13" Type="http://schemas.openxmlformats.org/officeDocument/2006/relationships/hyperlink" Target="https://iowacaregivers.org/uploads/pdf/2019%20Wage%20&amp;%20Benefit%20Survey%20Final.pdf" TargetMode="External"/><Relationship Id="rId18" Type="http://schemas.openxmlformats.org/officeDocument/2006/relationships/hyperlink" Target="https://www.iowacaregivers.org/uploads/pdf/workforce_report.pdf" TargetMode="External"/><Relationship Id="rId26" Type="http://schemas.openxmlformats.org/officeDocument/2006/relationships/hyperlink" Target="http://www.advancingstates.org/sites/nasuad/files/hcbs/files/153/7610/DSW_Data_Collection_Recommendations.pdf" TargetMode="External"/><Relationship Id="rId3" Type="http://schemas.openxmlformats.org/officeDocument/2006/relationships/hyperlink" Target="https://demographics.coopercenter.org/national-population-projections" TargetMode="External"/><Relationship Id="rId21" Type="http://schemas.openxmlformats.org/officeDocument/2006/relationships/hyperlink" Target="https://www.cnn.com/2021/06/29/economy/global-worker-shortage-pandemic-brexit/index.html" TargetMode="External"/><Relationship Id="rId7" Type="http://schemas.openxmlformats.org/officeDocument/2006/relationships/hyperlink" Target="https://www.americanprogress.org/wp-content/uploads/2012/11/CostofTurnover.pdf" TargetMode="External"/><Relationship Id="rId12" Type="http://schemas.openxmlformats.org/officeDocument/2006/relationships/hyperlink" Target="http://phinational.org/caringforthefuture/" TargetMode="External"/><Relationship Id="rId17" Type="http://schemas.openxmlformats.org/officeDocument/2006/relationships/hyperlink" Target="https://phinational.org/wp-content/uploads/2017/11/wa_case_study_pca_training_standards_2017.pdf" TargetMode="External"/><Relationship Id="rId25" Type="http://schemas.openxmlformats.org/officeDocument/2006/relationships/hyperlink" Target="http://phinational.org/how-can-matching-service-registries-increase-their-impact/" TargetMode="External"/><Relationship Id="rId2" Type="http://schemas.openxmlformats.org/officeDocument/2006/relationships/hyperlink" Target="https://www.projectionscentral.com/Projections/LongTerm" TargetMode="External"/><Relationship Id="rId16" Type="http://schemas.openxmlformats.org/officeDocument/2006/relationships/hyperlink" Target="https://phinational.org/resource/training-standards-for-personal-care-aides-spotlight-on-iowa/" TargetMode="External"/><Relationship Id="rId20" Type="http://schemas.openxmlformats.org/officeDocument/2006/relationships/hyperlink" Target="https://phinational.org/wisconsin-partnership-could-transform-nursing-assistant-field/" TargetMode="External"/><Relationship Id="rId1" Type="http://schemas.openxmlformats.org/officeDocument/2006/relationships/hyperlink" Target="https://www.bls.gov/oes/current/oes_nat.htm" TargetMode="External"/><Relationship Id="rId6" Type="http://schemas.openxmlformats.org/officeDocument/2006/relationships/hyperlink" Target="https://files.kff.org/attachment/fact-sheet-medicaid-state-IA" TargetMode="External"/><Relationship Id="rId11" Type="http://schemas.openxmlformats.org/officeDocument/2006/relationships/hyperlink" Target="https://www.ncsl.org/Portals/1/Documents/cyf/Benefits-Cliffs_v03_web.pdf" TargetMode="External"/><Relationship Id="rId24" Type="http://schemas.openxmlformats.org/officeDocument/2006/relationships/hyperlink" Target="https://phinational.org/advocacy/matching-service-registries/" TargetMode="External"/><Relationship Id="rId5" Type="http://schemas.openxmlformats.org/officeDocument/2006/relationships/hyperlink" Target="https://www.onetcenter.org/database.html" TargetMode="External"/><Relationship Id="rId15" Type="http://schemas.openxmlformats.org/officeDocument/2006/relationships/hyperlink" Target="https://iowapreparetocare.training-source.org/" TargetMode="External"/><Relationship Id="rId23" Type="http://schemas.openxmlformats.org/officeDocument/2006/relationships/hyperlink" Target="https://phinational.org/advocacy/matching-service-registries/" TargetMode="External"/><Relationship Id="rId10" Type="http://schemas.openxmlformats.org/officeDocument/2006/relationships/hyperlink" Target="https://www.dhs.wisconsin.gov/medicaid/ltc-workforce-funding-faq.htm" TargetMode="External"/><Relationship Id="rId19" Type="http://schemas.openxmlformats.org/officeDocument/2006/relationships/hyperlink" Target="https://iowacaregivers.org/uploads/pdf/Iowa%20Rural%20HCW%20Strategic%20Plan_v6.24.2021.pdf" TargetMode="External"/><Relationship Id="rId4" Type="http://schemas.openxmlformats.org/officeDocument/2006/relationships/hyperlink" Target="https://www.longtermscorecard.org/databystate/state?state=IA" TargetMode="External"/><Relationship Id="rId9" Type="http://schemas.openxmlformats.org/officeDocument/2006/relationships/hyperlink" Target="https://equitablegrowth.org/working-papers/worker-earnings-service-quality-and-firm-profitability-evidence-from-nursing-homes-and-minimum-wage-reforms/" TargetMode="External"/><Relationship Id="rId14" Type="http://schemas.openxmlformats.org/officeDocument/2006/relationships/hyperlink" Target="https://phinational.org/wp-content/uploads/2018/11/State-Sponsored-PCA-Curricula-2018-PHI.pdf" TargetMode="External"/><Relationship Id="rId22" Type="http://schemas.openxmlformats.org/officeDocument/2006/relationships/hyperlink" Target="https://www.appliedselfdirection.com/sites/default/files/SD%20LTSS%20National%20Inventory%20Report%202019.pdf" TargetMode="External"/><Relationship Id="rId27" Type="http://schemas.openxmlformats.org/officeDocument/2006/relationships/hyperlink" Target="https://www.hhs.texas.gov/sites/default/files/documents/laws-regulations/reports-presentations/2019/community-attendant-recruitmt-retention-strat-aug-2019.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Scales\OneDrive%20-%20PHI,%20Inc\CMS%20DSW%20Learning%20Collaborative%20Coaching\CMS_Colors_Template.dotx" TargetMode="External"/></Relationships>
</file>

<file path=word/theme/theme1.xml><?xml version="1.0" encoding="utf-8"?>
<a:theme xmlns:a="http://schemas.openxmlformats.org/drawingml/2006/main" name="Office Theme">
  <a:themeElements>
    <a:clrScheme name="CMS | HCBS SP">
      <a:dk1>
        <a:sysClr val="windowText" lastClr="000000"/>
      </a:dk1>
      <a:lt1>
        <a:srgbClr val="FFFFFF"/>
      </a:lt1>
      <a:dk2>
        <a:srgbClr val="595959"/>
      </a:dk2>
      <a:lt2>
        <a:srgbClr val="F8E7A5"/>
      </a:lt2>
      <a:accent1>
        <a:srgbClr val="00529B"/>
      </a:accent1>
      <a:accent2>
        <a:srgbClr val="CCE4FC"/>
      </a:accent2>
      <a:accent3>
        <a:srgbClr val="F2D24A"/>
      </a:accent3>
      <a:accent4>
        <a:srgbClr val="C4530C"/>
      </a:accent4>
      <a:accent5>
        <a:srgbClr val="E00034"/>
      </a:accent5>
      <a:accent6>
        <a:srgbClr val="4EA5D9"/>
      </a:accent6>
      <a:hlink>
        <a:srgbClr val="005E9D"/>
      </a:hlink>
      <a:folHlink>
        <a:srgbClr val="4D4F5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35369CAC119C4286B982B5B23333E1" ma:contentTypeVersion="4" ma:contentTypeDescription="Create a new document." ma:contentTypeScope="" ma:versionID="0e5aaf023e959090362f019fb3adb6cb">
  <xsd:schema xmlns:xsd="http://www.w3.org/2001/XMLSchema" xmlns:xs="http://www.w3.org/2001/XMLSchema" xmlns:p="http://schemas.microsoft.com/office/2006/metadata/properties" xmlns:ns2="a6a30277-2fed-4889-b66b-dfadfdf07b9e" targetNamespace="http://schemas.microsoft.com/office/2006/metadata/properties" ma:root="true" ma:fieldsID="33339011a6a0edd2ce5fb724aefe2ab1" ns2:_="">
    <xsd:import namespace="a6a30277-2fed-4889-b66b-dfadfdf07b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30277-2fed-4889-b66b-dfadfdf07b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86935-CB7D-4692-8451-D5C4F54280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a30277-2fed-4889-b66b-dfadfdf07b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60E239-80CB-481C-A72F-F92EABD0EF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B6080F6-8A6E-437C-A310-FB37A7BAC13F}">
  <ds:schemaRefs>
    <ds:schemaRef ds:uri="http://schemas.microsoft.com/sharepoint/v3/contenttype/forms"/>
  </ds:schemaRefs>
</ds:datastoreItem>
</file>

<file path=customXml/itemProps4.xml><?xml version="1.0" encoding="utf-8"?>
<ds:datastoreItem xmlns:ds="http://schemas.openxmlformats.org/officeDocument/2006/customXml" ds:itemID="{C3C89A79-A265-4356-AE4A-2AB14A6C3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CMS_Colors_Template</Template>
  <TotalTime>1</TotalTime>
  <Pages>9</Pages>
  <Words>2981</Words>
  <Characters>17317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Short title | Date</vt:lpstr>
    </vt:vector>
  </TitlesOfParts>
  <Company>The Lewin Group</Company>
  <LinksUpToDate>false</LinksUpToDate>
  <CharactersWithSpaces>20258</CharactersWithSpaces>
  <SharedDoc>false</SharedDoc>
  <HLinks>
    <vt:vector size="102" baseType="variant">
      <vt:variant>
        <vt:i4>3342443</vt:i4>
      </vt:variant>
      <vt:variant>
        <vt:i4>48</vt:i4>
      </vt:variant>
      <vt:variant>
        <vt:i4>0</vt:i4>
      </vt:variant>
      <vt:variant>
        <vt:i4>5</vt:i4>
      </vt:variant>
      <vt:variant>
        <vt:lpwstr>https://www.hhs.texas.gov/sites/default/files/documents/laws-regulations/reports-presentations/2019/community-attendant-recruitmt-retention-strat-aug-2019.pdf</vt:lpwstr>
      </vt:variant>
      <vt:variant>
        <vt:lpwstr/>
      </vt:variant>
      <vt:variant>
        <vt:i4>4849748</vt:i4>
      </vt:variant>
      <vt:variant>
        <vt:i4>45</vt:i4>
      </vt:variant>
      <vt:variant>
        <vt:i4>0</vt:i4>
      </vt:variant>
      <vt:variant>
        <vt:i4>5</vt:i4>
      </vt:variant>
      <vt:variant>
        <vt:lpwstr>http://phinational.org/how-can-matching-service-registries-increase-their-impact/</vt:lpwstr>
      </vt:variant>
      <vt:variant>
        <vt:lpwstr/>
      </vt:variant>
      <vt:variant>
        <vt:i4>2490494</vt:i4>
      </vt:variant>
      <vt:variant>
        <vt:i4>42</vt:i4>
      </vt:variant>
      <vt:variant>
        <vt:i4>0</vt:i4>
      </vt:variant>
      <vt:variant>
        <vt:i4>5</vt:i4>
      </vt:variant>
      <vt:variant>
        <vt:lpwstr>https://www.appliedselfdirection.com/sites/default/files/SD LTSS National Inventory Report 2019.pdf</vt:lpwstr>
      </vt:variant>
      <vt:variant>
        <vt:lpwstr/>
      </vt:variant>
      <vt:variant>
        <vt:i4>1310728</vt:i4>
      </vt:variant>
      <vt:variant>
        <vt:i4>39</vt:i4>
      </vt:variant>
      <vt:variant>
        <vt:i4>0</vt:i4>
      </vt:variant>
      <vt:variant>
        <vt:i4>5</vt:i4>
      </vt:variant>
      <vt:variant>
        <vt:lpwstr>https://www.cnn.com/2021/06/29/economy/global-worker-shortage-pandemic-brexit/index.html</vt:lpwstr>
      </vt:variant>
      <vt:variant>
        <vt:lpwstr/>
      </vt:variant>
      <vt:variant>
        <vt:i4>3145788</vt:i4>
      </vt:variant>
      <vt:variant>
        <vt:i4>36</vt:i4>
      </vt:variant>
      <vt:variant>
        <vt:i4>0</vt:i4>
      </vt:variant>
      <vt:variant>
        <vt:i4>5</vt:i4>
      </vt:variant>
      <vt:variant>
        <vt:lpwstr>https://phinational.org/wisconsin-partnership-could-transform-nursing-assistant-field/</vt:lpwstr>
      </vt:variant>
      <vt:variant>
        <vt:lpwstr/>
      </vt:variant>
      <vt:variant>
        <vt:i4>6684697</vt:i4>
      </vt:variant>
      <vt:variant>
        <vt:i4>33</vt:i4>
      </vt:variant>
      <vt:variant>
        <vt:i4>0</vt:i4>
      </vt:variant>
      <vt:variant>
        <vt:i4>5</vt:i4>
      </vt:variant>
      <vt:variant>
        <vt:lpwstr>https://www.iowacaregivers.org/uploads/pdf/workforce_report.pdf</vt:lpwstr>
      </vt:variant>
      <vt:variant>
        <vt:lpwstr/>
      </vt:variant>
      <vt:variant>
        <vt:i4>3997792</vt:i4>
      </vt:variant>
      <vt:variant>
        <vt:i4>30</vt:i4>
      </vt:variant>
      <vt:variant>
        <vt:i4>0</vt:i4>
      </vt:variant>
      <vt:variant>
        <vt:i4>5</vt:i4>
      </vt:variant>
      <vt:variant>
        <vt:lpwstr>https://phinational.org/wp-content/uploads/2017/11/wa_case_study_pca_training_standards_2017.pdf</vt:lpwstr>
      </vt:variant>
      <vt:variant>
        <vt:lpwstr/>
      </vt:variant>
      <vt:variant>
        <vt:i4>3473513</vt:i4>
      </vt:variant>
      <vt:variant>
        <vt:i4>27</vt:i4>
      </vt:variant>
      <vt:variant>
        <vt:i4>0</vt:i4>
      </vt:variant>
      <vt:variant>
        <vt:i4>5</vt:i4>
      </vt:variant>
      <vt:variant>
        <vt:lpwstr>https://phinational.org/resource/training-standards-for-personal-care-aides-spotlight-on-iowa/</vt:lpwstr>
      </vt:variant>
      <vt:variant>
        <vt:lpwstr/>
      </vt:variant>
      <vt:variant>
        <vt:i4>2556012</vt:i4>
      </vt:variant>
      <vt:variant>
        <vt:i4>24</vt:i4>
      </vt:variant>
      <vt:variant>
        <vt:i4>0</vt:i4>
      </vt:variant>
      <vt:variant>
        <vt:i4>5</vt:i4>
      </vt:variant>
      <vt:variant>
        <vt:lpwstr>https://iowapreparetocare.training-source.org/</vt:lpwstr>
      </vt:variant>
      <vt:variant>
        <vt:lpwstr/>
      </vt:variant>
      <vt:variant>
        <vt:i4>6815870</vt:i4>
      </vt:variant>
      <vt:variant>
        <vt:i4>21</vt:i4>
      </vt:variant>
      <vt:variant>
        <vt:i4>0</vt:i4>
      </vt:variant>
      <vt:variant>
        <vt:i4>5</vt:i4>
      </vt:variant>
      <vt:variant>
        <vt:lpwstr>https://iowacaregivers.org/uploads/pdf/2019 Wage &amp; Benefit Survey Final.pdf</vt:lpwstr>
      </vt:variant>
      <vt:variant>
        <vt:lpwstr/>
      </vt:variant>
      <vt:variant>
        <vt:i4>5963782</vt:i4>
      </vt:variant>
      <vt:variant>
        <vt:i4>18</vt:i4>
      </vt:variant>
      <vt:variant>
        <vt:i4>0</vt:i4>
      </vt:variant>
      <vt:variant>
        <vt:i4>5</vt:i4>
      </vt:variant>
      <vt:variant>
        <vt:lpwstr>https://ljfo.vermont.gov/assets/Subjects/Minimum-Wage-Study-Committee-2017/3effffbeea/Minimum-Wage-and-Benefits-Cliff-Study-Committee-Report.pdf</vt:lpwstr>
      </vt:variant>
      <vt:variant>
        <vt:lpwstr/>
      </vt:variant>
      <vt:variant>
        <vt:i4>1048642</vt:i4>
      </vt:variant>
      <vt:variant>
        <vt:i4>15</vt:i4>
      </vt:variant>
      <vt:variant>
        <vt:i4>0</vt:i4>
      </vt:variant>
      <vt:variant>
        <vt:i4>5</vt:i4>
      </vt:variant>
      <vt:variant>
        <vt:lpwstr>https://www.ncsl.org/Portals/1/Documents/cyf/Benefits-Cliffs_v03_web.pdf</vt:lpwstr>
      </vt:variant>
      <vt:variant>
        <vt:lpwstr/>
      </vt:variant>
      <vt:variant>
        <vt:i4>3604582</vt:i4>
      </vt:variant>
      <vt:variant>
        <vt:i4>12</vt:i4>
      </vt:variant>
      <vt:variant>
        <vt:i4>0</vt:i4>
      </vt:variant>
      <vt:variant>
        <vt:i4>5</vt:i4>
      </vt:variant>
      <vt:variant>
        <vt:lpwstr>https://equitablegrowth.org/working-papers/worker-earnings-service-quality-and-firm-profitability-evidence-from-nursing-homes-and-minimum-wage-reforms/</vt:lpwstr>
      </vt:variant>
      <vt:variant>
        <vt:lpwstr/>
      </vt:variant>
      <vt:variant>
        <vt:i4>3932281</vt:i4>
      </vt:variant>
      <vt:variant>
        <vt:i4>9</vt:i4>
      </vt:variant>
      <vt:variant>
        <vt:i4>0</vt:i4>
      </vt:variant>
      <vt:variant>
        <vt:i4>5</vt:i4>
      </vt:variant>
      <vt:variant>
        <vt:lpwstr>https://leadingage.org/sites/default/files/Making Care Work Pay Report.pdf</vt:lpwstr>
      </vt:variant>
      <vt:variant>
        <vt:lpwstr/>
      </vt:variant>
      <vt:variant>
        <vt:i4>6094920</vt:i4>
      </vt:variant>
      <vt:variant>
        <vt:i4>6</vt:i4>
      </vt:variant>
      <vt:variant>
        <vt:i4>0</vt:i4>
      </vt:variant>
      <vt:variant>
        <vt:i4>5</vt:i4>
      </vt:variant>
      <vt:variant>
        <vt:lpwstr>https://demographics.coopercenter.org/national-population-projections</vt:lpwstr>
      </vt:variant>
      <vt:variant>
        <vt:lpwstr/>
      </vt:variant>
      <vt:variant>
        <vt:i4>4128882</vt:i4>
      </vt:variant>
      <vt:variant>
        <vt:i4>3</vt:i4>
      </vt:variant>
      <vt:variant>
        <vt:i4>0</vt:i4>
      </vt:variant>
      <vt:variant>
        <vt:i4>5</vt:i4>
      </vt:variant>
      <vt:variant>
        <vt:lpwstr>https://www.projectionscentral.com/Projections/LongTerm</vt:lpwstr>
      </vt:variant>
      <vt:variant>
        <vt:lpwstr/>
      </vt:variant>
      <vt:variant>
        <vt:i4>4653106</vt:i4>
      </vt:variant>
      <vt:variant>
        <vt:i4>0</vt:i4>
      </vt:variant>
      <vt:variant>
        <vt:i4>0</vt:i4>
      </vt:variant>
      <vt:variant>
        <vt:i4>5</vt:i4>
      </vt:variant>
      <vt:variant>
        <vt:lpwstr>https://www.bls.gov/oes/current/oes_nat.htm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title | Date</dc:title>
  <dc:subject/>
  <dc:creator>KScales</dc:creator>
  <cp:keywords/>
  <dc:description/>
  <cp:lastModifiedBy>Kezia Scales</cp:lastModifiedBy>
  <cp:revision>5</cp:revision>
  <cp:lastPrinted>2016-02-17T19:32:00Z</cp:lastPrinted>
  <dcterms:created xsi:type="dcterms:W3CDTF">2021-09-16T12:52:00Z</dcterms:created>
  <dcterms:modified xsi:type="dcterms:W3CDTF">2021-09-16T13:01:00Z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0x010100D635369CAC119C4286B982B5B23333E1</vt:lpwstr>
  </property>
</Properties>
</file>