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EB" w:rsidRDefault="00DA1AA8">
      <w:pPr>
        <w:pStyle w:val="Heading1"/>
        <w:rPr>
          <w:rFonts w:ascii="Calibri" w:hAnsi="Calibri"/>
          <w:sz w:val="44"/>
        </w:rPr>
      </w:pPr>
      <w:r>
        <w:rPr>
          <w:noProof/>
          <w:sz w:val="24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-532130</wp:posOffset>
            </wp:positionV>
            <wp:extent cx="3734435" cy="3734435"/>
            <wp:effectExtent l="19050" t="0" r="0" b="0"/>
            <wp:wrapNone/>
            <wp:docPr id="2" name="yui_3_5_1_8_1352346856686_393" descr="http://trialx.com/curetalk/wp-content/blogs.dir/7/files/2011/05/diseases/Bone_Mineral_Density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8_1352346856686_393" descr="http://trialx.com/curetalk/wp-content/blogs.dir/7/files/2011/05/diseases/Bone_Mineral_Density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73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>
      <w:pPr>
        <w:pStyle w:val="Heading1"/>
        <w:rPr>
          <w:rFonts w:ascii="Calibri" w:hAnsi="Calibri"/>
          <w:sz w:val="44"/>
        </w:rPr>
      </w:pPr>
    </w:p>
    <w:p w:rsidR="005C6DEB" w:rsidRDefault="005C6DEB" w:rsidP="005C6DEB"/>
    <w:p w:rsidR="005C6DEB" w:rsidRDefault="005C6DEB" w:rsidP="005C6DEB"/>
    <w:p w:rsidR="005C6DEB" w:rsidRDefault="005C6DEB" w:rsidP="005C6DEB"/>
    <w:p w:rsidR="00FE39FB" w:rsidRDefault="005C6DEB">
      <w:pPr>
        <w:pStyle w:val="Heading1"/>
        <w:rPr>
          <w:rFonts w:ascii="Calibri" w:hAnsi="Calibri"/>
          <w:color w:val="984806"/>
          <w:sz w:val="44"/>
          <w:u w:val="none"/>
        </w:rPr>
      </w:pPr>
      <w:r w:rsidRPr="005C6DEB">
        <w:rPr>
          <w:rFonts w:ascii="Calibri" w:hAnsi="Calibri"/>
          <w:color w:val="984806"/>
          <w:sz w:val="44"/>
          <w:u w:val="none"/>
        </w:rPr>
        <w:t xml:space="preserve">                    </w:t>
      </w:r>
    </w:p>
    <w:p w:rsidR="005C6DEB" w:rsidRPr="005C6DEB" w:rsidRDefault="005C6DEB" w:rsidP="00FE39FB">
      <w:pPr>
        <w:pStyle w:val="Heading1"/>
        <w:jc w:val="center"/>
        <w:rPr>
          <w:rFonts w:ascii="Calibri" w:hAnsi="Calibri"/>
          <w:color w:val="984806"/>
          <w:sz w:val="44"/>
        </w:rPr>
      </w:pPr>
      <w:r w:rsidRPr="005C6DEB">
        <w:rPr>
          <w:rFonts w:ascii="Calibri" w:hAnsi="Calibri"/>
          <w:color w:val="984806"/>
          <w:sz w:val="44"/>
        </w:rPr>
        <w:t>Bone Density Results</w:t>
      </w:r>
    </w:p>
    <w:p w:rsidR="005C6DEB" w:rsidRPr="00FE39FB" w:rsidRDefault="005C6DEB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5C6DEB" w:rsidRPr="00FE39FB" w:rsidRDefault="00FE39FB">
      <w:pPr>
        <w:pStyle w:val="Heading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 w:rsidRPr="00FE39FB">
        <w:rPr>
          <w:rFonts w:ascii="Calibri" w:hAnsi="Calibri"/>
          <w:b w:val="0"/>
          <w:sz w:val="28"/>
          <w:szCs w:val="28"/>
        </w:rPr>
        <w:t xml:space="preserve">Normal </w:t>
      </w:r>
      <w:r w:rsidRPr="00FE39FB">
        <w:rPr>
          <w:rFonts w:ascii="Calibri" w:hAnsi="Calibri"/>
          <w:b w:val="0"/>
          <w:sz w:val="28"/>
          <w:szCs w:val="28"/>
        </w:rPr>
        <w:tab/>
      </w:r>
      <w:r w:rsidRPr="00FE39FB">
        <w:rPr>
          <w:rFonts w:ascii="Calibri" w:hAnsi="Calibri"/>
          <w:b w:val="0"/>
          <w:sz w:val="28"/>
          <w:szCs w:val="28"/>
        </w:rPr>
        <w:tab/>
      </w:r>
      <w:r w:rsidRPr="00FE39FB">
        <w:rPr>
          <w:rFonts w:ascii="Calibri" w:hAnsi="Calibri"/>
          <w:b w:val="0"/>
          <w:sz w:val="28"/>
          <w:szCs w:val="28"/>
        </w:rPr>
        <w:tab/>
      </w:r>
      <w:r w:rsidR="005C6DEB" w:rsidRPr="00FE39FB">
        <w:rPr>
          <w:rFonts w:ascii="Calibri" w:hAnsi="Calibri"/>
          <w:b w:val="0"/>
          <w:sz w:val="28"/>
          <w:szCs w:val="28"/>
        </w:rPr>
        <w:t>&gt; -1</w:t>
      </w:r>
    </w:p>
    <w:p w:rsidR="005C6DEB" w:rsidRPr="00FE39FB" w:rsidRDefault="005C6DEB">
      <w:pPr>
        <w:rPr>
          <w:rFonts w:ascii="Calibri" w:hAnsi="Calibri"/>
          <w:sz w:val="16"/>
          <w:szCs w:val="16"/>
        </w:rPr>
      </w:pPr>
    </w:p>
    <w:p w:rsidR="005C6DEB" w:rsidRPr="00FE39FB" w:rsidRDefault="00FE39FB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="005C6DEB" w:rsidRPr="00FE39FB">
        <w:rPr>
          <w:rFonts w:ascii="Calibri" w:hAnsi="Calibri"/>
          <w:bCs/>
          <w:sz w:val="28"/>
          <w:szCs w:val="28"/>
        </w:rPr>
        <w:t>Osteopenia</w:t>
      </w:r>
      <w:r w:rsidR="005C6DEB" w:rsidRPr="00FE39FB">
        <w:rPr>
          <w:rFonts w:ascii="Calibri" w:hAnsi="Calibri"/>
          <w:bCs/>
          <w:sz w:val="28"/>
          <w:szCs w:val="28"/>
        </w:rPr>
        <w:tab/>
      </w:r>
      <w:r w:rsidR="005C6DEB" w:rsidRPr="00FE39FB">
        <w:rPr>
          <w:rFonts w:ascii="Calibri" w:hAnsi="Calibri"/>
          <w:bCs/>
          <w:sz w:val="28"/>
          <w:szCs w:val="28"/>
        </w:rPr>
        <w:tab/>
      </w:r>
      <w:r w:rsidR="005C6DEB" w:rsidRPr="00FE39FB">
        <w:rPr>
          <w:rFonts w:ascii="Calibri" w:hAnsi="Calibri"/>
          <w:bCs/>
          <w:sz w:val="28"/>
          <w:szCs w:val="28"/>
        </w:rPr>
        <w:tab/>
        <w:t>&lt; -1 but &gt; -2.5</w:t>
      </w:r>
    </w:p>
    <w:p w:rsidR="005C6DEB" w:rsidRPr="00FE39FB" w:rsidRDefault="005C6DEB">
      <w:pPr>
        <w:rPr>
          <w:rFonts w:ascii="Calibri" w:hAnsi="Calibri"/>
          <w:bCs/>
          <w:sz w:val="16"/>
          <w:szCs w:val="16"/>
        </w:rPr>
      </w:pPr>
    </w:p>
    <w:p w:rsidR="005C6DEB" w:rsidRPr="00FE39FB" w:rsidRDefault="00FE39FB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Pr="00FE39FB">
        <w:rPr>
          <w:rFonts w:ascii="Calibri" w:hAnsi="Calibri"/>
          <w:bCs/>
          <w:sz w:val="28"/>
          <w:szCs w:val="28"/>
        </w:rPr>
        <w:t>Osteoporosis</w:t>
      </w:r>
      <w:r w:rsidRPr="00FE39FB">
        <w:rPr>
          <w:rFonts w:ascii="Calibri" w:hAnsi="Calibri"/>
          <w:bCs/>
          <w:sz w:val="28"/>
          <w:szCs w:val="28"/>
        </w:rPr>
        <w:tab/>
      </w:r>
      <w:r w:rsidRPr="00FE39FB">
        <w:rPr>
          <w:rFonts w:ascii="Calibri" w:hAnsi="Calibri"/>
          <w:bCs/>
          <w:sz w:val="28"/>
          <w:szCs w:val="28"/>
        </w:rPr>
        <w:tab/>
      </w:r>
      <w:r w:rsidR="005C6DEB" w:rsidRPr="00FE39FB">
        <w:rPr>
          <w:rFonts w:ascii="Calibri" w:hAnsi="Calibri"/>
          <w:bCs/>
          <w:sz w:val="28"/>
          <w:szCs w:val="28"/>
        </w:rPr>
        <w:t>&lt; -2.5</w:t>
      </w:r>
    </w:p>
    <w:p w:rsidR="005C6DEB" w:rsidRPr="00FE39FB" w:rsidRDefault="005C6DEB">
      <w:pPr>
        <w:rPr>
          <w:rFonts w:ascii="Calibri" w:hAnsi="Calibri"/>
          <w:bCs/>
          <w:sz w:val="16"/>
          <w:szCs w:val="16"/>
        </w:rPr>
      </w:pPr>
    </w:p>
    <w:p w:rsidR="005C6DEB" w:rsidRPr="00FE39FB" w:rsidRDefault="00FE39FB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="005C6DEB" w:rsidRPr="00FE39FB">
        <w:rPr>
          <w:rFonts w:ascii="Calibri" w:hAnsi="Calibri"/>
          <w:bCs/>
          <w:sz w:val="28"/>
          <w:szCs w:val="28"/>
        </w:rPr>
        <w:t>Severe Osteoporosis</w:t>
      </w:r>
      <w:r w:rsidR="005C6DEB" w:rsidRPr="00FE39FB">
        <w:rPr>
          <w:rFonts w:ascii="Calibri" w:hAnsi="Calibri"/>
          <w:bCs/>
          <w:sz w:val="28"/>
          <w:szCs w:val="28"/>
        </w:rPr>
        <w:tab/>
        <w:t>&lt; -2.5 + low trauma fractures</w:t>
      </w:r>
      <w:r w:rsidRPr="00FE39FB">
        <w:rPr>
          <w:rFonts w:ascii="Calibri" w:hAnsi="Calibri"/>
          <w:bCs/>
          <w:sz w:val="28"/>
          <w:szCs w:val="28"/>
        </w:rPr>
        <w:t xml:space="preserve"> or stress fractures</w:t>
      </w:r>
    </w:p>
    <w:p w:rsidR="005C6DEB" w:rsidRPr="005C6DEB" w:rsidRDefault="005C6DEB">
      <w:pPr>
        <w:rPr>
          <w:rFonts w:ascii="Calibri" w:hAnsi="Calibri"/>
          <w:b/>
          <w:bCs/>
          <w:color w:val="984806"/>
          <w:sz w:val="36"/>
          <w:u w:val="single"/>
        </w:rPr>
      </w:pPr>
    </w:p>
    <w:p w:rsidR="005C6DEB" w:rsidRPr="005C6DEB" w:rsidRDefault="005C6DEB">
      <w:pPr>
        <w:rPr>
          <w:rFonts w:ascii="Calibri" w:hAnsi="Calibri"/>
          <w:b/>
          <w:bCs/>
          <w:color w:val="984806"/>
          <w:sz w:val="36"/>
          <w:u w:val="single"/>
        </w:rPr>
      </w:pPr>
      <w:r w:rsidRPr="005C6DEB">
        <w:rPr>
          <w:rFonts w:ascii="Calibri" w:hAnsi="Calibri"/>
          <w:b/>
          <w:bCs/>
          <w:color w:val="984806"/>
          <w:sz w:val="36"/>
          <w:u w:val="single"/>
        </w:rPr>
        <w:t>Three Major Types of Fractures Result from Osteoporosis:</w:t>
      </w:r>
    </w:p>
    <w:p w:rsidR="005C6DEB" w:rsidRPr="005C6DEB" w:rsidRDefault="005C6DEB" w:rsidP="005C6DEB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5C6DEB">
        <w:rPr>
          <w:rFonts w:ascii="Calibri" w:hAnsi="Calibri"/>
          <w:bCs/>
          <w:sz w:val="22"/>
          <w:szCs w:val="22"/>
        </w:rPr>
        <w:t>Spontaneous Vertebral Crush Fracture (Stress Fracture)</w:t>
      </w:r>
    </w:p>
    <w:p w:rsidR="005C6DEB" w:rsidRPr="005C6DEB" w:rsidRDefault="005C6DEB" w:rsidP="005C6DEB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5C6DEB">
        <w:rPr>
          <w:rFonts w:ascii="Calibri" w:hAnsi="Calibri"/>
          <w:bCs/>
          <w:sz w:val="22"/>
          <w:szCs w:val="22"/>
        </w:rPr>
        <w:t>A vertebrae in the spine becomes so weak that it collapses under the minimal stress of lifting an object or even from the stress of the body’s weight</w:t>
      </w:r>
    </w:p>
    <w:p w:rsidR="005C6DEB" w:rsidRDefault="005C6DEB" w:rsidP="005C6DEB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5C6DEB">
        <w:rPr>
          <w:rFonts w:ascii="Calibri" w:hAnsi="Calibri"/>
          <w:bCs/>
          <w:sz w:val="22"/>
          <w:szCs w:val="22"/>
        </w:rPr>
        <w:t>Colles’ Fracture</w:t>
      </w:r>
    </w:p>
    <w:p w:rsidR="005C6DEB" w:rsidRDefault="005C6DEB" w:rsidP="005C6DEB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Occurs when a person lands on his or her hands while breaking a fall</w:t>
      </w:r>
    </w:p>
    <w:p w:rsidR="005C6DEB" w:rsidRPr="005C6DEB" w:rsidRDefault="005C6DEB" w:rsidP="005C6DEB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Because the bones in the wrist and forearm have been weakened by osteoporosis, the trauma from the fall causes a fracture</w:t>
      </w:r>
    </w:p>
    <w:p w:rsidR="005C6DEB" w:rsidRDefault="005C6DEB" w:rsidP="005C6DEB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5C6DEB">
        <w:rPr>
          <w:rFonts w:ascii="Calibri" w:hAnsi="Calibri"/>
          <w:bCs/>
          <w:sz w:val="22"/>
          <w:szCs w:val="22"/>
        </w:rPr>
        <w:t>Osteoporotic Hip Fracture</w:t>
      </w:r>
    </w:p>
    <w:p w:rsidR="005C6DEB" w:rsidRDefault="005C6DEB" w:rsidP="005C6DEB">
      <w:pPr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As many as 20% of individuals who suffer a hip fracture die within one year, usually as a result of complications of the fracture</w:t>
      </w:r>
    </w:p>
    <w:p w:rsidR="005C6DEB" w:rsidRDefault="005C6DEB" w:rsidP="005C6DEB">
      <w:pPr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Up to 50% of elderly people end up in a nursing home after sustaining a hip fracture</w:t>
      </w:r>
    </w:p>
    <w:p w:rsidR="005C6DEB" w:rsidRDefault="005C6DEB" w:rsidP="005C6DEB">
      <w:pPr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Many others never recover the full function they had prior to the fracture</w:t>
      </w:r>
    </w:p>
    <w:p w:rsidR="00FE39FB" w:rsidRDefault="00FE39FB" w:rsidP="00FE39FB">
      <w:pPr>
        <w:rPr>
          <w:rFonts w:ascii="Calibri" w:hAnsi="Calibri"/>
          <w:bCs/>
          <w:sz w:val="22"/>
          <w:szCs w:val="22"/>
        </w:rPr>
      </w:pPr>
    </w:p>
    <w:p w:rsidR="00FE39FB" w:rsidRPr="00FE39FB" w:rsidRDefault="00FE39FB" w:rsidP="00FE39FB">
      <w:pPr>
        <w:rPr>
          <w:rFonts w:ascii="Calibri" w:hAnsi="Calibri"/>
          <w:b/>
          <w:bCs/>
          <w:color w:val="984806"/>
          <w:sz w:val="32"/>
          <w:szCs w:val="32"/>
          <w:u w:val="single"/>
        </w:rPr>
      </w:pPr>
      <w:r w:rsidRPr="00FE39FB">
        <w:rPr>
          <w:rFonts w:ascii="Calibri" w:hAnsi="Calibri"/>
          <w:b/>
          <w:bCs/>
          <w:color w:val="984806"/>
          <w:sz w:val="32"/>
          <w:szCs w:val="32"/>
          <w:u w:val="single"/>
        </w:rPr>
        <w:t>Key Nutrients ESSENTIAL for Healthy Bones:</w:t>
      </w:r>
    </w:p>
    <w:p w:rsidR="00FE39FB" w:rsidRDefault="00FE39FB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Calcium/Magnesium</w:t>
      </w:r>
    </w:p>
    <w:p w:rsidR="00FE39FB" w:rsidRDefault="00FE39FB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Vitamin D3</w:t>
      </w:r>
    </w:p>
    <w:p w:rsidR="00FE39FB" w:rsidRDefault="00FE39FB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Minerals</w:t>
      </w:r>
    </w:p>
    <w:p w:rsidR="00FE39FB" w:rsidRDefault="00FE39FB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Protein</w:t>
      </w:r>
    </w:p>
    <w:p w:rsidR="00FE39FB" w:rsidRDefault="00FE39FB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 w:rsidRPr="00FE39FB">
        <w:rPr>
          <w:rFonts w:ascii="Calibri" w:hAnsi="Calibri"/>
          <w:bCs/>
          <w:sz w:val="22"/>
          <w:szCs w:val="22"/>
        </w:rPr>
        <w:t>Vitamin C</w:t>
      </w:r>
    </w:p>
    <w:p w:rsidR="009767AF" w:rsidRPr="00FE39FB" w:rsidRDefault="009767AF" w:rsidP="00FE39FB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And weight bearing exercises are necessary to force bones to thicken and become stronger</w:t>
      </w:r>
    </w:p>
    <w:p w:rsidR="00FE39FB" w:rsidRPr="005C6DEB" w:rsidRDefault="00FE39FB" w:rsidP="00FE39FB">
      <w:pPr>
        <w:rPr>
          <w:rFonts w:ascii="Calibri" w:hAnsi="Calibri"/>
          <w:bCs/>
          <w:sz w:val="22"/>
          <w:szCs w:val="22"/>
        </w:rPr>
      </w:pPr>
    </w:p>
    <w:sectPr w:rsidR="00FE39FB" w:rsidRPr="005C6DEB" w:rsidSect="00FE3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98D"/>
    <w:multiLevelType w:val="hybridMultilevel"/>
    <w:tmpl w:val="DC8EF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03B7"/>
    <w:multiLevelType w:val="hybridMultilevel"/>
    <w:tmpl w:val="7A9290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4453"/>
    <w:multiLevelType w:val="hybridMultilevel"/>
    <w:tmpl w:val="F26842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2B77E3"/>
    <w:multiLevelType w:val="hybridMultilevel"/>
    <w:tmpl w:val="800818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5C6DEB"/>
    <w:rsid w:val="005C6DEB"/>
    <w:rsid w:val="009767AF"/>
    <w:rsid w:val="00DA1AA8"/>
    <w:rsid w:val="00DC1608"/>
    <w:rsid w:val="00F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rialx.com/curetalk/wp-content/blogs.dir/7/files/2011/05/diseases/Bone_Mineral_Density-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Bone Density Results</vt:lpstr>
      <vt:lpstr/>
      <vt:lpstr/>
      <vt:lpstr/>
      <vt:lpstr/>
      <vt:lpstr/>
      <vt:lpstr/>
      <vt:lpstr/>
      <vt:lpstr/>
      <vt:lpstr>Bone Density Results</vt:lpstr>
      <vt:lpstr>    Normal 			&gt; -1</vt:lpstr>
    </vt:vector>
  </TitlesOfParts>
  <Company>I.M. Associates</Company>
  <LinksUpToDate>false</LinksUpToDate>
  <CharactersWithSpaces>1175</CharactersWithSpaces>
  <SharedDoc>false</SharedDoc>
  <HLinks>
    <vt:vector size="6" baseType="variant">
      <vt:variant>
        <vt:i4>3801212</vt:i4>
      </vt:variant>
      <vt:variant>
        <vt:i4>-1</vt:i4>
      </vt:variant>
      <vt:variant>
        <vt:i4>1026</vt:i4>
      </vt:variant>
      <vt:variant>
        <vt:i4>1</vt:i4>
      </vt:variant>
      <vt:variant>
        <vt:lpwstr>http://trialx.com/curetalk/wp-content/blogs.dir/7/files/2011/05/diseases/Bone_Mineral_Density-3.gif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Bone Density Results</dc:title>
  <dc:creator>Ivan &amp; Martha Willmore</dc:creator>
  <cp:lastModifiedBy>Ivan</cp:lastModifiedBy>
  <cp:revision>2</cp:revision>
  <cp:lastPrinted>2002-08-30T11:30:00Z</cp:lastPrinted>
  <dcterms:created xsi:type="dcterms:W3CDTF">2012-11-08T15:15:00Z</dcterms:created>
  <dcterms:modified xsi:type="dcterms:W3CDTF">2012-11-08T15:15:00Z</dcterms:modified>
</cp:coreProperties>
</file>