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9EDC" w14:textId="77777777" w:rsidR="00A3352B" w:rsidRPr="00A3352B" w:rsidRDefault="00A3352B" w:rsidP="00A3352B">
      <w:pPr>
        <w:shd w:val="clear" w:color="auto" w:fill="FFFFFF"/>
        <w:spacing w:after="0" w:line="240" w:lineRule="auto"/>
        <w:jc w:val="center"/>
        <w:rPr>
          <w:rFonts w:ascii="Segoe UI" w:eastAsia="Times New Roman" w:hAnsi="Segoe UI" w:cs="Segoe UI"/>
          <w:color w:val="242424"/>
          <w:sz w:val="27"/>
          <w:szCs w:val="27"/>
          <w:lang w:eastAsia="en-GB"/>
        </w:rPr>
      </w:pPr>
      <w:r w:rsidRPr="00A3352B">
        <w:rPr>
          <w:rFonts w:ascii="inherit" w:eastAsia="Times New Roman" w:hAnsi="inherit" w:cs="Arial"/>
          <w:b/>
          <w:bCs/>
          <w:color w:val="242424"/>
          <w:sz w:val="32"/>
          <w:szCs w:val="32"/>
          <w:bdr w:val="none" w:sz="0" w:space="0" w:color="auto" w:frame="1"/>
          <w:lang w:eastAsia="en-GB"/>
        </w:rPr>
        <w:t>TERMINATION OF CARE SERVICES</w:t>
      </w:r>
    </w:p>
    <w:p w14:paraId="1E31623F" w14:textId="77777777" w:rsidR="00A3352B" w:rsidRPr="00A3352B" w:rsidRDefault="00A3352B" w:rsidP="00A3352B">
      <w:pPr>
        <w:shd w:val="clear" w:color="auto" w:fill="FFFFFF"/>
        <w:spacing w:after="0" w:line="324" w:lineRule="atLeast"/>
        <w:jc w:val="center"/>
        <w:rPr>
          <w:rFonts w:ascii="Segoe UI" w:eastAsia="Times New Roman" w:hAnsi="Segoe UI" w:cs="Segoe UI"/>
          <w:color w:val="242424"/>
          <w:sz w:val="27"/>
          <w:szCs w:val="27"/>
          <w:lang w:eastAsia="en-GB"/>
        </w:rPr>
      </w:pPr>
      <w:r w:rsidRPr="00A3352B">
        <w:rPr>
          <w:rFonts w:ascii="inherit" w:eastAsia="Times New Roman" w:hAnsi="inherit" w:cs="Segoe UI"/>
          <w:color w:val="242424"/>
          <w:sz w:val="27"/>
          <w:szCs w:val="27"/>
          <w:bdr w:val="none" w:sz="0" w:space="0" w:color="auto" w:frame="1"/>
          <w:lang w:eastAsia="en-GB"/>
        </w:rPr>
        <w:t> </w:t>
      </w:r>
    </w:p>
    <w:p w14:paraId="6792DC55" w14:textId="77777777" w:rsidR="00A3352B" w:rsidRPr="00A3352B" w:rsidRDefault="00A3352B" w:rsidP="00A3352B">
      <w:pPr>
        <w:shd w:val="clear" w:color="auto" w:fill="FFFFFF"/>
        <w:spacing w:after="0" w:line="324" w:lineRule="atLeast"/>
        <w:jc w:val="center"/>
        <w:rPr>
          <w:rFonts w:ascii="Segoe UI" w:eastAsia="Times New Roman" w:hAnsi="Segoe UI" w:cs="Segoe UI"/>
          <w:color w:val="242424"/>
          <w:sz w:val="27"/>
          <w:szCs w:val="27"/>
          <w:lang w:eastAsia="en-GB"/>
        </w:rPr>
      </w:pPr>
      <w:proofErr w:type="spellStart"/>
      <w:r w:rsidRPr="00A3352B">
        <w:rPr>
          <w:rFonts w:ascii="inherit" w:eastAsia="Times New Roman" w:hAnsi="inherit" w:cs="Arial"/>
          <w:b/>
          <w:bCs/>
          <w:color w:val="242424"/>
          <w:sz w:val="32"/>
          <w:szCs w:val="32"/>
          <w:bdr w:val="none" w:sz="0" w:space="0" w:color="auto" w:frame="1"/>
          <w:lang w:eastAsia="en-GB"/>
        </w:rPr>
        <w:t>Company_Name</w:t>
      </w:r>
      <w:bookmarkStart w:id="0" w:name="x__Hlk527623149"/>
      <w:bookmarkStart w:id="1" w:name="x__Hlk527623163"/>
      <w:bookmarkEnd w:id="0"/>
      <w:bookmarkEnd w:id="1"/>
      <w:proofErr w:type="spellEnd"/>
    </w:p>
    <w:p w14:paraId="081B93BB" w14:textId="77777777" w:rsidR="00A3352B" w:rsidRPr="00A3352B" w:rsidRDefault="00A3352B" w:rsidP="00A3352B">
      <w:pPr>
        <w:shd w:val="clear" w:color="auto" w:fill="FFFFFF"/>
        <w:spacing w:after="0" w:line="324" w:lineRule="atLeast"/>
        <w:jc w:val="center"/>
        <w:rPr>
          <w:rFonts w:ascii="Segoe UI" w:eastAsia="Times New Roman" w:hAnsi="Segoe UI" w:cs="Segoe UI"/>
          <w:color w:val="242424"/>
          <w:sz w:val="27"/>
          <w:szCs w:val="27"/>
          <w:lang w:eastAsia="en-GB"/>
        </w:rPr>
      </w:pPr>
      <w:r w:rsidRPr="00A3352B">
        <w:rPr>
          <w:rFonts w:ascii="inherit" w:eastAsia="Times New Roman" w:hAnsi="inherit" w:cs="Segoe UI"/>
          <w:color w:val="242424"/>
          <w:sz w:val="27"/>
          <w:szCs w:val="27"/>
          <w:bdr w:val="none" w:sz="0" w:space="0" w:color="auto" w:frame="1"/>
          <w:lang w:eastAsia="en-GB"/>
        </w:rPr>
        <w:t> </w:t>
      </w:r>
    </w:p>
    <w:p w14:paraId="24FF2129" w14:textId="77777777" w:rsidR="00A3352B" w:rsidRPr="00A3352B" w:rsidRDefault="00A3352B" w:rsidP="00A3352B">
      <w:pPr>
        <w:shd w:val="clear" w:color="auto" w:fill="FFFFFF"/>
        <w:spacing w:after="0" w:line="324" w:lineRule="atLeast"/>
        <w:jc w:val="center"/>
        <w:rPr>
          <w:rFonts w:ascii="Segoe UI" w:eastAsia="Times New Roman" w:hAnsi="Segoe UI" w:cs="Segoe UI"/>
          <w:color w:val="242424"/>
          <w:sz w:val="27"/>
          <w:szCs w:val="27"/>
          <w:lang w:eastAsia="en-GB"/>
        </w:rPr>
      </w:pPr>
      <w:bookmarkStart w:id="2" w:name="x__Hlk528749264"/>
      <w:bookmarkEnd w:id="2"/>
      <w:r w:rsidRPr="00A3352B">
        <w:rPr>
          <w:rFonts w:ascii="inherit" w:eastAsia="Times New Roman" w:hAnsi="inherit" w:cs="Arial"/>
          <w:b/>
          <w:bCs/>
          <w:color w:val="242424"/>
          <w:sz w:val="27"/>
          <w:szCs w:val="27"/>
          <w:bdr w:val="none" w:sz="0" w:space="0" w:color="auto" w:frame="1"/>
          <w:lang w:eastAsia="en-GB"/>
        </w:rPr>
        <w:t>User Input Required (</w:t>
      </w:r>
      <w:proofErr w:type="spellStart"/>
      <w:r w:rsidRPr="00A3352B">
        <w:rPr>
          <w:rFonts w:ascii="inherit" w:eastAsia="Times New Roman" w:hAnsi="inherit" w:cs="Arial"/>
          <w:b/>
          <w:bCs/>
          <w:color w:val="242424"/>
          <w:sz w:val="27"/>
          <w:szCs w:val="27"/>
          <w:bdr w:val="none" w:sz="0" w:space="0" w:color="auto" w:frame="1"/>
          <w:lang w:eastAsia="en-GB"/>
        </w:rPr>
        <w:t>Ctrl+Click</w:t>
      </w:r>
      <w:proofErr w:type="spellEnd"/>
      <w:r w:rsidRPr="00A3352B">
        <w:rPr>
          <w:rFonts w:ascii="inherit" w:eastAsia="Times New Roman" w:hAnsi="inherit" w:cs="Arial"/>
          <w:b/>
          <w:bCs/>
          <w:color w:val="242424"/>
          <w:sz w:val="27"/>
          <w:szCs w:val="27"/>
          <w:bdr w:val="none" w:sz="0" w:space="0" w:color="auto" w:frame="1"/>
          <w:lang w:eastAsia="en-GB"/>
        </w:rPr>
        <w:t>) – </w:t>
      </w:r>
      <w:r w:rsidRPr="00A3352B">
        <w:rPr>
          <w:rFonts w:ascii="inherit" w:eastAsia="Times New Roman" w:hAnsi="inherit" w:cs="Arial"/>
          <w:b/>
          <w:bCs/>
          <w:color w:val="0000FF"/>
          <w:sz w:val="27"/>
          <w:szCs w:val="27"/>
          <w:bdr w:val="none" w:sz="0" w:space="0" w:color="auto" w:frame="1"/>
          <w:lang w:eastAsia="en-GB"/>
        </w:rPr>
        <w:t>Requires User Input 1</w:t>
      </w:r>
    </w:p>
    <w:p w14:paraId="6AA7EC85" w14:textId="77777777" w:rsidR="00A3352B" w:rsidRPr="00A3352B" w:rsidRDefault="00A3352B" w:rsidP="00A3352B">
      <w:pPr>
        <w:shd w:val="clear" w:color="auto" w:fill="FFFFFF"/>
        <w:spacing w:after="0" w:line="324" w:lineRule="atLeast"/>
        <w:jc w:val="center"/>
        <w:rPr>
          <w:rFonts w:ascii="Segoe UI" w:eastAsia="Times New Roman" w:hAnsi="Segoe UI" w:cs="Segoe UI"/>
          <w:color w:val="242424"/>
          <w:sz w:val="27"/>
          <w:szCs w:val="27"/>
          <w:lang w:eastAsia="en-GB"/>
        </w:rPr>
      </w:pPr>
      <w:r w:rsidRPr="00A3352B">
        <w:rPr>
          <w:rFonts w:ascii="inherit" w:eastAsia="Times New Roman" w:hAnsi="inherit" w:cs="Arial"/>
          <w:b/>
          <w:bCs/>
          <w:color w:val="242424"/>
          <w:sz w:val="27"/>
          <w:szCs w:val="27"/>
          <w:bdr w:val="none" w:sz="0" w:space="0" w:color="auto" w:frame="1"/>
          <w:lang w:eastAsia="en-GB"/>
        </w:rPr>
        <w:t>User Input Required (</w:t>
      </w:r>
      <w:proofErr w:type="spellStart"/>
      <w:r w:rsidRPr="00A3352B">
        <w:rPr>
          <w:rFonts w:ascii="inherit" w:eastAsia="Times New Roman" w:hAnsi="inherit" w:cs="Arial"/>
          <w:b/>
          <w:bCs/>
          <w:color w:val="242424"/>
          <w:sz w:val="27"/>
          <w:szCs w:val="27"/>
          <w:bdr w:val="none" w:sz="0" w:space="0" w:color="auto" w:frame="1"/>
          <w:lang w:eastAsia="en-GB"/>
        </w:rPr>
        <w:t>Ctrl+Click</w:t>
      </w:r>
      <w:proofErr w:type="spellEnd"/>
      <w:r w:rsidRPr="00A3352B">
        <w:rPr>
          <w:rFonts w:ascii="inherit" w:eastAsia="Times New Roman" w:hAnsi="inherit" w:cs="Arial"/>
          <w:b/>
          <w:bCs/>
          <w:color w:val="242424"/>
          <w:sz w:val="27"/>
          <w:szCs w:val="27"/>
          <w:bdr w:val="none" w:sz="0" w:space="0" w:color="auto" w:frame="1"/>
          <w:lang w:eastAsia="en-GB"/>
        </w:rPr>
        <w:t>) – </w:t>
      </w:r>
      <w:r w:rsidRPr="00A3352B">
        <w:rPr>
          <w:rFonts w:ascii="inherit" w:eastAsia="Times New Roman" w:hAnsi="inherit" w:cs="Arial"/>
          <w:b/>
          <w:bCs/>
          <w:color w:val="0000FF"/>
          <w:sz w:val="27"/>
          <w:szCs w:val="27"/>
          <w:bdr w:val="none" w:sz="0" w:space="0" w:color="auto" w:frame="1"/>
          <w:lang w:eastAsia="en-GB"/>
        </w:rPr>
        <w:t>Requires User Input 2</w:t>
      </w:r>
    </w:p>
    <w:p w14:paraId="4729A739" w14:textId="77777777" w:rsidR="00A3352B" w:rsidRPr="00A3352B" w:rsidRDefault="00A3352B" w:rsidP="00A3352B">
      <w:pPr>
        <w:shd w:val="clear" w:color="auto" w:fill="FFFFFF"/>
        <w:spacing w:after="0" w:line="324" w:lineRule="atLeast"/>
        <w:rPr>
          <w:rFonts w:ascii="Segoe UI" w:eastAsia="Times New Roman" w:hAnsi="Segoe UI" w:cs="Segoe UI"/>
          <w:color w:val="242424"/>
          <w:sz w:val="27"/>
          <w:szCs w:val="27"/>
          <w:lang w:eastAsia="en-GB"/>
        </w:rPr>
      </w:pPr>
      <w:r w:rsidRPr="00A3352B">
        <w:rPr>
          <w:rFonts w:ascii="inherit" w:eastAsia="Times New Roman" w:hAnsi="inherit" w:cs="Arial"/>
          <w:b/>
          <w:bCs/>
          <w:color w:val="6076B4"/>
          <w:sz w:val="27"/>
          <w:szCs w:val="27"/>
          <w:bdr w:val="none" w:sz="0" w:space="0" w:color="auto" w:frame="1"/>
          <w:lang w:eastAsia="en-GB"/>
        </w:rPr>
        <w:t>Scope</w:t>
      </w:r>
    </w:p>
    <w:p w14:paraId="240107AE"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b/>
          <w:bCs/>
          <w:color w:val="242424"/>
          <w:sz w:val="27"/>
          <w:szCs w:val="27"/>
          <w:bdr w:val="none" w:sz="0" w:space="0" w:color="auto" w:frame="1"/>
          <w:lang w:eastAsia="en-GB"/>
        </w:rPr>
        <w:t>Policy Statement</w:t>
      </w:r>
    </w:p>
    <w:p w14:paraId="56906D1C"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b/>
          <w:bCs/>
          <w:color w:val="242424"/>
          <w:sz w:val="27"/>
          <w:szCs w:val="27"/>
          <w:bdr w:val="none" w:sz="0" w:space="0" w:color="auto" w:frame="1"/>
          <w:lang w:eastAsia="en-GB"/>
        </w:rPr>
        <w:t>The Policy</w:t>
      </w:r>
    </w:p>
    <w:p w14:paraId="7DB6AF46"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Principles</w:t>
      </w:r>
    </w:p>
    <w:p w14:paraId="646F040B"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Reasons for Termination</w:t>
      </w:r>
    </w:p>
    <w:p w14:paraId="11FAFE54"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Termination Notice Periods</w:t>
      </w:r>
    </w:p>
    <w:p w14:paraId="64FB984E"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b/>
          <w:bCs/>
          <w:color w:val="242424"/>
          <w:sz w:val="27"/>
          <w:szCs w:val="27"/>
          <w:bdr w:val="none" w:sz="0" w:space="0" w:color="auto" w:frame="1"/>
          <w:lang w:eastAsia="en-GB"/>
        </w:rPr>
        <w:t>Related Policies</w:t>
      </w:r>
    </w:p>
    <w:p w14:paraId="230EE698"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b/>
          <w:bCs/>
          <w:color w:val="242424"/>
          <w:sz w:val="27"/>
          <w:szCs w:val="27"/>
          <w:bdr w:val="none" w:sz="0" w:space="0" w:color="auto" w:frame="1"/>
          <w:lang w:eastAsia="en-GB"/>
        </w:rPr>
        <w:t>Related Guidance</w:t>
      </w:r>
    </w:p>
    <w:p w14:paraId="0DB10B2C"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b/>
          <w:bCs/>
          <w:color w:val="242424"/>
          <w:sz w:val="27"/>
          <w:szCs w:val="27"/>
          <w:bdr w:val="none" w:sz="0" w:space="0" w:color="auto" w:frame="1"/>
          <w:lang w:eastAsia="en-GB"/>
        </w:rPr>
        <w:t>Training Statement</w:t>
      </w:r>
    </w:p>
    <w:p w14:paraId="5C064211"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bookmarkStart w:id="3" w:name="x__Hlk527628763"/>
      <w:bookmarkEnd w:id="3"/>
      <w:r w:rsidRPr="00A3352B">
        <w:rPr>
          <w:rFonts w:ascii="inherit" w:eastAsia="Times New Roman" w:hAnsi="inherit" w:cs="Arial"/>
          <w:b/>
          <w:bCs/>
          <w:color w:val="6076B4"/>
          <w:sz w:val="27"/>
          <w:szCs w:val="27"/>
          <w:bdr w:val="none" w:sz="0" w:space="0" w:color="auto" w:frame="1"/>
          <w:lang w:eastAsia="en-GB"/>
        </w:rPr>
        <w:t>Policy Statement</w:t>
      </w:r>
    </w:p>
    <w:p w14:paraId="77217105"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In the rare event of the organisation terminating care services to a service user, a fair and transparent process must be followed. This policy sets out, in detail, the steps that should be taken to terminate any care service delivered by the organisation. </w:t>
      </w:r>
    </w:p>
    <w:p w14:paraId="58F9CDC4"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b/>
          <w:bCs/>
          <w:color w:val="6076B4"/>
          <w:sz w:val="27"/>
          <w:szCs w:val="27"/>
          <w:bdr w:val="none" w:sz="0" w:space="0" w:color="auto" w:frame="1"/>
          <w:lang w:eastAsia="en-GB"/>
        </w:rPr>
        <w:t>The Policy</w:t>
      </w:r>
    </w:p>
    <w:p w14:paraId="0257C946"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b/>
          <w:bCs/>
          <w:color w:val="242424"/>
          <w:sz w:val="27"/>
          <w:szCs w:val="27"/>
          <w:bdr w:val="none" w:sz="0" w:space="0" w:color="auto" w:frame="1"/>
          <w:lang w:eastAsia="en-GB"/>
        </w:rPr>
        <w:t>Principles </w:t>
      </w:r>
    </w:p>
    <w:p w14:paraId="7CD13993"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As a general rule, the grounds for termination of the service applies to both the service user and the provider. Where the service user lacks capacity the organisation must take steps to ensure that the service users’ family, representative, or relevant person where a best interest decision is required must be fully engaged in the discussions and decision making process. </w:t>
      </w:r>
    </w:p>
    <w:p w14:paraId="019AB09F"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b/>
          <w:bCs/>
          <w:color w:val="242424"/>
          <w:sz w:val="27"/>
          <w:szCs w:val="27"/>
          <w:bdr w:val="none" w:sz="0" w:space="0" w:color="auto" w:frame="1"/>
          <w:lang w:eastAsia="en-GB"/>
        </w:rPr>
        <w:t>Reasons for Termination</w:t>
      </w:r>
    </w:p>
    <w:p w14:paraId="267683AD"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These include: </w:t>
      </w:r>
    </w:p>
    <w:p w14:paraId="2BA65B5E"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A voluntary decision by the service user.</w:t>
      </w:r>
    </w:p>
    <w:p w14:paraId="280BEA1F"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The organisation can no longer meet their assessed needs.</w:t>
      </w:r>
    </w:p>
    <w:p w14:paraId="6C217599"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A hospital or hospice admission or similar health setting.</w:t>
      </w:r>
    </w:p>
    <w:p w14:paraId="5AA957F8"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A move to different accommodation, e.g. extra care or supported care environment.</w:t>
      </w:r>
    </w:p>
    <w:p w14:paraId="2DA09E2F"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Death of the service user.</w:t>
      </w:r>
    </w:p>
    <w:p w14:paraId="05E149CB" w14:textId="77777777" w:rsidR="00A3352B" w:rsidRPr="00A3352B" w:rsidRDefault="00A3352B" w:rsidP="00A3352B">
      <w:pPr>
        <w:shd w:val="clear" w:color="auto" w:fill="FFFFFF"/>
        <w:spacing w:after="0" w:line="0" w:lineRule="auto"/>
        <w:ind w:hanging="270"/>
        <w:textAlignment w:val="baseline"/>
        <w:rPr>
          <w:rFonts w:ascii="Segoe UI" w:eastAsia="Times New Roman" w:hAnsi="Segoe UI" w:cs="Segoe UI"/>
          <w:color w:val="242424"/>
          <w:sz w:val="27"/>
          <w:szCs w:val="27"/>
          <w:lang w:eastAsia="en-GB"/>
        </w:rPr>
      </w:pPr>
      <w:r w:rsidRPr="00A3352B">
        <w:rPr>
          <w:rFonts w:ascii="Arial" w:eastAsia="Times New Roman" w:hAnsi="Arial" w:cs="Arial"/>
          <w:color w:val="242424"/>
          <w:sz w:val="18"/>
          <w:szCs w:val="18"/>
          <w:bdr w:val="none" w:sz="0" w:space="0" w:color="auto" w:frame="1"/>
          <w:lang w:eastAsia="en-GB"/>
        </w:rPr>
        <w:t>• </w:t>
      </w:r>
      <w:r w:rsidRPr="00A3352B">
        <w:rPr>
          <w:rFonts w:ascii="inherit" w:eastAsia="Times New Roman" w:hAnsi="inherit" w:cs="Arial"/>
          <w:color w:val="242424"/>
          <w:sz w:val="27"/>
          <w:szCs w:val="27"/>
          <w:bdr w:val="none" w:sz="0" w:space="0" w:color="auto" w:frame="1"/>
          <w:lang w:eastAsia="en-GB"/>
        </w:rPr>
        <w:t>A breach of contract, including non-payment of fees.</w:t>
      </w:r>
    </w:p>
    <w:p w14:paraId="2ED8A69F"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Detrimental behaviour would be considered on an individual basis and would involve a multi-agency approach to achieve the best outcome for the service user and in recognition of the importance of the right setting when the service user can no longer be maintained at home. </w:t>
      </w:r>
    </w:p>
    <w:p w14:paraId="487CEC3E"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b/>
          <w:bCs/>
          <w:color w:val="242424"/>
          <w:sz w:val="27"/>
          <w:szCs w:val="27"/>
          <w:bdr w:val="none" w:sz="0" w:space="0" w:color="auto" w:frame="1"/>
          <w:lang w:eastAsia="en-GB"/>
        </w:rPr>
        <w:t>Termination Notice Periods</w:t>
      </w:r>
    </w:p>
    <w:p w14:paraId="7B7FCF20"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bookmarkStart w:id="4" w:name="x_TerminationOfCareServicesInput1"/>
      <w:bookmarkEnd w:id="4"/>
      <w:r w:rsidRPr="00A3352B">
        <w:rPr>
          <w:rFonts w:ascii="inherit" w:eastAsia="Times New Roman" w:hAnsi="inherit" w:cs="Arial"/>
          <w:b/>
          <w:bCs/>
          <w:color w:val="242424"/>
          <w:sz w:val="27"/>
          <w:szCs w:val="27"/>
          <w:bdr w:val="none" w:sz="0" w:space="0" w:color="auto" w:frame="1"/>
          <w:lang w:eastAsia="en-GB"/>
        </w:rPr>
        <w:t>[PLEASE INSERT HERE YOUR NOTICE PERIOD, BY BOTH PARTIES, SERVICE USER AND PROVIDER] </w:t>
      </w:r>
    </w:p>
    <w:p w14:paraId="7139FF33"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Termination of the service is always, after discussion and agreement, recorded in writing and the notice period starts from the date of receipt of written notice. It is important to work collaboratively to minimise any distress to the service user, where a change of accommodation or provider is the reason for termination. </w:t>
      </w:r>
    </w:p>
    <w:p w14:paraId="59003C0A"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 xml:space="preserve">This policy should be read in conjunction with the terms of business, service user’s contract and service </w:t>
      </w:r>
      <w:proofErr w:type="spellStart"/>
      <w:r w:rsidRPr="00A3352B">
        <w:rPr>
          <w:rFonts w:ascii="inherit" w:eastAsia="Times New Roman" w:hAnsi="inherit" w:cs="Arial"/>
          <w:color w:val="242424"/>
          <w:sz w:val="27"/>
          <w:szCs w:val="27"/>
          <w:bdr w:val="none" w:sz="0" w:space="0" w:color="auto" w:frame="1"/>
          <w:lang w:eastAsia="en-GB"/>
        </w:rPr>
        <w:t>userguide</w:t>
      </w:r>
      <w:proofErr w:type="spellEnd"/>
      <w:r w:rsidRPr="00A3352B">
        <w:rPr>
          <w:rFonts w:ascii="inherit" w:eastAsia="Times New Roman" w:hAnsi="inherit" w:cs="Arial"/>
          <w:color w:val="242424"/>
          <w:sz w:val="27"/>
          <w:szCs w:val="27"/>
          <w:bdr w:val="none" w:sz="0" w:space="0" w:color="auto" w:frame="1"/>
          <w:lang w:eastAsia="en-GB"/>
        </w:rPr>
        <w:t>. </w:t>
      </w:r>
    </w:p>
    <w:p w14:paraId="790C36DA"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b/>
          <w:bCs/>
          <w:color w:val="242424"/>
          <w:sz w:val="27"/>
          <w:szCs w:val="27"/>
          <w:bdr w:val="none" w:sz="0" w:space="0" w:color="auto" w:frame="1"/>
          <w:lang w:eastAsia="en-GB"/>
        </w:rPr>
        <w:t>Note:</w:t>
      </w:r>
      <w:r w:rsidRPr="00A3352B">
        <w:rPr>
          <w:rFonts w:ascii="inherit" w:eastAsia="Times New Roman" w:hAnsi="inherit" w:cs="Arial"/>
          <w:color w:val="242424"/>
          <w:sz w:val="27"/>
          <w:szCs w:val="27"/>
          <w:bdr w:val="none" w:sz="0" w:space="0" w:color="auto" w:frame="1"/>
          <w:lang w:eastAsia="en-GB"/>
        </w:rPr>
        <w:t> when the service user lacks capacity, the Mental Capacity Act 2005, in conjunction with multi-agency partners, family, representatives and any relevant persons, will be followed and adhered to during the process. </w:t>
      </w:r>
    </w:p>
    <w:p w14:paraId="64A146A0"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bookmarkStart w:id="5" w:name="x__Hlk527965528"/>
      <w:bookmarkStart w:id="6" w:name="x__Hlk527548380"/>
      <w:bookmarkEnd w:id="5"/>
      <w:bookmarkEnd w:id="6"/>
      <w:r w:rsidRPr="00A3352B">
        <w:rPr>
          <w:rFonts w:ascii="inherit" w:eastAsia="Times New Roman" w:hAnsi="inherit" w:cs="Arial"/>
          <w:b/>
          <w:bCs/>
          <w:color w:val="6076B4"/>
          <w:sz w:val="27"/>
          <w:szCs w:val="27"/>
          <w:bdr w:val="none" w:sz="0" w:space="0" w:color="auto" w:frame="1"/>
          <w:lang w:eastAsia="en-GB"/>
        </w:rPr>
        <w:br/>
        <w:t>Related Policies</w:t>
      </w:r>
    </w:p>
    <w:p w14:paraId="1A1F44AA"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Dignity and Respect</w:t>
      </w:r>
    </w:p>
    <w:p w14:paraId="3C99EDBF"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Mental Capacity Act 2005</w:t>
      </w:r>
    </w:p>
    <w:p w14:paraId="784296DE"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b/>
          <w:bCs/>
          <w:color w:val="6076B4"/>
          <w:sz w:val="27"/>
          <w:szCs w:val="27"/>
          <w:bdr w:val="none" w:sz="0" w:space="0" w:color="auto" w:frame="1"/>
          <w:lang w:eastAsia="en-GB"/>
        </w:rPr>
        <w:br/>
        <w:t>Related Guidance</w:t>
      </w:r>
    </w:p>
    <w:p w14:paraId="2DA2C4BA"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Competition and Markets Authority Guidance:</w:t>
      </w:r>
    </w:p>
    <w:p w14:paraId="5861D3A2"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hyperlink r:id="rId7" w:tgtFrame="_blank" w:history="1">
        <w:r w:rsidRPr="00A3352B">
          <w:rPr>
            <w:rFonts w:ascii="inherit" w:eastAsia="Times New Roman" w:hAnsi="inherit" w:cs="Arial"/>
            <w:color w:val="0000FF"/>
            <w:sz w:val="27"/>
            <w:szCs w:val="27"/>
            <w:u w:val="single"/>
            <w:bdr w:val="none" w:sz="0" w:space="0" w:color="auto" w:frame="1"/>
            <w:lang w:eastAsia="en-GB"/>
          </w:rPr>
          <w:t>https://www.gov.uk/government/organisations/competition-and-markets-authority</w:t>
        </w:r>
      </w:hyperlink>
    </w:p>
    <w:p w14:paraId="3C00D34E"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Your local authority specification.</w:t>
      </w:r>
    </w:p>
    <w:p w14:paraId="06B72EEE"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b/>
          <w:bCs/>
          <w:color w:val="6076B4"/>
          <w:sz w:val="27"/>
          <w:szCs w:val="27"/>
          <w:bdr w:val="none" w:sz="0" w:space="0" w:color="auto" w:frame="1"/>
          <w:lang w:eastAsia="en-GB"/>
        </w:rPr>
        <w:br/>
        <w:t>Training Statement</w:t>
      </w:r>
    </w:p>
    <w:p w14:paraId="3C9020E6"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bookmarkStart w:id="7" w:name="x__Hlk529282654"/>
      <w:bookmarkStart w:id="8" w:name="x__Hlk53512270"/>
      <w:bookmarkEnd w:id="7"/>
      <w:bookmarkEnd w:id="8"/>
      <w:r w:rsidRPr="00A3352B">
        <w:rPr>
          <w:rFonts w:ascii="inherit" w:eastAsia="Times New Roman" w:hAnsi="inherit" w:cs="Arial"/>
          <w:color w:val="242424"/>
          <w:sz w:val="27"/>
          <w:szCs w:val="27"/>
          <w:bdr w:val="none" w:sz="0" w:space="0" w:color="auto" w:frame="1"/>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and individual supervisions. External courses are sourced as required.</w:t>
      </w:r>
      <w:bookmarkStart w:id="9" w:name="x_TerminationOfCareServicesInput2"/>
      <w:bookmarkEnd w:id="9"/>
      <w:r w:rsidRPr="00A3352B">
        <w:rPr>
          <w:rFonts w:ascii="inherit" w:eastAsia="Times New Roman" w:hAnsi="inherit" w:cs="Arial"/>
          <w:b/>
          <w:bCs/>
          <w:color w:val="242424"/>
          <w:sz w:val="27"/>
          <w:szCs w:val="27"/>
          <w:bdr w:val="none" w:sz="0" w:space="0" w:color="auto" w:frame="1"/>
          <w:lang w:eastAsia="en-GB"/>
        </w:rPr>
        <w:t>[AMEND AND INSERT AS REQUIRED]</w:t>
      </w:r>
    </w:p>
    <w:p w14:paraId="004AF97D"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Segoe UI"/>
          <w:color w:val="242424"/>
          <w:sz w:val="27"/>
          <w:szCs w:val="27"/>
          <w:bdr w:val="none" w:sz="0" w:space="0" w:color="auto" w:frame="1"/>
          <w:lang w:eastAsia="en-GB"/>
        </w:rPr>
        <w:t> </w:t>
      </w:r>
    </w:p>
    <w:p w14:paraId="5751F365"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Date Reviewed: September 2022</w:t>
      </w:r>
    </w:p>
    <w:p w14:paraId="7DF3525D"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Person responsible for updating this policy: </w:t>
      </w:r>
      <w:r w:rsidRPr="00A3352B">
        <w:rPr>
          <w:rFonts w:ascii="inherit" w:eastAsia="Times New Roman" w:hAnsi="inherit" w:cs="Arial"/>
          <w:b/>
          <w:bCs/>
          <w:color w:val="242424"/>
          <w:sz w:val="27"/>
          <w:szCs w:val="27"/>
          <w:bdr w:val="none" w:sz="0" w:space="0" w:color="auto" w:frame="1"/>
          <w:lang w:eastAsia="en-GB"/>
        </w:rPr>
        <w:t>[INSERT NAME HERE]</w:t>
      </w:r>
    </w:p>
    <w:p w14:paraId="7AABBEDB"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color w:val="242424"/>
          <w:sz w:val="27"/>
          <w:szCs w:val="27"/>
          <w:bdr w:val="none" w:sz="0" w:space="0" w:color="auto" w:frame="1"/>
          <w:lang w:eastAsia="en-GB"/>
        </w:rPr>
        <w:t>Next Review Date: May 2023</w:t>
      </w:r>
    </w:p>
    <w:p w14:paraId="29C5C82D"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Segoe UI"/>
          <w:color w:val="242424"/>
          <w:sz w:val="27"/>
          <w:szCs w:val="27"/>
          <w:bdr w:val="none" w:sz="0" w:space="0" w:color="auto" w:frame="1"/>
          <w:lang w:eastAsia="en-GB"/>
        </w:rPr>
        <w:t> </w:t>
      </w:r>
    </w:p>
    <w:p w14:paraId="239D407D" w14:textId="77777777" w:rsidR="00A3352B" w:rsidRPr="00A3352B" w:rsidRDefault="00A3352B" w:rsidP="00A3352B">
      <w:pPr>
        <w:shd w:val="clear" w:color="auto" w:fill="FFFFFF"/>
        <w:spacing w:after="0" w:line="0" w:lineRule="auto"/>
        <w:rPr>
          <w:rFonts w:ascii="Segoe UI" w:eastAsia="Times New Roman" w:hAnsi="Segoe UI" w:cs="Segoe UI"/>
          <w:color w:val="242424"/>
          <w:sz w:val="27"/>
          <w:szCs w:val="27"/>
          <w:lang w:eastAsia="en-GB"/>
        </w:rPr>
      </w:pPr>
      <w:r w:rsidRPr="00A3352B">
        <w:rPr>
          <w:rFonts w:ascii="inherit" w:eastAsia="Times New Roman" w:hAnsi="inherit" w:cs="Arial"/>
          <w:b/>
          <w:bCs/>
          <w:color w:val="242424"/>
          <w:sz w:val="27"/>
          <w:szCs w:val="27"/>
          <w:bdr w:val="none" w:sz="0" w:space="0" w:color="auto" w:frame="1"/>
          <w:lang w:eastAsia="en-GB"/>
        </w:rPr>
        <w:t>Return to Policy Heading (</w:t>
      </w:r>
      <w:proofErr w:type="spellStart"/>
      <w:r w:rsidRPr="00A3352B">
        <w:rPr>
          <w:rFonts w:ascii="inherit" w:eastAsia="Times New Roman" w:hAnsi="inherit" w:cs="Arial"/>
          <w:b/>
          <w:bCs/>
          <w:color w:val="242424"/>
          <w:sz w:val="27"/>
          <w:szCs w:val="27"/>
          <w:bdr w:val="none" w:sz="0" w:space="0" w:color="auto" w:frame="1"/>
          <w:lang w:eastAsia="en-GB"/>
        </w:rPr>
        <w:t>Ctrl+Click</w:t>
      </w:r>
      <w:proofErr w:type="spellEnd"/>
      <w:r w:rsidRPr="00A3352B">
        <w:rPr>
          <w:rFonts w:ascii="inherit" w:eastAsia="Times New Roman" w:hAnsi="inherit" w:cs="Arial"/>
          <w:b/>
          <w:bCs/>
          <w:color w:val="242424"/>
          <w:sz w:val="27"/>
          <w:szCs w:val="27"/>
          <w:bdr w:val="none" w:sz="0" w:space="0" w:color="auto" w:frame="1"/>
          <w:lang w:eastAsia="en-GB"/>
        </w:rPr>
        <w:t>) – </w:t>
      </w:r>
      <w:r w:rsidRPr="00A3352B">
        <w:rPr>
          <w:rFonts w:ascii="inherit" w:eastAsia="Times New Roman" w:hAnsi="inherit" w:cs="Arial"/>
          <w:b/>
          <w:bCs/>
          <w:color w:val="0000FF"/>
          <w:sz w:val="27"/>
          <w:szCs w:val="27"/>
          <w:bdr w:val="none" w:sz="0" w:space="0" w:color="auto" w:frame="1"/>
          <w:lang w:eastAsia="en-GB"/>
        </w:rPr>
        <w:t>Policy Heading</w:t>
      </w:r>
    </w:p>
    <w:p w14:paraId="05652137" w14:textId="77777777" w:rsidR="00A3352B" w:rsidRDefault="00A3352B" w:rsidP="00A3352B">
      <w:r>
        <w:t>Policy Statement</w:t>
      </w:r>
    </w:p>
    <w:p w14:paraId="13B7F713" w14:textId="77777777" w:rsidR="00A3352B" w:rsidRDefault="00A3352B" w:rsidP="00A3352B">
      <w:r>
        <w:t>• The Policy</w:t>
      </w:r>
    </w:p>
    <w:p w14:paraId="138E614E" w14:textId="77777777" w:rsidR="00A3352B" w:rsidRDefault="00A3352B" w:rsidP="00A3352B">
      <w:r>
        <w:t>• Principles</w:t>
      </w:r>
    </w:p>
    <w:p w14:paraId="5837B92A" w14:textId="77777777" w:rsidR="00A3352B" w:rsidRDefault="00A3352B" w:rsidP="00A3352B">
      <w:r>
        <w:t>• Reasons for Termination</w:t>
      </w:r>
    </w:p>
    <w:p w14:paraId="6CC75333" w14:textId="77777777" w:rsidR="00A3352B" w:rsidRDefault="00A3352B" w:rsidP="00A3352B">
      <w:r>
        <w:t>• Termination Notice Periods</w:t>
      </w:r>
    </w:p>
    <w:p w14:paraId="35CFCEA7" w14:textId="77777777" w:rsidR="00A3352B" w:rsidRDefault="00A3352B" w:rsidP="00A3352B">
      <w:r>
        <w:t>• Related Policies</w:t>
      </w:r>
    </w:p>
    <w:p w14:paraId="0037B1B7" w14:textId="77777777" w:rsidR="00A3352B" w:rsidRDefault="00A3352B" w:rsidP="00A3352B">
      <w:r>
        <w:t>• Related Guidance</w:t>
      </w:r>
    </w:p>
    <w:p w14:paraId="73A9732C" w14:textId="77777777" w:rsidR="00A3352B" w:rsidRDefault="00A3352B" w:rsidP="00A3352B">
      <w:r>
        <w:t>• Training Statement</w:t>
      </w:r>
    </w:p>
    <w:p w14:paraId="46B459F1" w14:textId="77777777" w:rsidR="00A3352B" w:rsidRDefault="00A3352B" w:rsidP="00A3352B">
      <w:r>
        <w:t>Policy Statement</w:t>
      </w:r>
    </w:p>
    <w:p w14:paraId="0FEB5DA0" w14:textId="77777777" w:rsidR="00A3352B" w:rsidRDefault="00A3352B" w:rsidP="00A3352B"/>
    <w:p w14:paraId="53738C41" w14:textId="77777777" w:rsidR="00A3352B" w:rsidRDefault="00A3352B" w:rsidP="00A3352B">
      <w:r>
        <w:t xml:space="preserve">In the rare event of the organisation terminating care services to a service user, a fair and transparent process must be followed. This policy sets out, in detail, the steps that should be taken to terminate any care service delivered by the organisation. </w:t>
      </w:r>
    </w:p>
    <w:p w14:paraId="12D87E3F" w14:textId="77777777" w:rsidR="00A3352B" w:rsidRDefault="00A3352B" w:rsidP="00A3352B"/>
    <w:p w14:paraId="166FE831" w14:textId="77777777" w:rsidR="00A3352B" w:rsidRDefault="00A3352B" w:rsidP="00A3352B">
      <w:r>
        <w:t>The Policy</w:t>
      </w:r>
    </w:p>
    <w:p w14:paraId="5E2B6735" w14:textId="77777777" w:rsidR="00A3352B" w:rsidRDefault="00A3352B" w:rsidP="00A3352B"/>
    <w:p w14:paraId="42233A10" w14:textId="77777777" w:rsidR="00A3352B" w:rsidRDefault="00A3352B" w:rsidP="00A3352B">
      <w:r>
        <w:t xml:space="preserve">Principles </w:t>
      </w:r>
    </w:p>
    <w:p w14:paraId="5C776189" w14:textId="77777777" w:rsidR="00A3352B" w:rsidRDefault="00A3352B" w:rsidP="00A3352B"/>
    <w:p w14:paraId="6AE5A9EC" w14:textId="77777777" w:rsidR="00A3352B" w:rsidRDefault="00A3352B" w:rsidP="00A3352B">
      <w:r>
        <w:t xml:space="preserve">As a general rule, the grounds for termination of the service applies to both the service user and the provider. Where the service user lacks capacity the organisation must take steps to ensure that the service users’ family, representative, or relevant person where a best interest decision is required must be fully engaged in the discussions and decision making process. </w:t>
      </w:r>
    </w:p>
    <w:p w14:paraId="07B4A4D2" w14:textId="77777777" w:rsidR="00A3352B" w:rsidRDefault="00A3352B" w:rsidP="00A3352B"/>
    <w:p w14:paraId="3823B6ED" w14:textId="77777777" w:rsidR="00A3352B" w:rsidRDefault="00A3352B" w:rsidP="00A3352B">
      <w:r>
        <w:t>Reasons for Termination</w:t>
      </w:r>
    </w:p>
    <w:p w14:paraId="4D2D6323" w14:textId="77777777" w:rsidR="00A3352B" w:rsidRDefault="00A3352B" w:rsidP="00A3352B"/>
    <w:p w14:paraId="614102AA" w14:textId="77777777" w:rsidR="00A3352B" w:rsidRDefault="00A3352B" w:rsidP="00A3352B">
      <w:r>
        <w:lastRenderedPageBreak/>
        <w:t xml:space="preserve">These include: </w:t>
      </w:r>
    </w:p>
    <w:p w14:paraId="16102281" w14:textId="77777777" w:rsidR="00A3352B" w:rsidRDefault="00A3352B" w:rsidP="00A3352B"/>
    <w:p w14:paraId="0408742D" w14:textId="77777777" w:rsidR="00A3352B" w:rsidRDefault="00A3352B" w:rsidP="00A3352B">
      <w:r>
        <w:t>• A voluntary decision by the service user.</w:t>
      </w:r>
    </w:p>
    <w:p w14:paraId="535D967F" w14:textId="77777777" w:rsidR="00A3352B" w:rsidRDefault="00A3352B" w:rsidP="00A3352B">
      <w:r>
        <w:t>• The organisation can no longer meet their assessed needs.</w:t>
      </w:r>
    </w:p>
    <w:p w14:paraId="48637029" w14:textId="77777777" w:rsidR="00A3352B" w:rsidRDefault="00A3352B" w:rsidP="00A3352B">
      <w:r>
        <w:t>• A hospital or hospice admission or similar health setting.</w:t>
      </w:r>
    </w:p>
    <w:p w14:paraId="29D2AF8F" w14:textId="77777777" w:rsidR="00A3352B" w:rsidRDefault="00A3352B" w:rsidP="00A3352B">
      <w:r>
        <w:t>• A move to different accommodation, e.g. extra care or supported care environment.</w:t>
      </w:r>
    </w:p>
    <w:p w14:paraId="12A5D28D" w14:textId="77777777" w:rsidR="00A3352B" w:rsidRDefault="00A3352B" w:rsidP="00A3352B">
      <w:r>
        <w:t>• Death of the service user.</w:t>
      </w:r>
    </w:p>
    <w:p w14:paraId="7E8B1747" w14:textId="77777777" w:rsidR="00A3352B" w:rsidRDefault="00A3352B" w:rsidP="00A3352B">
      <w:r>
        <w:t>• A breach of contract, including non-payment of fees.</w:t>
      </w:r>
    </w:p>
    <w:p w14:paraId="3908F781" w14:textId="77777777" w:rsidR="00A3352B" w:rsidRDefault="00A3352B" w:rsidP="00A3352B">
      <w:r>
        <w:t xml:space="preserve">Detrimental behaviour would be considered on an individual basis and would involve a multi-agency approach to achieve the best outcome for the service user and in recognition of the importance of the right setting when the service user can no longer be maintained at home. </w:t>
      </w:r>
    </w:p>
    <w:p w14:paraId="280BDB51" w14:textId="77777777" w:rsidR="00A3352B" w:rsidRDefault="00A3352B" w:rsidP="00A3352B"/>
    <w:p w14:paraId="69E988E4" w14:textId="77777777" w:rsidR="00A3352B" w:rsidRDefault="00A3352B" w:rsidP="00A3352B">
      <w:r>
        <w:t>Termination Notice Periods</w:t>
      </w:r>
    </w:p>
    <w:p w14:paraId="3F358432" w14:textId="77777777" w:rsidR="00A3352B" w:rsidRDefault="00A3352B" w:rsidP="00A3352B"/>
    <w:p w14:paraId="031D4530" w14:textId="77777777" w:rsidR="00A3352B" w:rsidRDefault="00A3352B" w:rsidP="00A3352B">
      <w:r>
        <w:t xml:space="preserve">[PLEASE INSERT HERE YOUR NOTICE PERIOD, BY BOTH PARTIES, SERVICE USER AND PROVIDER] </w:t>
      </w:r>
    </w:p>
    <w:p w14:paraId="14F3FFCF" w14:textId="77777777" w:rsidR="00A3352B" w:rsidRDefault="00A3352B" w:rsidP="00A3352B"/>
    <w:p w14:paraId="6FA9529C" w14:textId="77777777" w:rsidR="00A3352B" w:rsidRDefault="00A3352B" w:rsidP="00A3352B">
      <w:r>
        <w:t xml:space="preserve">Termination of the service is always, after discussion and agreement, recorded in writing and the notice period starts from the date of receipt of written notice. It is important to work collaboratively to minimise any distress to the service user, where a change of accommodation or provider is the reason for termination. </w:t>
      </w:r>
    </w:p>
    <w:p w14:paraId="4DD3142C" w14:textId="77777777" w:rsidR="00A3352B" w:rsidRDefault="00A3352B" w:rsidP="00A3352B"/>
    <w:p w14:paraId="35B9AC3C" w14:textId="77777777" w:rsidR="00A3352B" w:rsidRDefault="00A3352B" w:rsidP="00A3352B">
      <w:r>
        <w:t xml:space="preserve">This policy should be read in conjunction with the terms of business, service user’s contract and service </w:t>
      </w:r>
      <w:proofErr w:type="spellStart"/>
      <w:r>
        <w:t>userguide</w:t>
      </w:r>
      <w:proofErr w:type="spellEnd"/>
      <w:r>
        <w:t xml:space="preserve">. </w:t>
      </w:r>
    </w:p>
    <w:p w14:paraId="2F1141E1" w14:textId="77777777" w:rsidR="00A3352B" w:rsidRDefault="00A3352B" w:rsidP="00A3352B"/>
    <w:p w14:paraId="44192489" w14:textId="77777777" w:rsidR="00A3352B" w:rsidRDefault="00A3352B" w:rsidP="00A3352B">
      <w:r>
        <w:t xml:space="preserve">Note: when the service user lacks capacity, the Mental Capacity Act 2005, in conjunction with multi-agency partners, family, representatives and any relevant persons, will be followed and adhered to during the process. </w:t>
      </w:r>
    </w:p>
    <w:p w14:paraId="139B86C5" w14:textId="77777777" w:rsidR="00A3352B" w:rsidRDefault="00A3352B" w:rsidP="00A3352B"/>
    <w:p w14:paraId="508DF5BA" w14:textId="77777777" w:rsidR="00A3352B" w:rsidRDefault="00A3352B" w:rsidP="00A3352B"/>
    <w:p w14:paraId="7118C951" w14:textId="77777777" w:rsidR="00A3352B" w:rsidRDefault="00A3352B" w:rsidP="00A3352B">
      <w:r>
        <w:t>Related Policies</w:t>
      </w:r>
    </w:p>
    <w:p w14:paraId="5EF02614" w14:textId="77777777" w:rsidR="00A3352B" w:rsidRDefault="00A3352B" w:rsidP="00A3352B"/>
    <w:p w14:paraId="3DF1BEA2" w14:textId="77777777" w:rsidR="00A3352B" w:rsidRDefault="00A3352B" w:rsidP="00A3352B">
      <w:r>
        <w:lastRenderedPageBreak/>
        <w:t>Dignity and Respect</w:t>
      </w:r>
    </w:p>
    <w:p w14:paraId="7E2B1FDE" w14:textId="77777777" w:rsidR="00A3352B" w:rsidRDefault="00A3352B" w:rsidP="00A3352B"/>
    <w:p w14:paraId="577291BD" w14:textId="77777777" w:rsidR="00A3352B" w:rsidRDefault="00A3352B" w:rsidP="00A3352B">
      <w:r>
        <w:t>Mental Capacity Act 2005</w:t>
      </w:r>
    </w:p>
    <w:p w14:paraId="614DF6DF" w14:textId="77777777" w:rsidR="00A3352B" w:rsidRDefault="00A3352B" w:rsidP="00A3352B"/>
    <w:p w14:paraId="0704A27B" w14:textId="77777777" w:rsidR="00A3352B" w:rsidRDefault="00A3352B" w:rsidP="00A3352B"/>
    <w:p w14:paraId="57D9F783" w14:textId="77777777" w:rsidR="00A3352B" w:rsidRDefault="00A3352B" w:rsidP="00A3352B">
      <w:r>
        <w:t>Related Guidance</w:t>
      </w:r>
    </w:p>
    <w:p w14:paraId="5FF94A95" w14:textId="77777777" w:rsidR="00A3352B" w:rsidRDefault="00A3352B" w:rsidP="00A3352B"/>
    <w:p w14:paraId="79AF28D7" w14:textId="77777777" w:rsidR="00A3352B" w:rsidRDefault="00A3352B" w:rsidP="00A3352B">
      <w:r>
        <w:t>Competition and Markets Authority Guidance:</w:t>
      </w:r>
    </w:p>
    <w:p w14:paraId="4FBEC3D4" w14:textId="77777777" w:rsidR="00A3352B" w:rsidRDefault="00A3352B" w:rsidP="00A3352B"/>
    <w:p w14:paraId="646B8271" w14:textId="77777777" w:rsidR="00A3352B" w:rsidRDefault="00A3352B" w:rsidP="00A3352B">
      <w:r>
        <w:t>https://www.gov.uk/government/organisations/competition-and-markets-authority</w:t>
      </w:r>
    </w:p>
    <w:p w14:paraId="0B780E82" w14:textId="77777777" w:rsidR="00A3352B" w:rsidRDefault="00A3352B" w:rsidP="00A3352B"/>
    <w:p w14:paraId="17D14275" w14:textId="77777777" w:rsidR="00A3352B" w:rsidRDefault="00A3352B" w:rsidP="00A3352B">
      <w:r>
        <w:t>Your local authority specification.</w:t>
      </w:r>
    </w:p>
    <w:p w14:paraId="51EF42F1" w14:textId="77777777" w:rsidR="00A3352B" w:rsidRDefault="00A3352B" w:rsidP="00A3352B"/>
    <w:p w14:paraId="62E7F97B" w14:textId="77777777" w:rsidR="00A3352B" w:rsidRDefault="00A3352B" w:rsidP="00A3352B"/>
    <w:p w14:paraId="785ACD08" w14:textId="77777777" w:rsidR="00A3352B" w:rsidRDefault="00A3352B" w:rsidP="00A3352B">
      <w:r>
        <w:t>Training Statement</w:t>
      </w:r>
    </w:p>
    <w:p w14:paraId="4E789495" w14:textId="77777777" w:rsidR="00A3352B" w:rsidRDefault="00A3352B" w:rsidP="00A3352B"/>
    <w:p w14:paraId="02E8E888" w14:textId="77777777" w:rsidR="00A3352B" w:rsidRDefault="00A3352B" w:rsidP="00A3352B">
      <w: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and individual supervisions. External courses are sourced as required.[AMEND AND INSERT AS REQUIRED]</w:t>
      </w:r>
    </w:p>
    <w:p w14:paraId="3C2D5910" w14:textId="77777777" w:rsidR="00A3352B" w:rsidRDefault="00A3352B" w:rsidP="00A3352B"/>
    <w:p w14:paraId="32BE825F" w14:textId="77777777" w:rsidR="00A3352B" w:rsidRDefault="00A3352B" w:rsidP="00A3352B">
      <w:r>
        <w:t xml:space="preserve"> </w:t>
      </w:r>
    </w:p>
    <w:p w14:paraId="519C52E6" w14:textId="77777777" w:rsidR="00A3352B" w:rsidRDefault="00A3352B" w:rsidP="00A3352B"/>
    <w:p w14:paraId="752519F8" w14:textId="77777777" w:rsidR="00A3352B" w:rsidRDefault="00A3352B" w:rsidP="00A3352B">
      <w:r>
        <w:t>Date Reviewed: September 2022</w:t>
      </w:r>
    </w:p>
    <w:p w14:paraId="2B6225D2" w14:textId="77777777" w:rsidR="00A3352B" w:rsidRDefault="00A3352B" w:rsidP="00A3352B"/>
    <w:p w14:paraId="6F51C453" w14:textId="77777777" w:rsidR="00A3352B" w:rsidRDefault="00A3352B" w:rsidP="00A3352B">
      <w:r>
        <w:t>Person responsible for updating this policy: [INSERT NAME HERE]</w:t>
      </w:r>
    </w:p>
    <w:p w14:paraId="2EE59898" w14:textId="77777777" w:rsidR="00A3352B" w:rsidRDefault="00A3352B" w:rsidP="00A3352B"/>
    <w:p w14:paraId="391BBD2F" w14:textId="77777777" w:rsidR="00A3352B" w:rsidRDefault="00A3352B" w:rsidP="00A3352B">
      <w:r>
        <w:t>Next Review Date: May 2023</w:t>
      </w:r>
    </w:p>
    <w:p w14:paraId="7835963A" w14:textId="77777777" w:rsidR="00A3352B" w:rsidRDefault="00A3352B" w:rsidP="00A3352B"/>
    <w:p w14:paraId="3AD12D53" w14:textId="77777777" w:rsidR="00A3352B" w:rsidRDefault="00A3352B" w:rsidP="00A3352B">
      <w:r>
        <w:t xml:space="preserve"> </w:t>
      </w:r>
    </w:p>
    <w:p w14:paraId="05C4A58B" w14:textId="77777777" w:rsidR="00A3352B" w:rsidRDefault="00A3352B" w:rsidP="00A3352B"/>
    <w:p w14:paraId="15D767EB" w14:textId="640F778C" w:rsidR="00D01038" w:rsidRPr="00D8662E" w:rsidRDefault="00A3352B" w:rsidP="00A3352B">
      <w:r>
        <w:t>Return to Policy Heading (</w:t>
      </w:r>
      <w:proofErr w:type="spellStart"/>
      <w:r>
        <w:t>Ctrl+Click</w:t>
      </w:r>
      <w:proofErr w:type="spellEnd"/>
      <w:r>
        <w:t>) – Policy Heading</w:t>
      </w:r>
    </w:p>
    <w:sectPr w:rsidR="00D01038" w:rsidRPr="00D8662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A268" w14:textId="77777777" w:rsidR="009C13B3" w:rsidRDefault="009C13B3" w:rsidP="009C13B3">
      <w:pPr>
        <w:spacing w:after="0" w:line="240" w:lineRule="auto"/>
      </w:pPr>
      <w:r>
        <w:separator/>
      </w:r>
    </w:p>
  </w:endnote>
  <w:endnote w:type="continuationSeparator" w:id="0">
    <w:p w14:paraId="48E1F512" w14:textId="77777777" w:rsidR="009C13B3" w:rsidRDefault="009C13B3" w:rsidP="009C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DEE9" w14:textId="77777777" w:rsidR="009C13B3" w:rsidRPr="009C13B3" w:rsidRDefault="009C13B3" w:rsidP="009C13B3">
    <w:pPr>
      <w:widowControl w:val="0"/>
      <w:autoSpaceDE w:val="0"/>
      <w:autoSpaceDN w:val="0"/>
      <w:adjustRightInd w:val="0"/>
      <w:spacing w:before="160" w:after="0" w:line="240" w:lineRule="auto"/>
      <w:rPr>
        <w:rFonts w:ascii="Arial" w:eastAsia="Times New Roman" w:hAnsi="Arial" w:cs="Arial"/>
        <w:sz w:val="12"/>
        <w:szCs w:val="12"/>
        <w:lang w:eastAsia="en-GB"/>
      </w:rPr>
    </w:pPr>
    <w:bookmarkStart w:id="10" w:name="_Hlk113111131"/>
    <w:r w:rsidRPr="009C13B3">
      <w:rPr>
        <w:rFonts w:ascii="Arial" w:eastAsia="Times New Roman" w:hAnsi="Arial" w:cs="Arial"/>
        <w:sz w:val="12"/>
        <w:szCs w:val="12"/>
        <w:lang w:eastAsia="en-GB"/>
      </w:rPr>
      <w:t xml:space="preserve">CapitalPro Agency </w:t>
    </w:r>
    <w:r w:rsidRPr="009C13B3">
      <w:rPr>
        <w:rFonts w:ascii="Arial" w:eastAsia="Times New Roman" w:hAnsi="Arial" w:cs="Arial"/>
        <w:color w:val="FFFF00"/>
        <w:sz w:val="12"/>
        <w:szCs w:val="12"/>
        <w:lang w:eastAsia="en-GB"/>
      </w:rPr>
      <w:t>Team working</w:t>
    </w:r>
    <w:r w:rsidRPr="009C13B3">
      <w:rPr>
        <w:rFonts w:ascii="Arial" w:eastAsia="Times New Roman" w:hAnsi="Arial" w:cs="Arial"/>
        <w:sz w:val="12"/>
        <w:szCs w:val="12"/>
        <w:lang w:eastAsia="en-GB"/>
      </w:rPr>
      <w:t xml:space="preserve">, </w:t>
    </w:r>
    <w:r w:rsidRPr="009C13B3">
      <w:rPr>
        <w:rFonts w:ascii="Arial" w:eastAsia="Times New Roman" w:hAnsi="Arial" w:cs="Arial"/>
        <w:color w:val="984806"/>
        <w:sz w:val="12"/>
        <w:szCs w:val="12"/>
        <w:lang w:eastAsia="en-GB"/>
      </w:rPr>
      <w:t>Reliable,</w:t>
    </w:r>
    <w:r w:rsidRPr="009C13B3">
      <w:rPr>
        <w:rFonts w:ascii="Arial" w:eastAsia="Times New Roman" w:hAnsi="Arial" w:cs="Arial"/>
        <w:sz w:val="12"/>
        <w:szCs w:val="12"/>
        <w:lang w:eastAsia="en-GB"/>
      </w:rPr>
      <w:t xml:space="preserve"> </w:t>
    </w:r>
    <w:r w:rsidRPr="009C13B3">
      <w:rPr>
        <w:rFonts w:ascii="Arial" w:eastAsia="Times New Roman" w:hAnsi="Arial" w:cs="Arial"/>
        <w:color w:val="00B0F0"/>
        <w:sz w:val="12"/>
        <w:szCs w:val="12"/>
        <w:lang w:eastAsia="en-GB"/>
      </w:rPr>
      <w:t>Understanding</w:t>
    </w:r>
    <w:r w:rsidRPr="009C13B3">
      <w:rPr>
        <w:rFonts w:ascii="Arial" w:eastAsia="Times New Roman" w:hAnsi="Arial" w:cs="Arial"/>
        <w:sz w:val="12"/>
        <w:szCs w:val="12"/>
        <w:lang w:eastAsia="en-GB"/>
      </w:rPr>
      <w:t xml:space="preserve">, </w:t>
    </w:r>
    <w:r w:rsidRPr="009C13B3">
      <w:rPr>
        <w:rFonts w:ascii="Arial" w:eastAsia="Times New Roman" w:hAnsi="Arial" w:cs="Arial"/>
        <w:color w:val="D9D9D9"/>
        <w:sz w:val="12"/>
        <w:szCs w:val="12"/>
        <w:highlight w:val="black"/>
        <w:lang w:eastAsia="en-GB"/>
      </w:rPr>
      <w:t>Sincere</w:t>
    </w:r>
    <w:r w:rsidRPr="009C13B3">
      <w:rPr>
        <w:rFonts w:ascii="Arial" w:eastAsia="Times New Roman" w:hAnsi="Arial" w:cs="Arial"/>
        <w:sz w:val="12"/>
        <w:szCs w:val="12"/>
        <w:lang w:eastAsia="en-GB"/>
      </w:rPr>
      <w:t xml:space="preserve"> and </w:t>
    </w:r>
    <w:r w:rsidRPr="009C13B3">
      <w:rPr>
        <w:rFonts w:ascii="Arial" w:eastAsia="Times New Roman" w:hAnsi="Arial" w:cs="Arial"/>
        <w:color w:val="FF0000"/>
        <w:sz w:val="12"/>
        <w:szCs w:val="12"/>
        <w:lang w:eastAsia="en-GB"/>
      </w:rPr>
      <w:t>Tenacious</w:t>
    </w:r>
    <w:r w:rsidRPr="009C13B3">
      <w:rPr>
        <w:rFonts w:ascii="Arial" w:eastAsia="Times New Roman" w:hAnsi="Arial" w:cs="Arial"/>
        <w:sz w:val="12"/>
        <w:szCs w:val="12"/>
        <w:lang w:eastAsia="en-GB"/>
      </w:rPr>
      <w:t>.</w:t>
    </w:r>
  </w:p>
  <w:p w14:paraId="54593821" w14:textId="70E40ACB" w:rsidR="009C13B3" w:rsidRPr="009C13B3" w:rsidRDefault="00F633E5" w:rsidP="009C13B3">
    <w:pPr>
      <w:widowControl w:val="0"/>
      <w:autoSpaceDE w:val="0"/>
      <w:autoSpaceDN w:val="0"/>
      <w:adjustRightInd w:val="0"/>
      <w:spacing w:before="160" w:after="0" w:line="240" w:lineRule="auto"/>
      <w:rPr>
        <w:rFonts w:ascii="Arial" w:eastAsia="Times New Roman" w:hAnsi="Arial" w:cs="Arial"/>
        <w:sz w:val="12"/>
        <w:szCs w:val="12"/>
        <w:lang w:eastAsia="en-GB"/>
      </w:rPr>
    </w:pPr>
    <w:r>
      <w:rPr>
        <w:rFonts w:ascii="Arial" w:eastAsia="Times New Roman" w:hAnsi="Arial" w:cs="Arial"/>
        <w:sz w:val="12"/>
        <w:szCs w:val="12"/>
        <w:lang w:eastAsia="en-GB"/>
      </w:rPr>
      <w:t>Reference Request Fo</w:t>
    </w:r>
    <w:r w:rsidR="002F7CC6">
      <w:rPr>
        <w:rFonts w:ascii="Arial" w:eastAsia="Times New Roman" w:hAnsi="Arial" w:cs="Arial"/>
        <w:sz w:val="12"/>
        <w:szCs w:val="12"/>
        <w:lang w:eastAsia="en-GB"/>
      </w:rPr>
      <w:t>rm</w:t>
    </w:r>
    <w:r w:rsidR="009C13B3" w:rsidRPr="009C13B3">
      <w:rPr>
        <w:rFonts w:ascii="Arial" w:eastAsia="Times New Roman" w:hAnsi="Arial" w:cs="Arial"/>
        <w:sz w:val="12"/>
        <w:szCs w:val="12"/>
        <w:lang w:eastAsia="en-GB"/>
      </w:rPr>
      <w:t xml:space="preserve">  2022/CPA</w:t>
    </w:r>
    <w:r w:rsidR="002F7CC6">
      <w:rPr>
        <w:rFonts w:ascii="Arial" w:eastAsia="Times New Roman" w:hAnsi="Arial" w:cs="Arial"/>
        <w:sz w:val="12"/>
        <w:szCs w:val="12"/>
        <w:lang w:eastAsia="en-GB"/>
      </w:rPr>
      <w:t>D</w:t>
    </w:r>
    <w:r w:rsidR="009C13B3" w:rsidRPr="009C13B3">
      <w:rPr>
        <w:rFonts w:ascii="Arial" w:eastAsia="Times New Roman" w:hAnsi="Arial" w:cs="Arial"/>
        <w:sz w:val="12"/>
        <w:szCs w:val="12"/>
        <w:lang w:eastAsia="en-GB"/>
      </w:rPr>
      <w:tab/>
      <w:t xml:space="preserve">     Version 1    issued September 2022</w:t>
    </w:r>
  </w:p>
  <w:bookmarkEnd w:id="10"/>
  <w:p w14:paraId="7DCB3F9F" w14:textId="77777777" w:rsidR="009C13B3" w:rsidRPr="009C13B3" w:rsidRDefault="009C13B3" w:rsidP="009C13B3">
    <w:pPr>
      <w:tabs>
        <w:tab w:val="center" w:pos="4320"/>
        <w:tab w:val="right" w:pos="8640"/>
      </w:tabs>
      <w:spacing w:after="0" w:line="240" w:lineRule="auto"/>
      <w:rPr>
        <w:rFonts w:ascii="Times New Roman" w:eastAsia="Times New Roman" w:hAnsi="Times New Roman" w:cs="Times New Roman"/>
        <w:sz w:val="24"/>
        <w:szCs w:val="12"/>
        <w:lang w:val="en-US"/>
      </w:rPr>
    </w:pPr>
  </w:p>
  <w:p w14:paraId="189D44BF" w14:textId="77777777" w:rsidR="009C13B3" w:rsidRDefault="009C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8DA3" w14:textId="77777777" w:rsidR="009C13B3" w:rsidRDefault="009C13B3" w:rsidP="009C13B3">
      <w:pPr>
        <w:spacing w:after="0" w:line="240" w:lineRule="auto"/>
      </w:pPr>
      <w:r>
        <w:separator/>
      </w:r>
    </w:p>
  </w:footnote>
  <w:footnote w:type="continuationSeparator" w:id="0">
    <w:p w14:paraId="55D28917" w14:textId="77777777" w:rsidR="009C13B3" w:rsidRDefault="009C13B3" w:rsidP="009C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BFBC" w14:textId="285F98FF" w:rsidR="009C13B3" w:rsidRDefault="009C13B3" w:rsidP="009C13B3">
    <w:pPr>
      <w:pStyle w:val="Header"/>
      <w:jc w:val="center"/>
    </w:pPr>
    <w:r>
      <w:rPr>
        <w:noProof/>
      </w:rPr>
      <w:drawing>
        <wp:inline distT="0" distB="0" distL="0" distR="0" wp14:anchorId="6AB993DA" wp14:editId="470510BA">
          <wp:extent cx="2962910"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743585"/>
                  </a:xfrm>
                  <a:prstGeom prst="rect">
                    <a:avLst/>
                  </a:prstGeom>
                  <a:noFill/>
                </pic:spPr>
              </pic:pic>
            </a:graphicData>
          </a:graphic>
        </wp:inline>
      </w:drawing>
    </w:r>
  </w:p>
  <w:p w14:paraId="39FC1D30" w14:textId="77777777" w:rsidR="009C13B3" w:rsidRDefault="009C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0"/>
    <w:multiLevelType w:val="hybridMultilevel"/>
    <w:tmpl w:val="FFFFFFFF"/>
    <w:lvl w:ilvl="0" w:tplc="21703250">
      <w:start w:val="1"/>
      <w:numFmt w:val="lowerLetter"/>
      <w:lvlText w:val="%1."/>
      <w:lvlJc w:val="right"/>
      <w:pPr>
        <w:tabs>
          <w:tab w:val="num" w:pos="720"/>
        </w:tabs>
        <w:ind w:left="72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0000052"/>
    <w:multiLevelType w:val="hybridMultilevel"/>
    <w:tmpl w:val="FFFFFFFF"/>
    <w:lvl w:ilvl="0" w:tplc="21703250">
      <w:start w:val="1"/>
      <w:numFmt w:val="lowerLetter"/>
      <w:lvlText w:val="%1."/>
      <w:lvlJc w:val="right"/>
      <w:pPr>
        <w:tabs>
          <w:tab w:val="num" w:pos="720"/>
        </w:tabs>
        <w:ind w:left="72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802386218">
    <w:abstractNumId w:val="0"/>
  </w:num>
  <w:num w:numId="2" w16cid:durableId="181432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B3"/>
    <w:rsid w:val="000571B0"/>
    <w:rsid w:val="001D46EA"/>
    <w:rsid w:val="002208AF"/>
    <w:rsid w:val="002829A5"/>
    <w:rsid w:val="002E3CDB"/>
    <w:rsid w:val="002F7CC6"/>
    <w:rsid w:val="00421F84"/>
    <w:rsid w:val="005E3E44"/>
    <w:rsid w:val="00623749"/>
    <w:rsid w:val="00647E31"/>
    <w:rsid w:val="00707931"/>
    <w:rsid w:val="00791EFA"/>
    <w:rsid w:val="008A2A9D"/>
    <w:rsid w:val="009C13B3"/>
    <w:rsid w:val="00A21C93"/>
    <w:rsid w:val="00A3352B"/>
    <w:rsid w:val="00B409A8"/>
    <w:rsid w:val="00B45D4A"/>
    <w:rsid w:val="00D01038"/>
    <w:rsid w:val="00D8662E"/>
    <w:rsid w:val="00E72628"/>
    <w:rsid w:val="00EB308C"/>
    <w:rsid w:val="00F220D4"/>
    <w:rsid w:val="00F633E5"/>
    <w:rsid w:val="00F9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52696"/>
  <w15:docId w15:val="{B549F9F8-360A-49EC-978C-F8145EB5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3B3"/>
  </w:style>
  <w:style w:type="paragraph" w:styleId="Footer">
    <w:name w:val="footer"/>
    <w:basedOn w:val="Normal"/>
    <w:link w:val="FooterChar"/>
    <w:uiPriority w:val="99"/>
    <w:unhideWhenUsed/>
    <w:rsid w:val="009C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3B3"/>
  </w:style>
  <w:style w:type="table" w:styleId="TableGrid">
    <w:name w:val="Table Grid"/>
    <w:basedOn w:val="TableNormal"/>
    <w:uiPriority w:val="39"/>
    <w:rsid w:val="0070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s3">
    <w:name w:val="x_s3"/>
    <w:basedOn w:val="Normal"/>
    <w:rsid w:val="00A335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bumpedfont15">
    <w:name w:val="x_bumpedfont15"/>
    <w:basedOn w:val="DefaultParagraphFont"/>
    <w:rsid w:val="00A3352B"/>
  </w:style>
  <w:style w:type="paragraph" w:customStyle="1" w:styleId="xs4">
    <w:name w:val="x_s4"/>
    <w:basedOn w:val="Normal"/>
    <w:rsid w:val="00A33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335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8">
    <w:name w:val="x_s8"/>
    <w:basedOn w:val="DefaultParagraphFont"/>
    <w:rsid w:val="00A3352B"/>
  </w:style>
  <w:style w:type="paragraph" w:customStyle="1" w:styleId="xs11">
    <w:name w:val="x_s11"/>
    <w:basedOn w:val="Normal"/>
    <w:rsid w:val="00A33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12">
    <w:name w:val="x_s12"/>
    <w:basedOn w:val="Normal"/>
    <w:rsid w:val="00A33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14">
    <w:name w:val="x_s14"/>
    <w:basedOn w:val="Normal"/>
    <w:rsid w:val="00A33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18">
    <w:name w:val="x_s18"/>
    <w:basedOn w:val="Normal"/>
    <w:rsid w:val="00A335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15078">
      <w:bodyDiv w:val="1"/>
      <w:marLeft w:val="0"/>
      <w:marRight w:val="0"/>
      <w:marTop w:val="0"/>
      <w:marBottom w:val="0"/>
      <w:divBdr>
        <w:top w:val="none" w:sz="0" w:space="0" w:color="auto"/>
        <w:left w:val="none" w:sz="0" w:space="0" w:color="auto"/>
        <w:bottom w:val="none" w:sz="0" w:space="0" w:color="auto"/>
        <w:right w:val="none" w:sz="0" w:space="0" w:color="auto"/>
      </w:divBdr>
      <w:divsChild>
        <w:div w:id="1160317171">
          <w:marLeft w:val="270"/>
          <w:marRight w:val="0"/>
          <w:marTop w:val="90"/>
          <w:marBottom w:val="0"/>
          <w:divBdr>
            <w:top w:val="none" w:sz="0" w:space="0" w:color="auto"/>
            <w:left w:val="none" w:sz="0" w:space="0" w:color="auto"/>
            <w:bottom w:val="none" w:sz="0" w:space="0" w:color="auto"/>
            <w:right w:val="none" w:sz="0" w:space="0" w:color="auto"/>
          </w:divBdr>
        </w:div>
        <w:div w:id="1800144951">
          <w:marLeft w:val="270"/>
          <w:marRight w:val="0"/>
          <w:marTop w:val="90"/>
          <w:marBottom w:val="0"/>
          <w:divBdr>
            <w:top w:val="none" w:sz="0" w:space="0" w:color="auto"/>
            <w:left w:val="none" w:sz="0" w:space="0" w:color="auto"/>
            <w:bottom w:val="none" w:sz="0" w:space="0" w:color="auto"/>
            <w:right w:val="none" w:sz="0" w:space="0" w:color="auto"/>
          </w:divBdr>
        </w:div>
        <w:div w:id="988629474">
          <w:marLeft w:val="270"/>
          <w:marRight w:val="0"/>
          <w:marTop w:val="90"/>
          <w:marBottom w:val="0"/>
          <w:divBdr>
            <w:top w:val="none" w:sz="0" w:space="0" w:color="auto"/>
            <w:left w:val="none" w:sz="0" w:space="0" w:color="auto"/>
            <w:bottom w:val="none" w:sz="0" w:space="0" w:color="auto"/>
            <w:right w:val="none" w:sz="0" w:space="0" w:color="auto"/>
          </w:divBdr>
        </w:div>
        <w:div w:id="278340882">
          <w:marLeft w:val="270"/>
          <w:marRight w:val="0"/>
          <w:marTop w:val="90"/>
          <w:marBottom w:val="0"/>
          <w:divBdr>
            <w:top w:val="none" w:sz="0" w:space="0" w:color="auto"/>
            <w:left w:val="none" w:sz="0" w:space="0" w:color="auto"/>
            <w:bottom w:val="none" w:sz="0" w:space="0" w:color="auto"/>
            <w:right w:val="none" w:sz="0" w:space="0" w:color="auto"/>
          </w:divBdr>
        </w:div>
        <w:div w:id="910309845">
          <w:marLeft w:val="270"/>
          <w:marRight w:val="0"/>
          <w:marTop w:val="90"/>
          <w:marBottom w:val="0"/>
          <w:divBdr>
            <w:top w:val="none" w:sz="0" w:space="0" w:color="auto"/>
            <w:left w:val="none" w:sz="0" w:space="0" w:color="auto"/>
            <w:bottom w:val="none" w:sz="0" w:space="0" w:color="auto"/>
            <w:right w:val="none" w:sz="0" w:space="0" w:color="auto"/>
          </w:divBdr>
        </w:div>
        <w:div w:id="749236401">
          <w:marLeft w:val="270"/>
          <w:marRight w:val="0"/>
          <w:marTop w:val="90"/>
          <w:marBottom w:val="0"/>
          <w:divBdr>
            <w:top w:val="none" w:sz="0" w:space="0" w:color="auto"/>
            <w:left w:val="none" w:sz="0" w:space="0" w:color="auto"/>
            <w:bottom w:val="none" w:sz="0" w:space="0" w:color="auto"/>
            <w:right w:val="none" w:sz="0" w:space="0" w:color="auto"/>
          </w:divBdr>
        </w:div>
        <w:div w:id="1892573630">
          <w:marLeft w:val="270"/>
          <w:marRight w:val="0"/>
          <w:marTop w:val="90"/>
          <w:marBottom w:val="0"/>
          <w:divBdr>
            <w:top w:val="none" w:sz="0" w:space="0" w:color="auto"/>
            <w:left w:val="none" w:sz="0" w:space="0" w:color="auto"/>
            <w:bottom w:val="none" w:sz="0" w:space="0" w:color="auto"/>
            <w:right w:val="none" w:sz="0" w:space="0" w:color="auto"/>
          </w:divBdr>
        </w:div>
        <w:div w:id="1769348918">
          <w:marLeft w:val="270"/>
          <w:marRight w:val="0"/>
          <w:marTop w:val="90"/>
          <w:marBottom w:val="0"/>
          <w:divBdr>
            <w:top w:val="none" w:sz="0" w:space="0" w:color="auto"/>
            <w:left w:val="none" w:sz="0" w:space="0" w:color="auto"/>
            <w:bottom w:val="none" w:sz="0" w:space="0" w:color="auto"/>
            <w:right w:val="none" w:sz="0" w:space="0" w:color="auto"/>
          </w:divBdr>
        </w:div>
        <w:div w:id="1524514880">
          <w:marLeft w:val="270"/>
          <w:marRight w:val="0"/>
          <w:marTop w:val="90"/>
          <w:marBottom w:val="0"/>
          <w:divBdr>
            <w:top w:val="none" w:sz="0" w:space="0" w:color="auto"/>
            <w:left w:val="none" w:sz="0" w:space="0" w:color="auto"/>
            <w:bottom w:val="none" w:sz="0" w:space="0" w:color="auto"/>
            <w:right w:val="none" w:sz="0" w:space="0" w:color="auto"/>
          </w:divBdr>
        </w:div>
        <w:div w:id="1642420919">
          <w:marLeft w:val="270"/>
          <w:marRight w:val="0"/>
          <w:marTop w:val="90"/>
          <w:marBottom w:val="0"/>
          <w:divBdr>
            <w:top w:val="none" w:sz="0" w:space="0" w:color="auto"/>
            <w:left w:val="none" w:sz="0" w:space="0" w:color="auto"/>
            <w:bottom w:val="none" w:sz="0" w:space="0" w:color="auto"/>
            <w:right w:val="none" w:sz="0" w:space="0" w:color="auto"/>
          </w:divBdr>
        </w:div>
        <w:div w:id="1169440937">
          <w:marLeft w:val="270"/>
          <w:marRight w:val="0"/>
          <w:marTop w:val="90"/>
          <w:marBottom w:val="0"/>
          <w:divBdr>
            <w:top w:val="none" w:sz="0" w:space="0" w:color="auto"/>
            <w:left w:val="none" w:sz="0" w:space="0" w:color="auto"/>
            <w:bottom w:val="none" w:sz="0" w:space="0" w:color="auto"/>
            <w:right w:val="none" w:sz="0" w:space="0" w:color="auto"/>
          </w:divBdr>
        </w:div>
        <w:div w:id="577711156">
          <w:marLeft w:val="270"/>
          <w:marRight w:val="0"/>
          <w:marTop w:val="90"/>
          <w:marBottom w:val="0"/>
          <w:divBdr>
            <w:top w:val="none" w:sz="0" w:space="0" w:color="auto"/>
            <w:left w:val="none" w:sz="0" w:space="0" w:color="auto"/>
            <w:bottom w:val="none" w:sz="0" w:space="0" w:color="auto"/>
            <w:right w:val="none" w:sz="0" w:space="0" w:color="auto"/>
          </w:divBdr>
        </w:div>
        <w:div w:id="1232227283">
          <w:marLeft w:val="270"/>
          <w:marRight w:val="0"/>
          <w:marTop w:val="90"/>
          <w:marBottom w:val="0"/>
          <w:divBdr>
            <w:top w:val="none" w:sz="0" w:space="0" w:color="auto"/>
            <w:left w:val="none" w:sz="0" w:space="0" w:color="auto"/>
            <w:bottom w:val="none" w:sz="0" w:space="0" w:color="auto"/>
            <w:right w:val="none" w:sz="0" w:space="0" w:color="auto"/>
          </w:divBdr>
        </w:div>
        <w:div w:id="85804991">
          <w:marLeft w:val="270"/>
          <w:marRight w:val="0"/>
          <w:marTop w:val="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organisations/competition-and-markets-autho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ZVAVAMWE, Marionette (BARKING, HAVERING AND REDBRIDGE UNIVERSITY HOSPITALS NHS TRUST)</dc:creator>
  <cp:keywords/>
  <dc:description/>
  <cp:lastModifiedBy>ZVAVAMWE, Marionette (BARKING, HAVERING AND REDBRIDGE UNIVERSITY HOSPITALS NHS TRUST)</cp:lastModifiedBy>
  <cp:revision>3</cp:revision>
  <dcterms:created xsi:type="dcterms:W3CDTF">2023-01-06T12:39:00Z</dcterms:created>
  <dcterms:modified xsi:type="dcterms:W3CDTF">2023-01-06T12:42:00Z</dcterms:modified>
</cp:coreProperties>
</file>