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B05" w:rsidRPr="006741F2" w:rsidRDefault="00A01B05" w:rsidP="002259AC">
      <w:pPr>
        <w:jc w:val="center"/>
        <w:rPr>
          <w:rFonts w:ascii="Calibri" w:hAnsi="Calibri"/>
          <w:b/>
          <w:sz w:val="22"/>
          <w:szCs w:val="22"/>
          <w:u w:val="single"/>
        </w:rPr>
      </w:pPr>
    </w:p>
    <w:p w:rsidR="006F59F0" w:rsidRDefault="006F59F0" w:rsidP="006F59F0">
      <w:pPr>
        <w:spacing w:line="360" w:lineRule="auto"/>
        <w:jc w:val="center"/>
        <w:rPr>
          <w:rFonts w:ascii="Calibri" w:hAnsi="Calibri"/>
          <w:i/>
          <w:sz w:val="22"/>
          <w:szCs w:val="22"/>
        </w:rPr>
      </w:pPr>
      <w:r w:rsidRPr="006F59F0">
        <w:rPr>
          <w:rFonts w:ascii="Calibri" w:hAnsi="Calibri"/>
          <w:i/>
          <w:sz w:val="22"/>
          <w:szCs w:val="22"/>
        </w:rPr>
        <w:t xml:space="preserve">The patient and representative (if any), have a right to be informed of </w:t>
      </w:r>
      <w:r>
        <w:rPr>
          <w:rFonts w:ascii="Calibri" w:hAnsi="Calibri"/>
          <w:i/>
          <w:sz w:val="22"/>
          <w:szCs w:val="22"/>
        </w:rPr>
        <w:t>our</w:t>
      </w:r>
      <w:r w:rsidRPr="006F59F0">
        <w:rPr>
          <w:rFonts w:ascii="Calibri" w:hAnsi="Calibri"/>
          <w:i/>
          <w:sz w:val="22"/>
          <w:szCs w:val="22"/>
        </w:rPr>
        <w:t xml:space="preserve"> policies for transfer and discharge</w:t>
      </w:r>
      <w:r w:rsidR="00AD5740">
        <w:rPr>
          <w:rFonts w:ascii="Calibri" w:hAnsi="Calibri"/>
          <w:i/>
          <w:sz w:val="22"/>
          <w:szCs w:val="22"/>
        </w:rPr>
        <w:t>.</w:t>
      </w:r>
    </w:p>
    <w:p w:rsidR="006F59F0" w:rsidRPr="006F59F0" w:rsidRDefault="006F59F0" w:rsidP="006F59F0">
      <w:pPr>
        <w:spacing w:line="360" w:lineRule="auto"/>
        <w:rPr>
          <w:rFonts w:ascii="Calibri" w:hAnsi="Calibri"/>
          <w:b/>
          <w:sz w:val="22"/>
          <w:szCs w:val="22"/>
        </w:rPr>
      </w:pPr>
      <w:r w:rsidRPr="006F59F0">
        <w:rPr>
          <w:rFonts w:ascii="Calibri" w:hAnsi="Calibri"/>
          <w:b/>
          <w:sz w:val="22"/>
          <w:szCs w:val="22"/>
        </w:rPr>
        <w:t xml:space="preserve">We </w:t>
      </w:r>
      <w:r w:rsidR="00DF0FA7">
        <w:rPr>
          <w:rFonts w:ascii="Calibri" w:hAnsi="Calibri"/>
          <w:b/>
          <w:sz w:val="22"/>
          <w:szCs w:val="22"/>
        </w:rPr>
        <w:t xml:space="preserve">(the HHA) </w:t>
      </w:r>
      <w:r w:rsidRPr="006F59F0">
        <w:rPr>
          <w:rFonts w:ascii="Calibri" w:hAnsi="Calibri"/>
          <w:b/>
          <w:sz w:val="22"/>
          <w:szCs w:val="22"/>
        </w:rPr>
        <w:t>may only transfer or</w:t>
      </w:r>
      <w:bookmarkStart w:id="0" w:name="_GoBack"/>
      <w:bookmarkEnd w:id="0"/>
      <w:r w:rsidRPr="006F59F0">
        <w:rPr>
          <w:rFonts w:ascii="Calibri" w:hAnsi="Calibri"/>
          <w:b/>
          <w:sz w:val="22"/>
          <w:szCs w:val="22"/>
        </w:rPr>
        <w:t xml:space="preserve"> discharge </w:t>
      </w:r>
      <w:r>
        <w:rPr>
          <w:rFonts w:ascii="Calibri" w:hAnsi="Calibri"/>
          <w:b/>
          <w:sz w:val="22"/>
          <w:szCs w:val="22"/>
        </w:rPr>
        <w:t>a</w:t>
      </w:r>
      <w:r w:rsidRPr="006F59F0">
        <w:rPr>
          <w:rFonts w:ascii="Calibri" w:hAnsi="Calibri"/>
          <w:b/>
          <w:sz w:val="22"/>
          <w:szCs w:val="22"/>
        </w:rPr>
        <w:t xml:space="preserve"> patient from </w:t>
      </w:r>
      <w:r>
        <w:rPr>
          <w:rFonts w:ascii="Calibri" w:hAnsi="Calibri"/>
          <w:b/>
          <w:sz w:val="22"/>
          <w:szCs w:val="22"/>
        </w:rPr>
        <w:t>services</w:t>
      </w:r>
      <w:r w:rsidRPr="006F59F0">
        <w:rPr>
          <w:rFonts w:ascii="Calibri" w:hAnsi="Calibri"/>
          <w:b/>
          <w:sz w:val="22"/>
          <w:szCs w:val="22"/>
        </w:rPr>
        <w:t xml:space="preserve"> if: </w:t>
      </w:r>
    </w:p>
    <w:p w:rsidR="00CC5EA3" w:rsidRDefault="00DF0FA7" w:rsidP="00DF0FA7">
      <w:pPr>
        <w:numPr>
          <w:ilvl w:val="0"/>
          <w:numId w:val="1"/>
        </w:numPr>
        <w:spacing w:line="360" w:lineRule="auto"/>
        <w:rPr>
          <w:rFonts w:ascii="Calibri" w:hAnsi="Calibri"/>
          <w:sz w:val="22"/>
          <w:szCs w:val="22"/>
        </w:rPr>
      </w:pPr>
      <w:r w:rsidRPr="00DF0FA7">
        <w:rPr>
          <w:rFonts w:ascii="Calibri" w:hAnsi="Calibri"/>
          <w:sz w:val="22"/>
          <w:szCs w:val="22"/>
        </w:rPr>
        <w:t>The transfer or discharge is necessary for the patient’s welfare because the HHA and the physician who is responsible for the home health plan of care agree that the HHA can no longer meet the patient’s needs, based on the patient’s acuity. The HHA must arrange a safe and appropriate transfer to other care entities when the needs of the patient exceed the HHA’s capabilities;</w:t>
      </w:r>
    </w:p>
    <w:p w:rsidR="00CC5EA3" w:rsidRDefault="00DF0FA7" w:rsidP="00DF0FA7">
      <w:pPr>
        <w:numPr>
          <w:ilvl w:val="0"/>
          <w:numId w:val="1"/>
        </w:numPr>
        <w:spacing w:line="360" w:lineRule="auto"/>
        <w:rPr>
          <w:rFonts w:ascii="Calibri" w:hAnsi="Calibri"/>
          <w:sz w:val="22"/>
          <w:szCs w:val="22"/>
        </w:rPr>
      </w:pPr>
      <w:r w:rsidRPr="00DF0FA7">
        <w:rPr>
          <w:rFonts w:ascii="Calibri" w:hAnsi="Calibri"/>
          <w:sz w:val="22"/>
          <w:szCs w:val="22"/>
        </w:rPr>
        <w:t>The patient or payer will no longer pay for the services provided by the HHA</w:t>
      </w:r>
      <w:r w:rsidR="005411A5">
        <w:rPr>
          <w:rFonts w:ascii="Calibri" w:hAnsi="Calibri"/>
          <w:sz w:val="22"/>
          <w:szCs w:val="22"/>
        </w:rPr>
        <w:t>;</w:t>
      </w:r>
    </w:p>
    <w:p w:rsidR="00A5306B" w:rsidRDefault="00DF0FA7" w:rsidP="00DF0FA7">
      <w:pPr>
        <w:numPr>
          <w:ilvl w:val="0"/>
          <w:numId w:val="1"/>
        </w:numPr>
        <w:spacing w:line="360" w:lineRule="auto"/>
        <w:rPr>
          <w:rFonts w:ascii="Calibri" w:hAnsi="Calibri"/>
          <w:sz w:val="22"/>
          <w:szCs w:val="22"/>
        </w:rPr>
      </w:pPr>
      <w:r w:rsidRPr="00DF0FA7">
        <w:rPr>
          <w:rFonts w:ascii="Calibri" w:hAnsi="Calibri"/>
          <w:sz w:val="22"/>
          <w:szCs w:val="22"/>
        </w:rPr>
        <w:t>The transfer or discharge is appropriate because the physician who is responsible for the home health plan of care and the HHA agree that the measurable outcomes and goals set forth in the plan of care in accordance with §484.60(a)(2)(xiv) have been achieved, and the HHA and the physician who is responsible for the home health plan of care agree that the patient no longer needs the HHA’s services</w:t>
      </w:r>
      <w:r w:rsidR="00A5306B">
        <w:rPr>
          <w:rFonts w:ascii="Calibri" w:hAnsi="Calibri"/>
          <w:sz w:val="22"/>
          <w:szCs w:val="22"/>
        </w:rPr>
        <w:t>;</w:t>
      </w:r>
    </w:p>
    <w:p w:rsidR="00DF0FA7" w:rsidRDefault="00DF0FA7" w:rsidP="00DF0FA7">
      <w:pPr>
        <w:numPr>
          <w:ilvl w:val="0"/>
          <w:numId w:val="1"/>
        </w:numPr>
        <w:spacing w:line="360" w:lineRule="auto"/>
        <w:rPr>
          <w:rFonts w:ascii="Calibri" w:hAnsi="Calibri"/>
          <w:sz w:val="22"/>
          <w:szCs w:val="22"/>
        </w:rPr>
      </w:pPr>
      <w:r w:rsidRPr="00DF0FA7">
        <w:rPr>
          <w:rFonts w:ascii="Calibri" w:hAnsi="Calibri"/>
          <w:sz w:val="22"/>
          <w:szCs w:val="22"/>
        </w:rPr>
        <w:t>The patient refuses services, or elects to be transferred or discharged</w:t>
      </w:r>
      <w:r>
        <w:rPr>
          <w:rFonts w:ascii="Calibri" w:hAnsi="Calibri"/>
          <w:sz w:val="22"/>
          <w:szCs w:val="22"/>
        </w:rPr>
        <w:t>;</w:t>
      </w:r>
      <w:r w:rsidR="00C1079F">
        <w:rPr>
          <w:rFonts w:ascii="Calibri" w:hAnsi="Calibri"/>
          <w:sz w:val="22"/>
          <w:szCs w:val="22"/>
        </w:rPr>
        <w:t xml:space="preserve"> </w:t>
      </w:r>
    </w:p>
    <w:p w:rsidR="00DF0FA7" w:rsidRPr="00DF0FA7" w:rsidRDefault="00DF0FA7" w:rsidP="00DF0FA7">
      <w:pPr>
        <w:numPr>
          <w:ilvl w:val="0"/>
          <w:numId w:val="1"/>
        </w:numPr>
        <w:spacing w:line="360" w:lineRule="auto"/>
        <w:rPr>
          <w:rFonts w:ascii="Calibri" w:hAnsi="Calibri"/>
          <w:sz w:val="22"/>
          <w:szCs w:val="22"/>
        </w:rPr>
      </w:pPr>
      <w:r w:rsidRPr="00DF0FA7">
        <w:rPr>
          <w:rFonts w:ascii="Calibri" w:hAnsi="Calibri"/>
          <w:sz w:val="22"/>
          <w:szCs w:val="22"/>
        </w:rPr>
        <w:t>The HHA determines, under a policy set by the HHA for the purpose of addressing discharge for cause that meets the requirements of this section, that the patient's (or other persons in the patient's home) behavior is disruptive, abusive, or uncooperative to the extent that delivery of care to the patient or the ability of the HHA to operate effectively is seriously impaired. The HHA must do the following before it discharges a patient for cause:</w:t>
      </w:r>
    </w:p>
    <w:p w:rsidR="00DF0FA7" w:rsidRPr="00DF0FA7" w:rsidRDefault="00DF0FA7" w:rsidP="00DF0FA7">
      <w:pPr>
        <w:numPr>
          <w:ilvl w:val="1"/>
          <w:numId w:val="1"/>
        </w:numPr>
        <w:spacing w:line="360" w:lineRule="auto"/>
        <w:rPr>
          <w:rFonts w:ascii="Calibri" w:hAnsi="Calibri"/>
          <w:sz w:val="22"/>
          <w:szCs w:val="22"/>
        </w:rPr>
      </w:pPr>
      <w:r w:rsidRPr="00DF0FA7">
        <w:rPr>
          <w:rFonts w:ascii="Calibri" w:hAnsi="Calibri"/>
          <w:sz w:val="22"/>
          <w:szCs w:val="22"/>
        </w:rPr>
        <w:t>Advise the patient, representative (if any), the physician(s) issuing orders for the home health plan of care, and the patient’s primary care practitioner or other healthcare professional who will be responsible for providing care and services to the patient after discharge from the HHA (if any) that a discharge for cause is being considered;</w:t>
      </w:r>
    </w:p>
    <w:p w:rsidR="00DF0FA7" w:rsidRPr="00DF0FA7" w:rsidRDefault="00DF0FA7" w:rsidP="00DF0FA7">
      <w:pPr>
        <w:numPr>
          <w:ilvl w:val="1"/>
          <w:numId w:val="1"/>
        </w:numPr>
        <w:spacing w:line="360" w:lineRule="auto"/>
        <w:rPr>
          <w:rFonts w:ascii="Calibri" w:hAnsi="Calibri"/>
          <w:sz w:val="22"/>
          <w:szCs w:val="22"/>
        </w:rPr>
      </w:pPr>
      <w:r w:rsidRPr="00DF0FA7">
        <w:rPr>
          <w:rFonts w:ascii="Calibri" w:hAnsi="Calibri"/>
          <w:sz w:val="22"/>
          <w:szCs w:val="22"/>
        </w:rPr>
        <w:t>Make efforts to resolve the problem(s) presented by the patient's behavior, the behavior of other persons in the patient’s home, or situation;</w:t>
      </w:r>
    </w:p>
    <w:p w:rsidR="00DF0FA7" w:rsidRPr="00DF0FA7" w:rsidRDefault="00DF0FA7" w:rsidP="00DF0FA7">
      <w:pPr>
        <w:numPr>
          <w:ilvl w:val="1"/>
          <w:numId w:val="1"/>
        </w:numPr>
        <w:spacing w:line="360" w:lineRule="auto"/>
        <w:rPr>
          <w:rFonts w:ascii="Calibri" w:hAnsi="Calibri"/>
          <w:sz w:val="22"/>
          <w:szCs w:val="22"/>
        </w:rPr>
      </w:pPr>
      <w:r w:rsidRPr="00DF0FA7">
        <w:rPr>
          <w:rFonts w:ascii="Calibri" w:hAnsi="Calibri"/>
          <w:sz w:val="22"/>
          <w:szCs w:val="22"/>
        </w:rPr>
        <w:t>Provide the patient and representative (if any), with contact information for other agencies or providers who may be able to provide care; and</w:t>
      </w:r>
    </w:p>
    <w:p w:rsidR="00A5306B" w:rsidRDefault="00DF0FA7" w:rsidP="00DF0FA7">
      <w:pPr>
        <w:numPr>
          <w:ilvl w:val="1"/>
          <w:numId w:val="1"/>
        </w:numPr>
        <w:spacing w:line="360" w:lineRule="auto"/>
        <w:rPr>
          <w:rFonts w:ascii="Calibri" w:hAnsi="Calibri"/>
          <w:sz w:val="22"/>
          <w:szCs w:val="22"/>
        </w:rPr>
      </w:pPr>
      <w:r w:rsidRPr="00DF0FA7">
        <w:rPr>
          <w:rFonts w:ascii="Calibri" w:hAnsi="Calibri"/>
          <w:sz w:val="22"/>
          <w:szCs w:val="22"/>
        </w:rPr>
        <w:lastRenderedPageBreak/>
        <w:t>Document the problem(s) and efforts made to resolve the problem(s), and enter this documentation into its clinical records</w:t>
      </w:r>
      <w:r w:rsidR="00A5306B">
        <w:rPr>
          <w:rFonts w:ascii="Calibri" w:hAnsi="Calibri"/>
          <w:sz w:val="22"/>
          <w:szCs w:val="22"/>
        </w:rPr>
        <w:t>.</w:t>
      </w:r>
    </w:p>
    <w:p w:rsidR="00A5306B" w:rsidRDefault="00AD5740" w:rsidP="00A5306B">
      <w:pPr>
        <w:numPr>
          <w:ilvl w:val="0"/>
          <w:numId w:val="1"/>
        </w:numPr>
        <w:spacing w:line="360" w:lineRule="auto"/>
        <w:rPr>
          <w:rFonts w:ascii="Calibri" w:hAnsi="Calibri"/>
          <w:sz w:val="22"/>
          <w:szCs w:val="22"/>
        </w:rPr>
      </w:pPr>
      <w:r>
        <w:rPr>
          <w:rFonts w:ascii="Calibri" w:hAnsi="Calibri"/>
          <w:sz w:val="22"/>
          <w:szCs w:val="22"/>
        </w:rPr>
        <w:t>The patient dies</w:t>
      </w:r>
      <w:r w:rsidR="00A5306B">
        <w:rPr>
          <w:rFonts w:ascii="Calibri" w:hAnsi="Calibri"/>
          <w:sz w:val="22"/>
          <w:szCs w:val="22"/>
        </w:rPr>
        <w:t>;</w:t>
      </w:r>
      <w:r>
        <w:rPr>
          <w:rFonts w:ascii="Calibri" w:hAnsi="Calibri"/>
          <w:sz w:val="22"/>
          <w:szCs w:val="22"/>
        </w:rPr>
        <w:t xml:space="preserve"> or</w:t>
      </w:r>
    </w:p>
    <w:p w:rsidR="00E25346" w:rsidRPr="00CC5EA3" w:rsidRDefault="00AD5740" w:rsidP="00381BF6">
      <w:pPr>
        <w:numPr>
          <w:ilvl w:val="0"/>
          <w:numId w:val="1"/>
        </w:numPr>
        <w:spacing w:line="360" w:lineRule="auto"/>
        <w:rPr>
          <w:rFonts w:ascii="Calibri" w:hAnsi="Calibri"/>
          <w:sz w:val="22"/>
          <w:szCs w:val="22"/>
        </w:rPr>
      </w:pPr>
      <w:r>
        <w:rPr>
          <w:rFonts w:ascii="Calibri" w:hAnsi="Calibri"/>
          <w:sz w:val="22"/>
          <w:szCs w:val="22"/>
        </w:rPr>
        <w:t>The HHA ceases to operate.</w:t>
      </w:r>
    </w:p>
    <w:p w:rsidR="00A01B05" w:rsidRPr="00451DD6" w:rsidRDefault="00A01B05" w:rsidP="006741F2">
      <w:pPr>
        <w:spacing w:line="360" w:lineRule="auto"/>
        <w:rPr>
          <w:rFonts w:ascii="Calibri" w:hAnsi="Calibri"/>
          <w:sz w:val="22"/>
          <w:szCs w:val="22"/>
          <w:u w:val="single"/>
        </w:rPr>
      </w:pPr>
    </w:p>
    <w:sectPr w:rsidR="00A01B05" w:rsidRPr="00451DD6" w:rsidSect="00360791">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259" w:rsidRDefault="00104259">
      <w:r>
        <w:separator/>
      </w:r>
    </w:p>
  </w:endnote>
  <w:endnote w:type="continuationSeparator" w:id="0">
    <w:p w:rsidR="00104259" w:rsidRDefault="0010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7E" w:rsidRDefault="0001117E">
    <w:pPr>
      <w:pStyle w:val="Footer"/>
    </w:pPr>
    <w:r>
      <w:rPr>
        <w:noProof/>
      </w:rPr>
      <w:t xml:space="preserve">Page </w:t>
    </w:r>
    <w:r w:rsidRPr="0001117E">
      <w:rPr>
        <w:b/>
        <w:bCs/>
        <w:noProof/>
      </w:rPr>
      <w:fldChar w:fldCharType="begin"/>
    </w:r>
    <w:r w:rsidRPr="0001117E">
      <w:rPr>
        <w:b/>
        <w:bCs/>
        <w:noProof/>
      </w:rPr>
      <w:instrText xml:space="preserve"> PAGE  \* Arabic  \* MERGEFORMAT </w:instrText>
    </w:r>
    <w:r w:rsidRPr="0001117E">
      <w:rPr>
        <w:b/>
        <w:bCs/>
        <w:noProof/>
      </w:rPr>
      <w:fldChar w:fldCharType="separate"/>
    </w:r>
    <w:r w:rsidR="006D4A29">
      <w:rPr>
        <w:b/>
        <w:bCs/>
        <w:noProof/>
      </w:rPr>
      <w:t>1</w:t>
    </w:r>
    <w:r w:rsidRPr="0001117E">
      <w:rPr>
        <w:b/>
        <w:bCs/>
        <w:noProof/>
      </w:rPr>
      <w:fldChar w:fldCharType="end"/>
    </w:r>
    <w:r>
      <w:rPr>
        <w:noProof/>
      </w:rPr>
      <w:t xml:space="preserve"> of </w:t>
    </w:r>
    <w:r w:rsidRPr="0001117E">
      <w:rPr>
        <w:b/>
        <w:bCs/>
        <w:noProof/>
      </w:rPr>
      <w:fldChar w:fldCharType="begin"/>
    </w:r>
    <w:r w:rsidRPr="0001117E">
      <w:rPr>
        <w:b/>
        <w:bCs/>
        <w:noProof/>
      </w:rPr>
      <w:instrText xml:space="preserve"> NUMPAGES  \* Arabic  \* MERGEFORMAT </w:instrText>
    </w:r>
    <w:r w:rsidRPr="0001117E">
      <w:rPr>
        <w:b/>
        <w:bCs/>
        <w:noProof/>
      </w:rPr>
      <w:fldChar w:fldCharType="separate"/>
    </w:r>
    <w:r w:rsidR="006D4A29">
      <w:rPr>
        <w:b/>
        <w:bCs/>
        <w:noProof/>
      </w:rPr>
      <w:t>2</w:t>
    </w:r>
    <w:r w:rsidRPr="0001117E">
      <w:rPr>
        <w:b/>
        <w:bCs/>
        <w:noProof/>
      </w:rPr>
      <w:fldChar w:fldCharType="end"/>
    </w:r>
  </w:p>
  <w:p w:rsidR="0001117E" w:rsidRDefault="0001117E" w:rsidP="0001117E">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259" w:rsidRDefault="00104259">
      <w:r>
        <w:separator/>
      </w:r>
    </w:p>
  </w:footnote>
  <w:footnote w:type="continuationSeparator" w:id="0">
    <w:p w:rsidR="00104259" w:rsidRDefault="00104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3438"/>
    </w:tblGrid>
    <w:tr w:rsidR="0001117E" w:rsidTr="0001117E">
      <w:tc>
        <w:tcPr>
          <w:tcW w:w="6138" w:type="dxa"/>
        </w:tcPr>
        <w:p w:rsidR="0001117E" w:rsidRDefault="00104259" w:rsidP="006D4A29">
          <w:pPr>
            <w:pStyle w:val="Header"/>
            <w:rPr>
              <w:rFonts w:ascii="Calibri" w:hAnsi="Calibri"/>
            </w:rPr>
          </w:pPr>
          <w:r>
            <w:rPr>
              <w:rFonts w:ascii="Calibri" w:hAnsi="Calibri"/>
              <w:noProof/>
              <w:sz w:val="20"/>
              <w:szCs w:val="20"/>
            </w:rPr>
            <w:pict w14:anchorId="74A4B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5" type="#_x0000_t75" style="position:absolute;margin-left:-4.75pt;margin-top:1.75pt;width:182.15pt;height:54pt;z-index:2;visibility:visible;mso-wrap-style:square;mso-position-horizontal-relative:text;mso-position-vertical-relative:text">
                <v:imagedata r:id="rId1" o:title="" gain="105703f"/>
                <w10:wrap type="square" side="right"/>
              </v:shape>
            </w:pict>
          </w:r>
          <w:r w:rsidR="0001117E">
            <w:rPr>
              <w:rFonts w:ascii="Calibri" w:hAnsi="Calibri"/>
            </w:rPr>
            <w:br/>
          </w:r>
          <w:r w:rsidR="006D4A29">
            <w:rPr>
              <w:rFonts w:ascii="Calibri" w:hAnsi="Calibri"/>
              <w:color w:val="0F0082"/>
              <w:sz w:val="20"/>
              <w:szCs w:val="20"/>
            </w:rPr>
            <w:t>1002 Unity Court</w:t>
          </w:r>
          <w:r w:rsidR="0001117E">
            <w:rPr>
              <w:rFonts w:ascii="Calibri" w:hAnsi="Calibri"/>
              <w:color w:val="0F0082"/>
              <w:sz w:val="20"/>
              <w:szCs w:val="20"/>
            </w:rPr>
            <w:br/>
          </w:r>
          <w:r w:rsidR="006D4A29">
            <w:rPr>
              <w:rFonts w:ascii="Calibri" w:hAnsi="Calibri"/>
              <w:color w:val="0F0082"/>
              <w:sz w:val="20"/>
              <w:szCs w:val="20"/>
            </w:rPr>
            <w:t>Monroe</w:t>
          </w:r>
          <w:r w:rsidR="0001117E">
            <w:rPr>
              <w:rFonts w:ascii="Calibri" w:hAnsi="Calibri"/>
              <w:color w:val="0F0082"/>
              <w:sz w:val="20"/>
              <w:szCs w:val="20"/>
            </w:rPr>
            <w:t>, NC 28</w:t>
          </w:r>
          <w:r w:rsidR="006D4A29">
            <w:rPr>
              <w:rFonts w:ascii="Calibri" w:hAnsi="Calibri"/>
              <w:color w:val="0F0082"/>
              <w:sz w:val="20"/>
              <w:szCs w:val="20"/>
            </w:rPr>
            <w:t>110</w:t>
          </w:r>
          <w:r w:rsidR="0001117E">
            <w:rPr>
              <w:rFonts w:ascii="Calibri" w:hAnsi="Calibri"/>
              <w:color w:val="0F0082"/>
              <w:sz w:val="20"/>
              <w:szCs w:val="20"/>
            </w:rPr>
            <w:br/>
            <w:t xml:space="preserve">Phone: (704) 283-0028 </w:t>
          </w:r>
          <w:r w:rsidR="0001117E">
            <w:rPr>
              <w:rFonts w:ascii="Calibri" w:hAnsi="Calibri"/>
              <w:color w:val="0F0082"/>
              <w:sz w:val="20"/>
              <w:szCs w:val="20"/>
            </w:rPr>
            <w:br/>
            <w:t>Fax: (866) 750-0856</w:t>
          </w:r>
        </w:p>
      </w:tc>
      <w:tc>
        <w:tcPr>
          <w:tcW w:w="3438" w:type="dxa"/>
          <w:vAlign w:val="center"/>
        </w:tcPr>
        <w:p w:rsidR="0001117E" w:rsidRDefault="00104259" w:rsidP="0001117E">
          <w:pPr>
            <w:pStyle w:val="Header"/>
            <w:jc w:val="center"/>
            <w:rPr>
              <w:rFonts w:ascii="Calibri" w:hAnsi="Calibri"/>
              <w:b/>
            </w:rPr>
          </w:pPr>
          <w:r>
            <w:rPr>
              <w:rFonts w:ascii="Calibri" w:hAnsi="Calibri"/>
              <w:b/>
              <w:noProof/>
            </w:rPr>
            <w:pict w14:anchorId="6CD3FDCF">
              <v:shape id="_x0000_s2054" type="#_x0000_t75" style="position:absolute;left:0;text-align:left;margin-left:66.65pt;margin-top:7.25pt;width:27.75pt;height:22.5pt;z-index:1;mso-position-horizontal-relative:text;mso-position-vertical-relative:text">
                <v:imagedata r:id="rId2" o:title=""/>
              </v:shape>
            </w:pict>
          </w:r>
        </w:p>
        <w:p w:rsidR="0001117E" w:rsidRDefault="0001117E" w:rsidP="0001117E">
          <w:pPr>
            <w:pStyle w:val="Header"/>
            <w:jc w:val="center"/>
            <w:rPr>
              <w:rFonts w:ascii="Calibri" w:hAnsi="Calibri"/>
              <w:b/>
            </w:rPr>
          </w:pPr>
        </w:p>
        <w:p w:rsidR="0001117E" w:rsidRDefault="006F59F0" w:rsidP="0001117E">
          <w:pPr>
            <w:pStyle w:val="Header"/>
            <w:jc w:val="center"/>
            <w:rPr>
              <w:rFonts w:ascii="Calibri" w:hAnsi="Calibri"/>
              <w:b/>
            </w:rPr>
          </w:pPr>
          <w:r>
            <w:rPr>
              <w:rFonts w:ascii="Calibri" w:hAnsi="Calibri"/>
              <w:b/>
            </w:rPr>
            <w:t>Transfer or Discharge Policy</w:t>
          </w:r>
        </w:p>
        <w:p w:rsidR="0001117E" w:rsidRPr="00762829" w:rsidRDefault="0001117E" w:rsidP="0001117E">
          <w:pPr>
            <w:pStyle w:val="Header"/>
            <w:rPr>
              <w:rFonts w:ascii="Calibri" w:hAnsi="Calibri"/>
              <w:b/>
            </w:rPr>
          </w:pPr>
        </w:p>
      </w:tc>
    </w:tr>
  </w:tbl>
  <w:p w:rsidR="00A01B05" w:rsidRDefault="00A01B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716DB"/>
    <w:multiLevelType w:val="hybridMultilevel"/>
    <w:tmpl w:val="8A9E78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FC5"/>
    <w:rsid w:val="0001117E"/>
    <w:rsid w:val="000B1FC5"/>
    <w:rsid w:val="00104259"/>
    <w:rsid w:val="00166EC1"/>
    <w:rsid w:val="00196142"/>
    <w:rsid w:val="001C5D25"/>
    <w:rsid w:val="001F75C6"/>
    <w:rsid w:val="002259AC"/>
    <w:rsid w:val="002766F6"/>
    <w:rsid w:val="00277C56"/>
    <w:rsid w:val="002954D3"/>
    <w:rsid w:val="002A4698"/>
    <w:rsid w:val="002C125A"/>
    <w:rsid w:val="002C6B23"/>
    <w:rsid w:val="002C77BF"/>
    <w:rsid w:val="002D0359"/>
    <w:rsid w:val="002E3B5D"/>
    <w:rsid w:val="002F0353"/>
    <w:rsid w:val="003265CC"/>
    <w:rsid w:val="00336782"/>
    <w:rsid w:val="0035760A"/>
    <w:rsid w:val="00360791"/>
    <w:rsid w:val="003770A5"/>
    <w:rsid w:val="00381BF6"/>
    <w:rsid w:val="003C058B"/>
    <w:rsid w:val="003C649A"/>
    <w:rsid w:val="003F280A"/>
    <w:rsid w:val="004033F0"/>
    <w:rsid w:val="00416C0A"/>
    <w:rsid w:val="00435009"/>
    <w:rsid w:val="00451DD6"/>
    <w:rsid w:val="00455FCC"/>
    <w:rsid w:val="004B32D3"/>
    <w:rsid w:val="004D654B"/>
    <w:rsid w:val="00531906"/>
    <w:rsid w:val="005411A5"/>
    <w:rsid w:val="00582BE2"/>
    <w:rsid w:val="005D12B1"/>
    <w:rsid w:val="005E58AD"/>
    <w:rsid w:val="00606060"/>
    <w:rsid w:val="006373E8"/>
    <w:rsid w:val="006566D9"/>
    <w:rsid w:val="006741F2"/>
    <w:rsid w:val="006D4A29"/>
    <w:rsid w:val="006F59F0"/>
    <w:rsid w:val="00702D32"/>
    <w:rsid w:val="00716E29"/>
    <w:rsid w:val="00717687"/>
    <w:rsid w:val="00762829"/>
    <w:rsid w:val="007D1579"/>
    <w:rsid w:val="007D20E4"/>
    <w:rsid w:val="007E06E0"/>
    <w:rsid w:val="007E6087"/>
    <w:rsid w:val="008178DC"/>
    <w:rsid w:val="00834351"/>
    <w:rsid w:val="00841CF0"/>
    <w:rsid w:val="008C3FF3"/>
    <w:rsid w:val="00904F3F"/>
    <w:rsid w:val="00905FA8"/>
    <w:rsid w:val="009441D6"/>
    <w:rsid w:val="00967FDE"/>
    <w:rsid w:val="009C500B"/>
    <w:rsid w:val="00A01B05"/>
    <w:rsid w:val="00A033DD"/>
    <w:rsid w:val="00A25C49"/>
    <w:rsid w:val="00A5306B"/>
    <w:rsid w:val="00A72B5F"/>
    <w:rsid w:val="00A802F4"/>
    <w:rsid w:val="00AD5740"/>
    <w:rsid w:val="00B1230D"/>
    <w:rsid w:val="00B52F02"/>
    <w:rsid w:val="00B8183F"/>
    <w:rsid w:val="00B972B0"/>
    <w:rsid w:val="00BE297A"/>
    <w:rsid w:val="00BF581F"/>
    <w:rsid w:val="00C1079F"/>
    <w:rsid w:val="00C422C8"/>
    <w:rsid w:val="00CC5EA3"/>
    <w:rsid w:val="00D0142D"/>
    <w:rsid w:val="00D05564"/>
    <w:rsid w:val="00D07603"/>
    <w:rsid w:val="00D25E7F"/>
    <w:rsid w:val="00D5664E"/>
    <w:rsid w:val="00D70B82"/>
    <w:rsid w:val="00DA697B"/>
    <w:rsid w:val="00DC2F50"/>
    <w:rsid w:val="00DF0FA7"/>
    <w:rsid w:val="00E25346"/>
    <w:rsid w:val="00F034C3"/>
    <w:rsid w:val="00F0569C"/>
    <w:rsid w:val="00F64003"/>
    <w:rsid w:val="00F658F4"/>
    <w:rsid w:val="00F767F9"/>
    <w:rsid w:val="00F86F2A"/>
    <w:rsid w:val="00FD7015"/>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5:docId w15:val="{26051375-2343-442E-8D99-395172FA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FC5"/>
    <w:rPr>
      <w:sz w:val="24"/>
      <w:szCs w:val="24"/>
    </w:rPr>
  </w:style>
  <w:style w:type="paragraph" w:styleId="Heading1">
    <w:name w:val="heading 1"/>
    <w:basedOn w:val="Normal"/>
    <w:next w:val="Normal"/>
    <w:link w:val="Heading1Char"/>
    <w:uiPriority w:val="99"/>
    <w:qFormat/>
    <w:rsid w:val="002259AC"/>
    <w:pPr>
      <w:keepNext/>
      <w:outlineLvl w:val="0"/>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373E8"/>
    <w:rPr>
      <w:rFonts w:ascii="Cambria" w:hAnsi="Cambria" w:cs="Times New Roman"/>
      <w:b/>
      <w:bCs/>
      <w:kern w:val="32"/>
      <w:sz w:val="32"/>
      <w:szCs w:val="32"/>
    </w:rPr>
  </w:style>
  <w:style w:type="paragraph" w:styleId="BalloonText">
    <w:name w:val="Balloon Text"/>
    <w:basedOn w:val="Normal"/>
    <w:link w:val="BalloonTextChar"/>
    <w:uiPriority w:val="99"/>
    <w:semiHidden/>
    <w:rsid w:val="002A4698"/>
    <w:rPr>
      <w:rFonts w:ascii="Tahoma" w:hAnsi="Tahoma" w:cs="Tahoma"/>
      <w:sz w:val="16"/>
      <w:szCs w:val="16"/>
    </w:rPr>
  </w:style>
  <w:style w:type="character" w:customStyle="1" w:styleId="BalloonTextChar">
    <w:name w:val="Balloon Text Char"/>
    <w:link w:val="BalloonText"/>
    <w:uiPriority w:val="99"/>
    <w:semiHidden/>
    <w:locked/>
    <w:rsid w:val="006373E8"/>
    <w:rPr>
      <w:rFonts w:cs="Times New Roman"/>
      <w:sz w:val="2"/>
    </w:rPr>
  </w:style>
  <w:style w:type="paragraph" w:styleId="Footer">
    <w:name w:val="footer"/>
    <w:basedOn w:val="Normal"/>
    <w:link w:val="FooterChar"/>
    <w:uiPriority w:val="99"/>
    <w:rsid w:val="00BE297A"/>
    <w:pPr>
      <w:tabs>
        <w:tab w:val="center" w:pos="4320"/>
        <w:tab w:val="right" w:pos="8640"/>
      </w:tabs>
      <w:spacing w:after="200" w:line="276" w:lineRule="auto"/>
    </w:pPr>
    <w:rPr>
      <w:rFonts w:ascii="Calibri" w:hAnsi="Calibri"/>
      <w:sz w:val="22"/>
      <w:szCs w:val="22"/>
    </w:rPr>
  </w:style>
  <w:style w:type="character" w:customStyle="1" w:styleId="FooterChar">
    <w:name w:val="Footer Char"/>
    <w:link w:val="Footer"/>
    <w:uiPriority w:val="99"/>
    <w:locked/>
    <w:rsid w:val="00BE297A"/>
    <w:rPr>
      <w:rFonts w:ascii="Calibri" w:hAnsi="Calibri" w:cs="Times New Roman"/>
      <w:sz w:val="22"/>
      <w:szCs w:val="22"/>
    </w:rPr>
  </w:style>
  <w:style w:type="paragraph" w:styleId="ListParagraph">
    <w:name w:val="List Paragraph"/>
    <w:basedOn w:val="Normal"/>
    <w:uiPriority w:val="99"/>
    <w:qFormat/>
    <w:rsid w:val="002C6B23"/>
    <w:pPr>
      <w:ind w:left="720"/>
      <w:contextualSpacing/>
    </w:pPr>
  </w:style>
  <w:style w:type="paragraph" w:styleId="Header">
    <w:name w:val="header"/>
    <w:basedOn w:val="Normal"/>
    <w:link w:val="HeaderChar"/>
    <w:uiPriority w:val="99"/>
    <w:rsid w:val="006741F2"/>
    <w:pPr>
      <w:tabs>
        <w:tab w:val="center" w:pos="4320"/>
        <w:tab w:val="right" w:pos="8640"/>
      </w:tabs>
    </w:pPr>
  </w:style>
  <w:style w:type="character" w:customStyle="1" w:styleId="HeaderChar">
    <w:name w:val="Header Char"/>
    <w:link w:val="Header"/>
    <w:uiPriority w:val="99"/>
    <w:locked/>
    <w:rsid w:val="008C3FF3"/>
    <w:rPr>
      <w:rFonts w:cs="Times New Roman"/>
      <w:sz w:val="24"/>
      <w:szCs w:val="24"/>
    </w:rPr>
  </w:style>
  <w:style w:type="table" w:styleId="TableGrid">
    <w:name w:val="Table Grid"/>
    <w:basedOn w:val="TableNormal"/>
    <w:uiPriority w:val="99"/>
    <w:locked/>
    <w:rsid w:val="00674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107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101288">
      <w:marLeft w:val="0"/>
      <w:marRight w:val="0"/>
      <w:marTop w:val="0"/>
      <w:marBottom w:val="0"/>
      <w:divBdr>
        <w:top w:val="none" w:sz="0" w:space="0" w:color="auto"/>
        <w:left w:val="none" w:sz="0" w:space="0" w:color="auto"/>
        <w:bottom w:val="none" w:sz="0" w:space="0" w:color="auto"/>
        <w:right w:val="none" w:sz="0" w:space="0" w:color="auto"/>
      </w:divBdr>
      <w:divsChild>
        <w:div w:id="1120101284">
          <w:marLeft w:val="0"/>
          <w:marRight w:val="0"/>
          <w:marTop w:val="0"/>
          <w:marBottom w:val="0"/>
          <w:divBdr>
            <w:top w:val="none" w:sz="0" w:space="0" w:color="auto"/>
            <w:left w:val="none" w:sz="0" w:space="0" w:color="auto"/>
            <w:bottom w:val="none" w:sz="0" w:space="0" w:color="auto"/>
            <w:right w:val="none" w:sz="0" w:space="0" w:color="auto"/>
          </w:divBdr>
          <w:divsChild>
            <w:div w:id="1120101287">
              <w:marLeft w:val="3900"/>
              <w:marRight w:val="0"/>
              <w:marTop w:val="0"/>
              <w:marBottom w:val="0"/>
              <w:divBdr>
                <w:top w:val="none" w:sz="0" w:space="0" w:color="auto"/>
                <w:left w:val="single" w:sz="6" w:space="0" w:color="B2B2B2"/>
                <w:bottom w:val="none" w:sz="0" w:space="0" w:color="auto"/>
                <w:right w:val="none" w:sz="0" w:space="0" w:color="auto"/>
              </w:divBdr>
              <w:divsChild>
                <w:div w:id="1120101286">
                  <w:marLeft w:val="0"/>
                  <w:marRight w:val="0"/>
                  <w:marTop w:val="0"/>
                  <w:marBottom w:val="0"/>
                  <w:divBdr>
                    <w:top w:val="none" w:sz="0" w:space="0" w:color="auto"/>
                    <w:left w:val="none" w:sz="0" w:space="0" w:color="auto"/>
                    <w:bottom w:val="none" w:sz="0" w:space="0" w:color="auto"/>
                    <w:right w:val="none" w:sz="0" w:space="0" w:color="auto"/>
                  </w:divBdr>
                  <w:divsChild>
                    <w:div w:id="1120101285">
                      <w:marLeft w:val="0"/>
                      <w:marRight w:val="0"/>
                      <w:marTop w:val="0"/>
                      <w:marBottom w:val="0"/>
                      <w:divBdr>
                        <w:top w:val="none" w:sz="0" w:space="0" w:color="auto"/>
                        <w:left w:val="none" w:sz="0" w:space="0" w:color="auto"/>
                        <w:bottom w:val="none" w:sz="0" w:space="0" w:color="auto"/>
                        <w:right w:val="none" w:sz="0" w:space="0" w:color="auto"/>
                      </w:divBdr>
                      <w:divsChild>
                        <w:div w:id="1120101283">
                          <w:marLeft w:val="0"/>
                          <w:marRight w:val="0"/>
                          <w:marTop w:val="0"/>
                          <w:marBottom w:val="0"/>
                          <w:divBdr>
                            <w:top w:val="none" w:sz="0" w:space="0" w:color="auto"/>
                            <w:left w:val="none" w:sz="0" w:space="0" w:color="auto"/>
                            <w:bottom w:val="none" w:sz="0" w:space="0" w:color="auto"/>
                            <w:right w:val="none" w:sz="0" w:space="0" w:color="auto"/>
                          </w:divBdr>
                          <w:divsChild>
                            <w:div w:id="112010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E5AC3-D7D1-4C2A-8535-FEC4FB7AC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Full Circle Pediatric Therapy</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Circle Pediatric Therapy</dc:title>
  <dc:subject/>
  <dc:creator>Maria</dc:creator>
  <cp:keywords/>
  <dc:description/>
  <cp:lastModifiedBy>missy wojtczak</cp:lastModifiedBy>
  <cp:revision>6</cp:revision>
  <cp:lastPrinted>2014-02-06T15:03:00Z</cp:lastPrinted>
  <dcterms:created xsi:type="dcterms:W3CDTF">2017-11-13T15:31:00Z</dcterms:created>
  <dcterms:modified xsi:type="dcterms:W3CDTF">2022-05-18T19:02:00Z</dcterms:modified>
</cp:coreProperties>
</file>