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CFF20" w14:textId="77777777" w:rsidR="00756183" w:rsidRDefault="00756183" w:rsidP="00223BBF">
      <w:pPr>
        <w:pStyle w:val="TOCHeading"/>
        <w:jc w:val="right"/>
        <w:rPr>
          <w:noProof/>
          <w:lang w:val="en-GB" w:eastAsia="en-GB"/>
        </w:rPr>
      </w:pPr>
      <w:r>
        <w:rPr>
          <w:noProof/>
          <w:lang w:val="en-GB" w:eastAsia="en-GB"/>
        </w:rPr>
        <w:drawing>
          <wp:inline distT="0" distB="0" distL="0" distR="0" wp14:anchorId="49AF9D6A" wp14:editId="7136D2AE">
            <wp:extent cx="1744345" cy="48641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4345" cy="486410"/>
                    </a:xfrm>
                    <a:prstGeom prst="rect">
                      <a:avLst/>
                    </a:prstGeom>
                    <a:noFill/>
                    <a:ln>
                      <a:noFill/>
                    </a:ln>
                  </pic:spPr>
                </pic:pic>
              </a:graphicData>
            </a:graphic>
          </wp:inline>
        </w:drawing>
      </w:r>
    </w:p>
    <w:p w14:paraId="4594526E" w14:textId="77777777" w:rsidR="00756183" w:rsidRDefault="00756183" w:rsidP="00756183">
      <w:pPr>
        <w:pStyle w:val="TOCHeading"/>
        <w:jc w:val="center"/>
        <w:rPr>
          <w:noProof/>
          <w:lang w:val="en-GB" w:eastAsia="en-GB"/>
        </w:rPr>
      </w:pPr>
    </w:p>
    <w:p w14:paraId="662B1DB3" w14:textId="77777777" w:rsidR="005354B1" w:rsidRDefault="005354B1" w:rsidP="005354B1">
      <w:pPr>
        <w:rPr>
          <w:lang w:eastAsia="en-GB"/>
        </w:rPr>
      </w:pPr>
    </w:p>
    <w:p w14:paraId="1F1F50C5" w14:textId="77777777" w:rsidR="005354B1" w:rsidRDefault="005354B1" w:rsidP="00415EA0">
      <w:pPr>
        <w:jc w:val="center"/>
        <w:rPr>
          <w:lang w:eastAsia="en-GB"/>
        </w:rPr>
      </w:pPr>
    </w:p>
    <w:p w14:paraId="16E72C5C" w14:textId="77777777" w:rsidR="006F4087" w:rsidRDefault="006F4087" w:rsidP="00415EA0">
      <w:pPr>
        <w:jc w:val="center"/>
        <w:rPr>
          <w:lang w:eastAsia="en-GB"/>
        </w:rPr>
      </w:pPr>
      <w:r>
        <w:rPr>
          <w:noProof/>
          <w:lang w:eastAsia="en-GB"/>
        </w:rPr>
        <w:drawing>
          <wp:inline distT="0" distB="0" distL="0" distR="0" wp14:anchorId="62748D47" wp14:editId="058EA1B8">
            <wp:extent cx="2432413" cy="1866900"/>
            <wp:effectExtent l="0" t="0" r="0" b="0"/>
            <wp:docPr id="2" name="Picture 2" descr="https://www.fairhouseprimaryschool.co.uk/log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irhouseprimaryschool.co.uk/logo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8952" cy="1902619"/>
                    </a:xfrm>
                    <a:prstGeom prst="rect">
                      <a:avLst/>
                    </a:prstGeom>
                    <a:noFill/>
                    <a:ln>
                      <a:noFill/>
                    </a:ln>
                  </pic:spPr>
                </pic:pic>
              </a:graphicData>
            </a:graphic>
          </wp:inline>
        </w:drawing>
      </w:r>
    </w:p>
    <w:p w14:paraId="0F6A48E5" w14:textId="409107DB" w:rsidR="005354B1" w:rsidRPr="006F4087" w:rsidRDefault="006F4087" w:rsidP="00415EA0">
      <w:pPr>
        <w:jc w:val="center"/>
        <w:rPr>
          <w:b/>
          <w:color w:val="006600"/>
          <w:sz w:val="52"/>
          <w:szCs w:val="52"/>
          <w:lang w:eastAsia="en-GB"/>
        </w:rPr>
      </w:pPr>
      <w:r w:rsidRPr="006F4087">
        <w:rPr>
          <w:b/>
          <w:color w:val="006600"/>
          <w:sz w:val="52"/>
          <w:szCs w:val="52"/>
          <w:lang w:eastAsia="en-GB"/>
        </w:rPr>
        <w:t>Fairhouse Primary School</w:t>
      </w:r>
    </w:p>
    <w:p w14:paraId="7B7B3CEC" w14:textId="02B3ED1D" w:rsidR="007F6771" w:rsidRDefault="005354B1" w:rsidP="00756183">
      <w:pPr>
        <w:pStyle w:val="TOCHeading"/>
        <w:jc w:val="center"/>
      </w:pPr>
      <w:r>
        <w:rPr>
          <w:noProof/>
          <w:lang w:val="en-GB" w:eastAsia="en-GB"/>
        </w:rPr>
        <mc:AlternateContent>
          <mc:Choice Requires="wps">
            <w:drawing>
              <wp:anchor distT="0" distB="0" distL="114300" distR="114300" simplePos="0" relativeHeight="251658240" behindDoc="0" locked="0" layoutInCell="0" allowOverlap="1" wp14:anchorId="5F3D61FB" wp14:editId="4B9C2769">
                <wp:simplePos x="0" y="0"/>
                <wp:positionH relativeFrom="page">
                  <wp:posOffset>1160780</wp:posOffset>
                </wp:positionH>
                <wp:positionV relativeFrom="page">
                  <wp:posOffset>5193030</wp:posOffset>
                </wp:positionV>
                <wp:extent cx="5416550" cy="1078230"/>
                <wp:effectExtent l="0" t="0" r="1270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1078230"/>
                        </a:xfrm>
                        <a:prstGeom prst="rect">
                          <a:avLst/>
                        </a:prstGeom>
                        <a:ln>
                          <a:solidFill>
                            <a:schemeClr val="accent5">
                              <a:lumMod val="75000"/>
                            </a:schemeClr>
                          </a:solidFill>
                          <a:headEnd/>
                          <a:tailEnd/>
                        </a:ln>
                        <a:extLst>
                          <a:ext uri="{909E8E84-426E-40DD-AFC4-6F175D3DCCD1}">
                            <a14:hiddenFill xmlns:a14="http://schemas.microsoft.com/office/drawing/2010/main">
                              <a:solidFill>
                                <a:srgbClr val="FFFFFF"/>
                              </a:solidFill>
                            </a14:hiddenFill>
                          </a:ext>
                        </a:extLst>
                      </wps:spPr>
                      <wps:style>
                        <a:lnRef idx="2">
                          <a:schemeClr val="accent3"/>
                        </a:lnRef>
                        <a:fillRef idx="1">
                          <a:schemeClr val="lt1"/>
                        </a:fillRef>
                        <a:effectRef idx="0">
                          <a:schemeClr val="accent3"/>
                        </a:effectRef>
                        <a:fontRef idx="minor">
                          <a:schemeClr val="dk1"/>
                        </a:fontRef>
                      </wps:style>
                      <wps:txbx>
                        <w:txbxContent>
                          <w:p w14:paraId="67090478" w14:textId="3D92AA86" w:rsidR="00756183" w:rsidRDefault="00F7083B" w:rsidP="00756183">
                            <w:pPr>
                              <w:spacing w:line="360" w:lineRule="auto"/>
                              <w:jc w:val="center"/>
                              <w:rPr>
                                <w:rFonts w:ascii="HP Simplified Light" w:hAnsi="HP Simplified Light"/>
                                <w:b/>
                                <w:iCs/>
                                <w:sz w:val="56"/>
                                <w:szCs w:val="28"/>
                              </w:rPr>
                            </w:pPr>
                            <w:r>
                              <w:rPr>
                                <w:b/>
                                <w:iCs/>
                                <w:sz w:val="40"/>
                                <w:szCs w:val="40"/>
                              </w:rPr>
                              <w:t xml:space="preserve">Pupil Premium </w:t>
                            </w:r>
                            <w:r w:rsidR="00AF2792">
                              <w:rPr>
                                <w:b/>
                                <w:iCs/>
                                <w:sz w:val="40"/>
                                <w:szCs w:val="40"/>
                              </w:rPr>
                              <w:t>Grant</w:t>
                            </w:r>
                            <w:r w:rsidR="00756183" w:rsidRPr="00756183">
                              <w:rPr>
                                <w:b/>
                                <w:iCs/>
                                <w:sz w:val="56"/>
                                <w:szCs w:val="28"/>
                              </w:rPr>
                              <w:t xml:space="preserve"> </w:t>
                            </w:r>
                            <w:r>
                              <w:rPr>
                                <w:b/>
                                <w:iCs/>
                                <w:sz w:val="40"/>
                                <w:szCs w:val="40"/>
                              </w:rPr>
                              <w:t>Report</w:t>
                            </w:r>
                            <w:r w:rsidR="00756183" w:rsidRPr="00756183">
                              <w:rPr>
                                <w:rFonts w:ascii="HP Simplified Light" w:hAnsi="HP Simplified Light"/>
                                <w:b/>
                                <w:iCs/>
                                <w:sz w:val="40"/>
                                <w:szCs w:val="40"/>
                              </w:rPr>
                              <w:t xml:space="preserve"> </w:t>
                            </w:r>
                          </w:p>
                          <w:p w14:paraId="5FFD5E09" w14:textId="3A965CFF" w:rsidR="00756183" w:rsidRPr="00756183" w:rsidRDefault="00756183" w:rsidP="00756183">
                            <w:pPr>
                              <w:spacing w:line="360" w:lineRule="auto"/>
                              <w:jc w:val="center"/>
                              <w:rPr>
                                <w:b/>
                                <w:iCs/>
                                <w:sz w:val="40"/>
                                <w:szCs w:val="40"/>
                              </w:rPr>
                            </w:pPr>
                            <w:r w:rsidRPr="00756183">
                              <w:rPr>
                                <w:b/>
                                <w:iCs/>
                                <w:sz w:val="40"/>
                                <w:szCs w:val="40"/>
                              </w:rPr>
                              <w:t>20</w:t>
                            </w:r>
                            <w:r w:rsidR="006F4087">
                              <w:rPr>
                                <w:b/>
                                <w:iCs/>
                                <w:sz w:val="40"/>
                                <w:szCs w:val="40"/>
                              </w:rPr>
                              <w:t>19</w:t>
                            </w:r>
                            <w:r w:rsidRPr="00756183">
                              <w:rPr>
                                <w:b/>
                                <w:iCs/>
                                <w:sz w:val="40"/>
                                <w:szCs w:val="40"/>
                              </w:rPr>
                              <w:t>-20</w:t>
                            </w:r>
                            <w:r w:rsidR="006F4087">
                              <w:rPr>
                                <w:b/>
                                <w:iCs/>
                                <w:sz w:val="40"/>
                                <w:szCs w:val="40"/>
                              </w:rPr>
                              <w:t>20</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F3D61FB" id="_x0000_t202" coordsize="21600,21600" o:spt="202" path="m,l,21600r21600,l21600,xe">
                <v:stroke joinstyle="miter"/>
                <v:path gradientshapeok="t" o:connecttype="rect"/>
              </v:shapetype>
              <v:shape id="Text Box 4" o:spid="_x0000_s1026" type="#_x0000_t202" style="position:absolute;left:0;text-align:left;margin-left:91.4pt;margin-top:408.9pt;width:426.5pt;height:8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" o:allowincell="f" filled="f" strokecolor="#31849b [2408]" strokeweight="2pt">
                <v:textbox inset="10.8pt,7.2pt,10.8pt,7.2pt">
                  <w:txbxContent>
                    <w:p w14:paraId="67090478" w14:textId="3D92AA86" w:rsidR="00756183" w:rsidRDefault="00F7083B" w:rsidP="00756183">
                      <w:pPr>
                        <w:spacing w:line="360" w:lineRule="auto"/>
                        <w:jc w:val="center"/>
                        <w:rPr>
                          <w:rFonts w:ascii="HP Simplified Light" w:hAnsi="HP Simplified Light"/>
                          <w:b/>
                          <w:iCs/>
                          <w:sz w:val="56"/>
                          <w:szCs w:val="28"/>
                        </w:rPr>
                      </w:pPr>
                      <w:r>
                        <w:rPr>
                          <w:b/>
                          <w:iCs/>
                          <w:sz w:val="40"/>
                          <w:szCs w:val="40"/>
                        </w:rPr>
                        <w:t xml:space="preserve">Pupil Premium </w:t>
                      </w:r>
                      <w:r w:rsidR="00AF2792">
                        <w:rPr>
                          <w:b/>
                          <w:iCs/>
                          <w:sz w:val="40"/>
                          <w:szCs w:val="40"/>
                        </w:rPr>
                        <w:t>Grant</w:t>
                      </w:r>
                      <w:r w:rsidR="00756183" w:rsidRPr="00756183">
                        <w:rPr>
                          <w:b/>
                          <w:iCs/>
                          <w:sz w:val="56"/>
                          <w:szCs w:val="28"/>
                        </w:rPr>
                        <w:t xml:space="preserve"> </w:t>
                      </w:r>
                      <w:r>
                        <w:rPr>
                          <w:b/>
                          <w:iCs/>
                          <w:sz w:val="40"/>
                          <w:szCs w:val="40"/>
                        </w:rPr>
                        <w:t>Report</w:t>
                      </w:r>
                      <w:r w:rsidR="00756183" w:rsidRPr="00756183">
                        <w:rPr>
                          <w:rFonts w:ascii="HP Simplified Light" w:hAnsi="HP Simplified Light"/>
                          <w:b/>
                          <w:iCs/>
                          <w:sz w:val="40"/>
                          <w:szCs w:val="40"/>
                        </w:rPr>
                        <w:t xml:space="preserve"> </w:t>
                      </w:r>
                    </w:p>
                    <w:p w14:paraId="5FFD5E09" w14:textId="3A965CFF" w:rsidR="00756183" w:rsidRPr="00756183" w:rsidRDefault="00756183" w:rsidP="00756183">
                      <w:pPr>
                        <w:spacing w:line="360" w:lineRule="auto"/>
                        <w:jc w:val="center"/>
                        <w:rPr>
                          <w:b/>
                          <w:iCs/>
                          <w:sz w:val="40"/>
                          <w:szCs w:val="40"/>
                        </w:rPr>
                      </w:pPr>
                      <w:r w:rsidRPr="00756183">
                        <w:rPr>
                          <w:b/>
                          <w:iCs/>
                          <w:sz w:val="40"/>
                          <w:szCs w:val="40"/>
                        </w:rPr>
                        <w:t>20</w:t>
                      </w:r>
                      <w:r w:rsidR="006F4087">
                        <w:rPr>
                          <w:b/>
                          <w:iCs/>
                          <w:sz w:val="40"/>
                          <w:szCs w:val="40"/>
                        </w:rPr>
                        <w:t>19</w:t>
                      </w:r>
                      <w:r w:rsidRPr="00756183">
                        <w:rPr>
                          <w:b/>
                          <w:iCs/>
                          <w:sz w:val="40"/>
                          <w:szCs w:val="40"/>
                        </w:rPr>
                        <w:t>-20</w:t>
                      </w:r>
                      <w:r w:rsidR="006F4087">
                        <w:rPr>
                          <w:b/>
                          <w:iCs/>
                          <w:sz w:val="40"/>
                          <w:szCs w:val="40"/>
                        </w:rPr>
                        <w:t>20</w:t>
                      </w:r>
                    </w:p>
                  </w:txbxContent>
                </v:textbox>
                <w10:wrap type="square" anchorx="page" anchory="page"/>
              </v:shape>
            </w:pict>
          </mc:Fallback>
        </mc:AlternateContent>
      </w:r>
      <w:r w:rsidR="00756183">
        <w:br w:type="page"/>
      </w:r>
    </w:p>
    <w:p w14:paraId="41DD31BB" w14:textId="71014522" w:rsidR="007F6771" w:rsidRDefault="006F4087" w:rsidP="00AF2792">
      <w:pPr>
        <w:spacing w:after="0"/>
        <w:jc w:val="center"/>
        <w:rPr>
          <w:b/>
          <w:sz w:val="28"/>
        </w:rPr>
      </w:pPr>
      <w:r>
        <w:rPr>
          <w:b/>
          <w:sz w:val="28"/>
        </w:rPr>
        <w:lastRenderedPageBreak/>
        <w:t xml:space="preserve">Fairhouse </w:t>
      </w:r>
      <w:r w:rsidR="007F6771">
        <w:rPr>
          <w:b/>
          <w:sz w:val="28"/>
        </w:rPr>
        <w:t xml:space="preserve">Primary School Pupil Premium </w:t>
      </w:r>
      <w:r w:rsidR="00AF2792">
        <w:rPr>
          <w:b/>
          <w:sz w:val="28"/>
        </w:rPr>
        <w:t xml:space="preserve">and Early Years Pupil Premium </w:t>
      </w:r>
      <w:r w:rsidR="007F6771">
        <w:rPr>
          <w:b/>
          <w:sz w:val="28"/>
        </w:rPr>
        <w:t>Grant Report</w:t>
      </w:r>
      <w:r w:rsidR="00756183">
        <w:rPr>
          <w:b/>
          <w:sz w:val="28"/>
        </w:rPr>
        <w:t xml:space="preserve"> 20</w:t>
      </w:r>
      <w:r w:rsidR="003D2A5B">
        <w:rPr>
          <w:b/>
          <w:sz w:val="28"/>
        </w:rPr>
        <w:t>19/2020</w:t>
      </w:r>
    </w:p>
    <w:p w14:paraId="1F54029C" w14:textId="77777777" w:rsidR="00AF2792" w:rsidRDefault="00AF2792" w:rsidP="00AF2792">
      <w:pPr>
        <w:spacing w:after="0"/>
      </w:pPr>
    </w:p>
    <w:p w14:paraId="533D1E5B" w14:textId="0A9F60DF" w:rsidR="00AF2792" w:rsidRDefault="00AF2792" w:rsidP="00AF2792">
      <w:pPr>
        <w:spacing w:after="0"/>
      </w:pPr>
      <w:r>
        <w:t xml:space="preserve">Both Grants are additional funding given to publicly funded schools in England to raise the attainment of disadvantaged pupils and close the gap between them and their peers. </w:t>
      </w:r>
    </w:p>
    <w:p w14:paraId="6AC2660B" w14:textId="77777777" w:rsidR="00AF2792" w:rsidRDefault="00AF2792" w:rsidP="00AF2792">
      <w:pPr>
        <w:spacing w:after="0"/>
      </w:pPr>
    </w:p>
    <w:p w14:paraId="3ED19DCC" w14:textId="7800D234" w:rsidR="00AF2792" w:rsidRDefault="00A700B1" w:rsidP="00AF2792">
      <w:pPr>
        <w:spacing w:after="0"/>
      </w:pPr>
      <w:r>
        <w:t xml:space="preserve">At Fairhouse Primary </w:t>
      </w:r>
      <w:r w:rsidR="00AF2792">
        <w:t xml:space="preserve">School we believe that teaching and learning opportunities must meet the needs of all the pupils to ensure we provide the very highest standards of education for every child. It is also our belief that we want to provide children with opportunities they may not always have, particularly for those children who may be socially disadvantaged. </w:t>
      </w:r>
    </w:p>
    <w:p w14:paraId="02FA461C" w14:textId="77777777" w:rsidR="007F6771" w:rsidRDefault="007F6771" w:rsidP="005D5C78">
      <w:pPr>
        <w:jc w:val="center"/>
      </w:pPr>
    </w:p>
    <w:tbl>
      <w:tblPr>
        <w:tblStyle w:val="TableGrid"/>
        <w:tblW w:w="10490" w:type="dxa"/>
        <w:tblLayout w:type="fixed"/>
        <w:tblLook w:val="04A0" w:firstRow="1" w:lastRow="0" w:firstColumn="1" w:lastColumn="0" w:noHBand="0" w:noVBand="1"/>
      </w:tblPr>
      <w:tblGrid>
        <w:gridCol w:w="3652"/>
        <w:gridCol w:w="992"/>
        <w:gridCol w:w="3578"/>
        <w:gridCol w:w="420"/>
        <w:gridCol w:w="1848"/>
      </w:tblGrid>
      <w:tr w:rsidR="005D5C78" w14:paraId="4606150B" w14:textId="77777777" w:rsidTr="00044E3A">
        <w:tc>
          <w:tcPr>
            <w:tcW w:w="10490" w:type="dxa"/>
            <w:gridSpan w:val="5"/>
            <w:shd w:val="clear" w:color="auto" w:fill="31849B" w:themeFill="accent5" w:themeFillShade="BF"/>
          </w:tcPr>
          <w:p w14:paraId="56604363" w14:textId="03BF4AB5" w:rsidR="005D5C78" w:rsidRDefault="00AF2792">
            <w:r w:rsidRPr="00AF2792">
              <w:rPr>
                <w:color w:val="FFFFFF" w:themeColor="background1"/>
              </w:rPr>
              <w:t>Number of Pupils &amp; Pupil Premium Grant and Early Years Pupil premium Grant received</w:t>
            </w:r>
          </w:p>
        </w:tc>
      </w:tr>
      <w:tr w:rsidR="00AF2792" w14:paraId="5E7AD0BB" w14:textId="77777777" w:rsidTr="00AF2792">
        <w:tc>
          <w:tcPr>
            <w:tcW w:w="8642" w:type="dxa"/>
            <w:gridSpan w:val="4"/>
          </w:tcPr>
          <w:p w14:paraId="72621CF0" w14:textId="15362836" w:rsidR="00AF2792" w:rsidRPr="002E7113" w:rsidRDefault="00F34A0D" w:rsidP="00AF2792">
            <w:r>
              <w:t>Total number on roll</w:t>
            </w:r>
          </w:p>
        </w:tc>
        <w:tc>
          <w:tcPr>
            <w:tcW w:w="1848" w:type="dxa"/>
          </w:tcPr>
          <w:p w14:paraId="38FD0A24" w14:textId="5F9387A8" w:rsidR="00AF2792" w:rsidRPr="002E7113" w:rsidRDefault="006F4087" w:rsidP="00AF2792">
            <w:r w:rsidRPr="002E7113">
              <w:t>417</w:t>
            </w:r>
          </w:p>
        </w:tc>
      </w:tr>
      <w:tr w:rsidR="00AF2792" w14:paraId="4B988C64" w14:textId="77777777" w:rsidTr="00AF2792">
        <w:tc>
          <w:tcPr>
            <w:tcW w:w="8642" w:type="dxa"/>
            <w:gridSpan w:val="4"/>
          </w:tcPr>
          <w:p w14:paraId="28A684FB" w14:textId="3415A4A7" w:rsidR="00AF2792" w:rsidRPr="002E7113" w:rsidRDefault="00AF2792" w:rsidP="00AF2792">
            <w:r w:rsidRPr="002E7113">
              <w:t>Total number of pupils eligible for Pupil Premium</w:t>
            </w:r>
          </w:p>
        </w:tc>
        <w:tc>
          <w:tcPr>
            <w:tcW w:w="1848" w:type="dxa"/>
          </w:tcPr>
          <w:p w14:paraId="17484C01" w14:textId="6B8E0CDD" w:rsidR="00AF2792" w:rsidRPr="002E7113" w:rsidRDefault="002E7113" w:rsidP="00AF2792">
            <w:r w:rsidRPr="002E7113">
              <w:t>15</w:t>
            </w:r>
            <w:r w:rsidR="006F4087" w:rsidRPr="002E7113">
              <w:t>1</w:t>
            </w:r>
            <w:r w:rsidRPr="002E7113">
              <w:t xml:space="preserve"> (36%)</w:t>
            </w:r>
          </w:p>
        </w:tc>
      </w:tr>
      <w:tr w:rsidR="00AF2792" w14:paraId="318E3433" w14:textId="77777777" w:rsidTr="00AF2792">
        <w:tc>
          <w:tcPr>
            <w:tcW w:w="8642" w:type="dxa"/>
            <w:gridSpan w:val="4"/>
          </w:tcPr>
          <w:p w14:paraId="48B33E4B" w14:textId="533A0521" w:rsidR="00AF2792" w:rsidRDefault="00AF2792" w:rsidP="00AF2792">
            <w:r>
              <w:t>Total amount of Pupil Premium Grant and Early Years Pupil Premium Grant received</w:t>
            </w:r>
          </w:p>
        </w:tc>
        <w:tc>
          <w:tcPr>
            <w:tcW w:w="1848" w:type="dxa"/>
          </w:tcPr>
          <w:p w14:paraId="1F699BE4" w14:textId="6DE81CCD" w:rsidR="00AF2792" w:rsidRDefault="00AF2792" w:rsidP="00662944">
            <w:r>
              <w:t>£</w:t>
            </w:r>
            <w:r w:rsidR="00797651">
              <w:t xml:space="preserve"> 200,640</w:t>
            </w:r>
          </w:p>
        </w:tc>
      </w:tr>
      <w:tr w:rsidR="006F4087" w14:paraId="4B9046DA" w14:textId="77777777" w:rsidTr="00983A6A">
        <w:tc>
          <w:tcPr>
            <w:tcW w:w="10490" w:type="dxa"/>
            <w:gridSpan w:val="5"/>
            <w:shd w:val="clear" w:color="auto" w:fill="31849B" w:themeFill="accent5" w:themeFillShade="BF"/>
          </w:tcPr>
          <w:p w14:paraId="475CBB75" w14:textId="799CF481" w:rsidR="006F4087" w:rsidRDefault="006F4087" w:rsidP="006F4087">
            <w:r w:rsidRPr="006F4087">
              <w:rPr>
                <w:color w:val="FFFFFF" w:themeColor="background1"/>
              </w:rPr>
              <w:t>Objectives of spending Pupil Premium</w:t>
            </w:r>
          </w:p>
        </w:tc>
      </w:tr>
      <w:tr w:rsidR="005D5C78" w14:paraId="022FA7E2" w14:textId="77777777" w:rsidTr="00044E3A">
        <w:tc>
          <w:tcPr>
            <w:tcW w:w="10490" w:type="dxa"/>
            <w:gridSpan w:val="5"/>
            <w:tcBorders>
              <w:bottom w:val="single" w:sz="4" w:space="0" w:color="auto"/>
            </w:tcBorders>
          </w:tcPr>
          <w:p w14:paraId="6223D7A4" w14:textId="77777777" w:rsidR="00AF2792" w:rsidRDefault="00AF2792" w:rsidP="00AF2792">
            <w:pPr>
              <w:pStyle w:val="ListParagraph"/>
              <w:numPr>
                <w:ilvl w:val="0"/>
                <w:numId w:val="1"/>
              </w:numPr>
            </w:pPr>
            <w:r>
              <w:t>The quality of education for all children is improved</w:t>
            </w:r>
          </w:p>
          <w:p w14:paraId="14149A54" w14:textId="77777777" w:rsidR="00AF2792" w:rsidRDefault="00AF2792" w:rsidP="00AF2792">
            <w:pPr>
              <w:pStyle w:val="ListParagraph"/>
              <w:numPr>
                <w:ilvl w:val="0"/>
                <w:numId w:val="1"/>
              </w:numPr>
            </w:pPr>
            <w:r>
              <w:t>To close the attainment gap between disadvantaged pupils and their peers</w:t>
            </w:r>
          </w:p>
          <w:p w14:paraId="43241145" w14:textId="77777777" w:rsidR="001C6C13" w:rsidRDefault="00AF2792" w:rsidP="00AF2792">
            <w:pPr>
              <w:pStyle w:val="ListParagraph"/>
              <w:numPr>
                <w:ilvl w:val="0"/>
                <w:numId w:val="1"/>
              </w:numPr>
            </w:pPr>
            <w:r>
              <w:t>To improve the attendance of disadvantaged pupils</w:t>
            </w:r>
          </w:p>
          <w:p w14:paraId="54523F9C" w14:textId="77777777" w:rsidR="006F4087" w:rsidRDefault="006F4087" w:rsidP="00AF2792">
            <w:pPr>
              <w:pStyle w:val="ListParagraph"/>
              <w:numPr>
                <w:ilvl w:val="0"/>
                <w:numId w:val="1"/>
              </w:numPr>
            </w:pPr>
            <w:r>
              <w:t>To develop cultural capital of disadvantaged pupils through a wide range of experiences</w:t>
            </w:r>
          </w:p>
          <w:p w14:paraId="69371BBA" w14:textId="51DB3F09" w:rsidR="006F4087" w:rsidRDefault="006F4087" w:rsidP="00AF2792">
            <w:pPr>
              <w:pStyle w:val="ListParagraph"/>
              <w:numPr>
                <w:ilvl w:val="0"/>
                <w:numId w:val="1"/>
              </w:numPr>
            </w:pPr>
            <w:r>
              <w:t>To improve reading and maths outcomes for disadvantaged pupils across the school</w:t>
            </w:r>
          </w:p>
        </w:tc>
      </w:tr>
      <w:tr w:rsidR="001C6C13" w14:paraId="63B8E665" w14:textId="77777777" w:rsidTr="00044E3A">
        <w:tc>
          <w:tcPr>
            <w:tcW w:w="10490" w:type="dxa"/>
            <w:gridSpan w:val="5"/>
            <w:shd w:val="clear" w:color="auto" w:fill="31849B" w:themeFill="accent5" w:themeFillShade="BF"/>
          </w:tcPr>
          <w:p w14:paraId="79483F7F" w14:textId="6ED67AB8" w:rsidR="001C6C13" w:rsidRDefault="001C6C13" w:rsidP="00157C6C">
            <w:r w:rsidRPr="00756183">
              <w:rPr>
                <w:color w:val="FFFFFF" w:themeColor="background1"/>
              </w:rPr>
              <w:t>Record of P</w:t>
            </w:r>
            <w:r w:rsidR="00F60504" w:rsidRPr="00756183">
              <w:rPr>
                <w:color w:val="FFFFFF" w:themeColor="background1"/>
              </w:rPr>
              <w:t xml:space="preserve">upil </w:t>
            </w:r>
            <w:r w:rsidRPr="00756183">
              <w:rPr>
                <w:color w:val="FFFFFF" w:themeColor="background1"/>
              </w:rPr>
              <w:t>P</w:t>
            </w:r>
            <w:r w:rsidR="00F60504" w:rsidRPr="00756183">
              <w:rPr>
                <w:color w:val="FFFFFF" w:themeColor="background1"/>
              </w:rPr>
              <w:t xml:space="preserve">remium </w:t>
            </w:r>
            <w:r w:rsidRPr="00756183">
              <w:rPr>
                <w:color w:val="FFFFFF" w:themeColor="background1"/>
              </w:rPr>
              <w:t>G</w:t>
            </w:r>
            <w:r w:rsidR="00F60504" w:rsidRPr="00756183">
              <w:rPr>
                <w:color w:val="FFFFFF" w:themeColor="background1"/>
              </w:rPr>
              <w:t>rant</w:t>
            </w:r>
            <w:r w:rsidRPr="00756183">
              <w:rPr>
                <w:color w:val="FFFFFF" w:themeColor="background1"/>
              </w:rPr>
              <w:t xml:space="preserve"> spending by item/project </w:t>
            </w:r>
          </w:p>
        </w:tc>
      </w:tr>
      <w:tr w:rsidR="001C6C13" w14:paraId="5108BF01" w14:textId="77777777" w:rsidTr="00044E3A">
        <w:tc>
          <w:tcPr>
            <w:tcW w:w="3652" w:type="dxa"/>
            <w:shd w:val="clear" w:color="auto" w:fill="B6DDE8" w:themeFill="accent5" w:themeFillTint="66"/>
          </w:tcPr>
          <w:p w14:paraId="476B99D1" w14:textId="77777777" w:rsidR="001C6C13" w:rsidRPr="00044E3A" w:rsidRDefault="001C6C13">
            <w:pPr>
              <w:rPr>
                <w:b/>
              </w:rPr>
            </w:pPr>
            <w:r w:rsidRPr="00044E3A">
              <w:rPr>
                <w:b/>
              </w:rPr>
              <w:t>Item/Project</w:t>
            </w:r>
          </w:p>
        </w:tc>
        <w:tc>
          <w:tcPr>
            <w:tcW w:w="992" w:type="dxa"/>
            <w:shd w:val="clear" w:color="auto" w:fill="auto"/>
          </w:tcPr>
          <w:p w14:paraId="05F8BAB3" w14:textId="77777777" w:rsidR="001C6C13" w:rsidRPr="00044E3A" w:rsidRDefault="001C6C13">
            <w:pPr>
              <w:rPr>
                <w:b/>
              </w:rPr>
            </w:pPr>
            <w:r w:rsidRPr="00044E3A">
              <w:rPr>
                <w:b/>
              </w:rPr>
              <w:t>Cost</w:t>
            </w:r>
          </w:p>
        </w:tc>
        <w:tc>
          <w:tcPr>
            <w:tcW w:w="3578" w:type="dxa"/>
            <w:shd w:val="clear" w:color="auto" w:fill="auto"/>
          </w:tcPr>
          <w:p w14:paraId="321F1B5A" w14:textId="77777777" w:rsidR="001C6C13" w:rsidRPr="00044E3A" w:rsidRDefault="001C6C13">
            <w:pPr>
              <w:rPr>
                <w:b/>
              </w:rPr>
            </w:pPr>
            <w:r w:rsidRPr="00044E3A">
              <w:rPr>
                <w:b/>
              </w:rPr>
              <w:t>Objectives</w:t>
            </w:r>
          </w:p>
        </w:tc>
        <w:tc>
          <w:tcPr>
            <w:tcW w:w="2268" w:type="dxa"/>
            <w:gridSpan w:val="2"/>
            <w:shd w:val="clear" w:color="auto" w:fill="auto"/>
          </w:tcPr>
          <w:p w14:paraId="6E69199E" w14:textId="77777777" w:rsidR="001C6C13" w:rsidRPr="00044E3A" w:rsidRDefault="001C6C13">
            <w:pPr>
              <w:rPr>
                <w:b/>
              </w:rPr>
            </w:pPr>
            <w:r w:rsidRPr="00044E3A">
              <w:rPr>
                <w:b/>
              </w:rPr>
              <w:t>Outcomes</w:t>
            </w:r>
          </w:p>
        </w:tc>
      </w:tr>
      <w:tr w:rsidR="000A1184" w14:paraId="568E8545" w14:textId="77777777" w:rsidTr="00044E3A">
        <w:tc>
          <w:tcPr>
            <w:tcW w:w="3652" w:type="dxa"/>
            <w:shd w:val="clear" w:color="auto" w:fill="B6DDE8" w:themeFill="accent5" w:themeFillTint="66"/>
          </w:tcPr>
          <w:p w14:paraId="73160EE7" w14:textId="28B821AF" w:rsidR="00D47A7C" w:rsidRPr="003D2A5B" w:rsidRDefault="00D47A7C" w:rsidP="00756183">
            <w:pPr>
              <w:rPr>
                <w:sz w:val="20"/>
                <w:szCs w:val="20"/>
              </w:rPr>
            </w:pPr>
            <w:r w:rsidRPr="003D2A5B">
              <w:rPr>
                <w:sz w:val="20"/>
                <w:szCs w:val="20"/>
              </w:rPr>
              <w:t>Senior leader – inclusion manager</w:t>
            </w:r>
          </w:p>
        </w:tc>
        <w:tc>
          <w:tcPr>
            <w:tcW w:w="992" w:type="dxa"/>
            <w:shd w:val="clear" w:color="auto" w:fill="auto"/>
          </w:tcPr>
          <w:p w14:paraId="3046B8C4" w14:textId="61D2FCAF" w:rsidR="000A1184" w:rsidRPr="003D2A5B" w:rsidRDefault="00D47A7C" w:rsidP="00044E3A">
            <w:pPr>
              <w:jc w:val="center"/>
              <w:rPr>
                <w:sz w:val="20"/>
                <w:szCs w:val="20"/>
              </w:rPr>
            </w:pPr>
            <w:r w:rsidRPr="003D2A5B">
              <w:rPr>
                <w:sz w:val="20"/>
                <w:szCs w:val="20"/>
              </w:rPr>
              <w:t>£35,775</w:t>
            </w:r>
          </w:p>
        </w:tc>
        <w:tc>
          <w:tcPr>
            <w:tcW w:w="3578" w:type="dxa"/>
            <w:shd w:val="clear" w:color="auto" w:fill="auto"/>
          </w:tcPr>
          <w:p w14:paraId="2895CEAB" w14:textId="6740524A" w:rsidR="000A1184" w:rsidRPr="003D2A5B" w:rsidRDefault="003D2A5B" w:rsidP="00152EA8">
            <w:pPr>
              <w:pStyle w:val="ListParagraph"/>
              <w:numPr>
                <w:ilvl w:val="0"/>
                <w:numId w:val="12"/>
              </w:numPr>
              <w:rPr>
                <w:sz w:val="20"/>
                <w:szCs w:val="20"/>
              </w:rPr>
            </w:pPr>
            <w:r w:rsidRPr="003D2A5B">
              <w:rPr>
                <w:sz w:val="20"/>
                <w:szCs w:val="20"/>
              </w:rPr>
              <w:t>Additional</w:t>
            </w:r>
            <w:r w:rsidR="007C558E" w:rsidRPr="003D2A5B">
              <w:rPr>
                <w:sz w:val="20"/>
                <w:szCs w:val="20"/>
              </w:rPr>
              <w:t xml:space="preserve"> support for most vulnerable families</w:t>
            </w:r>
          </w:p>
        </w:tc>
        <w:tc>
          <w:tcPr>
            <w:tcW w:w="2268" w:type="dxa"/>
            <w:gridSpan w:val="2"/>
            <w:shd w:val="clear" w:color="auto" w:fill="auto"/>
          </w:tcPr>
          <w:p w14:paraId="16264E17" w14:textId="1A5DDEE9" w:rsidR="000A1184" w:rsidRPr="00556031" w:rsidRDefault="00C23685" w:rsidP="00E54140">
            <w:pPr>
              <w:rPr>
                <w:color w:val="000000" w:themeColor="text1"/>
                <w:sz w:val="20"/>
                <w:szCs w:val="20"/>
              </w:rPr>
            </w:pPr>
            <w:r>
              <w:rPr>
                <w:color w:val="000000" w:themeColor="text1"/>
                <w:sz w:val="20"/>
                <w:szCs w:val="20"/>
              </w:rPr>
              <w:t>Support had been given to many families. This included signposts to foodbanks and Christmas hampers. Coordination of young carers.  Set up of systems for identifying and supporting vulnerable families.</w:t>
            </w:r>
          </w:p>
        </w:tc>
      </w:tr>
      <w:tr w:rsidR="00D47A7C" w14:paraId="504CE795" w14:textId="77777777" w:rsidTr="00044E3A">
        <w:tc>
          <w:tcPr>
            <w:tcW w:w="3652" w:type="dxa"/>
            <w:shd w:val="clear" w:color="auto" w:fill="B6DDE8" w:themeFill="accent5" w:themeFillTint="66"/>
          </w:tcPr>
          <w:p w14:paraId="727BBEFC" w14:textId="77777777" w:rsidR="00D47A7C" w:rsidRPr="003D2A5B" w:rsidRDefault="00D47A7C" w:rsidP="00D47A7C">
            <w:pPr>
              <w:rPr>
                <w:sz w:val="20"/>
                <w:szCs w:val="20"/>
              </w:rPr>
            </w:pPr>
            <w:r w:rsidRPr="003D2A5B">
              <w:rPr>
                <w:sz w:val="20"/>
                <w:szCs w:val="20"/>
              </w:rPr>
              <w:t>Pastoral support staff X2</w:t>
            </w:r>
          </w:p>
          <w:p w14:paraId="50B32656" w14:textId="105AAF27" w:rsidR="00D47A7C" w:rsidRPr="003D2A5B" w:rsidRDefault="00D47A7C" w:rsidP="00D47A7C">
            <w:pPr>
              <w:rPr>
                <w:sz w:val="20"/>
                <w:szCs w:val="20"/>
              </w:rPr>
            </w:pPr>
            <w:r w:rsidRPr="003D2A5B">
              <w:rPr>
                <w:sz w:val="20"/>
                <w:szCs w:val="20"/>
              </w:rPr>
              <w:t>Behaviour support and inclusion support</w:t>
            </w:r>
          </w:p>
        </w:tc>
        <w:tc>
          <w:tcPr>
            <w:tcW w:w="992" w:type="dxa"/>
            <w:shd w:val="clear" w:color="auto" w:fill="auto"/>
          </w:tcPr>
          <w:p w14:paraId="03D28850" w14:textId="1A1B1395" w:rsidR="00D47A7C" w:rsidRPr="003D2A5B" w:rsidRDefault="00D47A7C" w:rsidP="00D47A7C">
            <w:pPr>
              <w:jc w:val="center"/>
              <w:rPr>
                <w:sz w:val="20"/>
                <w:szCs w:val="20"/>
              </w:rPr>
            </w:pPr>
            <w:r w:rsidRPr="003D2A5B">
              <w:rPr>
                <w:sz w:val="20"/>
                <w:szCs w:val="20"/>
              </w:rPr>
              <w:t>£55, 782</w:t>
            </w:r>
          </w:p>
        </w:tc>
        <w:tc>
          <w:tcPr>
            <w:tcW w:w="3578" w:type="dxa"/>
            <w:shd w:val="clear" w:color="auto" w:fill="auto"/>
          </w:tcPr>
          <w:p w14:paraId="5CE61807" w14:textId="2DE62F88" w:rsidR="00D47A7C" w:rsidRPr="003D2A5B" w:rsidRDefault="007C558E" w:rsidP="00D47A7C">
            <w:pPr>
              <w:pStyle w:val="ListParagraph"/>
              <w:numPr>
                <w:ilvl w:val="0"/>
                <w:numId w:val="12"/>
              </w:numPr>
              <w:rPr>
                <w:sz w:val="20"/>
                <w:szCs w:val="20"/>
              </w:rPr>
            </w:pPr>
            <w:r w:rsidRPr="003D2A5B">
              <w:rPr>
                <w:sz w:val="20"/>
                <w:szCs w:val="20"/>
              </w:rPr>
              <w:t>Behaviour incidents decreased</w:t>
            </w:r>
          </w:p>
          <w:p w14:paraId="27447C72" w14:textId="77777777" w:rsidR="007C558E" w:rsidRPr="003D2A5B" w:rsidRDefault="007C558E" w:rsidP="00D47A7C">
            <w:pPr>
              <w:pStyle w:val="ListParagraph"/>
              <w:numPr>
                <w:ilvl w:val="0"/>
                <w:numId w:val="12"/>
              </w:numPr>
              <w:rPr>
                <w:sz w:val="20"/>
                <w:szCs w:val="20"/>
              </w:rPr>
            </w:pPr>
            <w:r w:rsidRPr="003D2A5B">
              <w:rPr>
                <w:sz w:val="20"/>
                <w:szCs w:val="20"/>
              </w:rPr>
              <w:t>Reduce fixed term exclusions</w:t>
            </w:r>
          </w:p>
          <w:p w14:paraId="506A34F0" w14:textId="77777777" w:rsidR="007C558E" w:rsidRPr="003D2A5B" w:rsidRDefault="007C558E" w:rsidP="00D47A7C">
            <w:pPr>
              <w:pStyle w:val="ListParagraph"/>
              <w:numPr>
                <w:ilvl w:val="0"/>
                <w:numId w:val="12"/>
              </w:numPr>
              <w:rPr>
                <w:sz w:val="20"/>
                <w:szCs w:val="20"/>
              </w:rPr>
            </w:pPr>
            <w:r w:rsidRPr="003D2A5B">
              <w:rPr>
                <w:sz w:val="20"/>
                <w:szCs w:val="20"/>
              </w:rPr>
              <w:t>Engage parents</w:t>
            </w:r>
          </w:p>
          <w:p w14:paraId="630E514E" w14:textId="77777777" w:rsidR="007C558E" w:rsidRPr="003D2A5B" w:rsidRDefault="007C558E" w:rsidP="00D47A7C">
            <w:pPr>
              <w:pStyle w:val="ListParagraph"/>
              <w:numPr>
                <w:ilvl w:val="0"/>
                <w:numId w:val="12"/>
              </w:numPr>
              <w:rPr>
                <w:sz w:val="20"/>
                <w:szCs w:val="20"/>
              </w:rPr>
            </w:pPr>
            <w:r w:rsidRPr="003D2A5B">
              <w:rPr>
                <w:sz w:val="20"/>
                <w:szCs w:val="20"/>
              </w:rPr>
              <w:t>Support vulnerable pupils and families</w:t>
            </w:r>
          </w:p>
          <w:p w14:paraId="0A39C383" w14:textId="58C7BBFE" w:rsidR="007C558E" w:rsidRPr="003D2A5B" w:rsidRDefault="007C558E" w:rsidP="00D47A7C">
            <w:pPr>
              <w:pStyle w:val="ListParagraph"/>
              <w:numPr>
                <w:ilvl w:val="0"/>
                <w:numId w:val="12"/>
              </w:numPr>
              <w:rPr>
                <w:sz w:val="20"/>
                <w:szCs w:val="20"/>
              </w:rPr>
            </w:pPr>
            <w:r w:rsidRPr="003D2A5B">
              <w:rPr>
                <w:sz w:val="20"/>
                <w:szCs w:val="20"/>
              </w:rPr>
              <w:t>Increase attendance</w:t>
            </w:r>
          </w:p>
        </w:tc>
        <w:tc>
          <w:tcPr>
            <w:tcW w:w="2268" w:type="dxa"/>
            <w:gridSpan w:val="2"/>
            <w:shd w:val="clear" w:color="auto" w:fill="auto"/>
          </w:tcPr>
          <w:p w14:paraId="2BB735E1" w14:textId="77777777" w:rsidR="00D47A7C" w:rsidRDefault="00C23685" w:rsidP="00D47A7C">
            <w:pPr>
              <w:rPr>
                <w:color w:val="000000" w:themeColor="text1"/>
                <w:sz w:val="20"/>
                <w:szCs w:val="20"/>
              </w:rPr>
            </w:pPr>
            <w:r>
              <w:rPr>
                <w:color w:val="000000" w:themeColor="text1"/>
                <w:sz w:val="20"/>
                <w:szCs w:val="20"/>
              </w:rPr>
              <w:t xml:space="preserve">Fixed tem exclusions hugely reduced from 39 session to 10 session in an academic year. </w:t>
            </w:r>
          </w:p>
          <w:p w14:paraId="6F9E44FD" w14:textId="06C5A6A6" w:rsidR="00C23685" w:rsidRDefault="00C23685" w:rsidP="00D47A7C">
            <w:pPr>
              <w:rPr>
                <w:color w:val="000000" w:themeColor="text1"/>
                <w:sz w:val="20"/>
                <w:szCs w:val="20"/>
              </w:rPr>
            </w:pPr>
            <w:r>
              <w:rPr>
                <w:color w:val="000000" w:themeColor="text1"/>
                <w:sz w:val="20"/>
                <w:szCs w:val="20"/>
              </w:rPr>
              <w:t xml:space="preserve">Attendance in line with national (as of March 2020).  This was without the support of Aquinas. Improved culture and profile of attendance – year 6 attendance well above average.  Use of attendance rewards and reporting to parents. </w:t>
            </w:r>
          </w:p>
          <w:p w14:paraId="6BE877E8" w14:textId="0BDBA9C0" w:rsidR="00C23685" w:rsidRPr="00556031" w:rsidRDefault="00C23685" w:rsidP="00D47A7C">
            <w:pPr>
              <w:rPr>
                <w:color w:val="000000" w:themeColor="text1"/>
                <w:sz w:val="20"/>
                <w:szCs w:val="20"/>
              </w:rPr>
            </w:pPr>
          </w:p>
        </w:tc>
      </w:tr>
      <w:tr w:rsidR="00D47A7C" w14:paraId="448FEC1C" w14:textId="77777777" w:rsidTr="00044E3A">
        <w:tc>
          <w:tcPr>
            <w:tcW w:w="3652" w:type="dxa"/>
            <w:shd w:val="clear" w:color="auto" w:fill="B6DDE8" w:themeFill="accent5" w:themeFillTint="66"/>
          </w:tcPr>
          <w:p w14:paraId="315D12FA" w14:textId="25407E86" w:rsidR="00D47A7C" w:rsidRPr="003D2A5B" w:rsidRDefault="00797651" w:rsidP="00D47A7C">
            <w:pPr>
              <w:rPr>
                <w:sz w:val="20"/>
                <w:szCs w:val="20"/>
              </w:rPr>
            </w:pPr>
            <w:r w:rsidRPr="003D2A5B">
              <w:rPr>
                <w:sz w:val="20"/>
                <w:szCs w:val="20"/>
              </w:rPr>
              <w:t>2X mid-day assistants</w:t>
            </w:r>
          </w:p>
        </w:tc>
        <w:tc>
          <w:tcPr>
            <w:tcW w:w="992" w:type="dxa"/>
            <w:shd w:val="clear" w:color="auto" w:fill="auto"/>
          </w:tcPr>
          <w:p w14:paraId="5AADBE1C" w14:textId="758B08E8" w:rsidR="00D47A7C" w:rsidRPr="003D2A5B" w:rsidRDefault="00797651" w:rsidP="00D47A7C">
            <w:pPr>
              <w:jc w:val="center"/>
              <w:rPr>
                <w:sz w:val="20"/>
                <w:szCs w:val="20"/>
              </w:rPr>
            </w:pPr>
            <w:r w:rsidRPr="003D2A5B">
              <w:rPr>
                <w:sz w:val="20"/>
                <w:szCs w:val="20"/>
              </w:rPr>
              <w:t>£6,410</w:t>
            </w:r>
          </w:p>
        </w:tc>
        <w:tc>
          <w:tcPr>
            <w:tcW w:w="3578" w:type="dxa"/>
            <w:shd w:val="clear" w:color="auto" w:fill="auto"/>
          </w:tcPr>
          <w:p w14:paraId="6F8965A9" w14:textId="77777777" w:rsidR="00D47A7C" w:rsidRPr="003D2A5B" w:rsidRDefault="007C558E" w:rsidP="00D47A7C">
            <w:pPr>
              <w:pStyle w:val="ListParagraph"/>
              <w:numPr>
                <w:ilvl w:val="0"/>
                <w:numId w:val="12"/>
              </w:numPr>
              <w:rPr>
                <w:sz w:val="20"/>
                <w:szCs w:val="20"/>
              </w:rPr>
            </w:pPr>
            <w:r w:rsidRPr="003D2A5B">
              <w:rPr>
                <w:sz w:val="20"/>
                <w:szCs w:val="20"/>
              </w:rPr>
              <w:t>Reduce behaviour incidents at lunch time</w:t>
            </w:r>
          </w:p>
          <w:p w14:paraId="38B14ED8" w14:textId="5D71A096" w:rsidR="007C558E" w:rsidRPr="003D2A5B" w:rsidRDefault="007C558E" w:rsidP="00D47A7C">
            <w:pPr>
              <w:pStyle w:val="ListParagraph"/>
              <w:numPr>
                <w:ilvl w:val="0"/>
                <w:numId w:val="12"/>
              </w:numPr>
              <w:rPr>
                <w:sz w:val="20"/>
                <w:szCs w:val="20"/>
              </w:rPr>
            </w:pPr>
            <w:r w:rsidRPr="003D2A5B">
              <w:rPr>
                <w:sz w:val="20"/>
                <w:szCs w:val="20"/>
              </w:rPr>
              <w:t>Support disadvantaged pupils at lunch times</w:t>
            </w:r>
          </w:p>
          <w:p w14:paraId="2B1E2BA6" w14:textId="5BCA8D5F" w:rsidR="007C558E" w:rsidRPr="003D2A5B" w:rsidRDefault="007C558E" w:rsidP="007C558E">
            <w:pPr>
              <w:pStyle w:val="ListParagraph"/>
              <w:numPr>
                <w:ilvl w:val="0"/>
                <w:numId w:val="12"/>
              </w:numPr>
              <w:rPr>
                <w:sz w:val="20"/>
                <w:szCs w:val="20"/>
              </w:rPr>
            </w:pPr>
            <w:r w:rsidRPr="003D2A5B">
              <w:rPr>
                <w:sz w:val="20"/>
                <w:szCs w:val="20"/>
              </w:rPr>
              <w:t xml:space="preserve">Supervise pupils so that sports clubs can take place at lunch time </w:t>
            </w:r>
            <w:r w:rsidRPr="003D2A5B">
              <w:rPr>
                <w:sz w:val="20"/>
                <w:szCs w:val="20"/>
              </w:rPr>
              <w:lastRenderedPageBreak/>
              <w:t>for disadvantaged and vulnerable pupils</w:t>
            </w:r>
          </w:p>
        </w:tc>
        <w:tc>
          <w:tcPr>
            <w:tcW w:w="2268" w:type="dxa"/>
            <w:gridSpan w:val="2"/>
            <w:shd w:val="clear" w:color="auto" w:fill="auto"/>
          </w:tcPr>
          <w:p w14:paraId="37F0F5B8" w14:textId="77777777" w:rsidR="00D47A7C" w:rsidRDefault="00C23685" w:rsidP="00D47A7C">
            <w:pPr>
              <w:rPr>
                <w:color w:val="000000" w:themeColor="text1"/>
                <w:sz w:val="20"/>
                <w:szCs w:val="20"/>
              </w:rPr>
            </w:pPr>
            <w:r>
              <w:rPr>
                <w:color w:val="000000" w:themeColor="text1"/>
                <w:sz w:val="20"/>
                <w:szCs w:val="20"/>
              </w:rPr>
              <w:lastRenderedPageBreak/>
              <w:t xml:space="preserve">Additional clubs have reduced behaviour incidents.  No lunch time exclusions since Christmas. </w:t>
            </w:r>
          </w:p>
          <w:p w14:paraId="3F7D4A15" w14:textId="62710F90" w:rsidR="00C23685" w:rsidRPr="00556031" w:rsidRDefault="00C23685" w:rsidP="00D47A7C">
            <w:pPr>
              <w:rPr>
                <w:color w:val="000000" w:themeColor="text1"/>
                <w:sz w:val="20"/>
                <w:szCs w:val="20"/>
              </w:rPr>
            </w:pPr>
            <w:r>
              <w:rPr>
                <w:color w:val="000000" w:themeColor="text1"/>
                <w:sz w:val="20"/>
                <w:szCs w:val="20"/>
              </w:rPr>
              <w:lastRenderedPageBreak/>
              <w:t xml:space="preserve">Take up of lunch clubs is good, especially for vulnerable pupils and through targeted groups. </w:t>
            </w:r>
          </w:p>
        </w:tc>
      </w:tr>
      <w:tr w:rsidR="00D47A7C" w14:paraId="7C5217D9" w14:textId="77777777" w:rsidTr="00044E3A">
        <w:tc>
          <w:tcPr>
            <w:tcW w:w="3652" w:type="dxa"/>
            <w:shd w:val="clear" w:color="auto" w:fill="B6DDE8" w:themeFill="accent5" w:themeFillTint="66"/>
          </w:tcPr>
          <w:p w14:paraId="5F5EDFBC" w14:textId="14C89E10" w:rsidR="00D47A7C" w:rsidRPr="003D2A5B" w:rsidRDefault="00D47A7C" w:rsidP="00D47A7C">
            <w:pPr>
              <w:rPr>
                <w:i/>
                <w:sz w:val="16"/>
                <w:szCs w:val="16"/>
              </w:rPr>
            </w:pPr>
            <w:r w:rsidRPr="003D2A5B">
              <w:rPr>
                <w:i/>
                <w:sz w:val="16"/>
                <w:szCs w:val="16"/>
              </w:rPr>
              <w:lastRenderedPageBreak/>
              <w:t xml:space="preserve">1HLTA </w:t>
            </w:r>
          </w:p>
        </w:tc>
        <w:tc>
          <w:tcPr>
            <w:tcW w:w="992" w:type="dxa"/>
            <w:shd w:val="clear" w:color="auto" w:fill="auto"/>
          </w:tcPr>
          <w:p w14:paraId="606CEDD0" w14:textId="7E4E4981" w:rsidR="00D47A7C" w:rsidRPr="003D2A5B" w:rsidRDefault="00D47A7C" w:rsidP="00D47A7C">
            <w:pPr>
              <w:jc w:val="center"/>
              <w:rPr>
                <w:sz w:val="20"/>
                <w:szCs w:val="20"/>
              </w:rPr>
            </w:pPr>
            <w:r w:rsidRPr="003D2A5B">
              <w:rPr>
                <w:sz w:val="20"/>
                <w:szCs w:val="20"/>
              </w:rPr>
              <w:t>£24,581</w:t>
            </w:r>
          </w:p>
        </w:tc>
        <w:tc>
          <w:tcPr>
            <w:tcW w:w="3578" w:type="dxa"/>
            <w:shd w:val="clear" w:color="auto" w:fill="auto"/>
          </w:tcPr>
          <w:p w14:paraId="77039F54" w14:textId="5C9B8559" w:rsidR="00D47A7C" w:rsidRPr="003D2A5B" w:rsidRDefault="007C558E" w:rsidP="00D47A7C">
            <w:pPr>
              <w:pStyle w:val="ListParagraph"/>
              <w:numPr>
                <w:ilvl w:val="0"/>
                <w:numId w:val="11"/>
              </w:numPr>
              <w:rPr>
                <w:sz w:val="20"/>
                <w:szCs w:val="20"/>
              </w:rPr>
            </w:pPr>
            <w:r w:rsidRPr="003D2A5B">
              <w:rPr>
                <w:sz w:val="20"/>
                <w:szCs w:val="20"/>
              </w:rPr>
              <w:t>Improve outcomes for disadvantaged, closing gap between PP and Non PP</w:t>
            </w:r>
          </w:p>
        </w:tc>
        <w:tc>
          <w:tcPr>
            <w:tcW w:w="2268" w:type="dxa"/>
            <w:gridSpan w:val="2"/>
            <w:shd w:val="clear" w:color="auto" w:fill="auto"/>
          </w:tcPr>
          <w:p w14:paraId="63D6BF02" w14:textId="77777777" w:rsidR="00626232" w:rsidRDefault="00626232" w:rsidP="00D47A7C">
            <w:pPr>
              <w:rPr>
                <w:color w:val="000000" w:themeColor="text1"/>
                <w:sz w:val="20"/>
                <w:szCs w:val="20"/>
              </w:rPr>
            </w:pPr>
            <w:r>
              <w:rPr>
                <w:color w:val="000000" w:themeColor="text1"/>
                <w:sz w:val="20"/>
                <w:szCs w:val="20"/>
              </w:rPr>
              <w:t xml:space="preserve">HLTA allowed cover for teachers to plan interventions to close specific gaps.  Progression year 6 was set to be above average for Pupil Premium in reading, writing and maths. </w:t>
            </w:r>
          </w:p>
          <w:p w14:paraId="0EF924C5" w14:textId="0BF96EDE" w:rsidR="000538A5" w:rsidRDefault="000538A5" w:rsidP="00D47A7C">
            <w:pPr>
              <w:rPr>
                <w:color w:val="000000" w:themeColor="text1"/>
                <w:sz w:val="20"/>
                <w:szCs w:val="20"/>
              </w:rPr>
            </w:pPr>
            <w:r>
              <w:rPr>
                <w:color w:val="000000" w:themeColor="text1"/>
                <w:sz w:val="20"/>
                <w:szCs w:val="20"/>
              </w:rPr>
              <w:t xml:space="preserve">Increased % of pupil premium on track for depth and combined depth across school. </w:t>
            </w:r>
          </w:p>
          <w:p w14:paraId="6104482F" w14:textId="1748185A" w:rsidR="000538A5" w:rsidRPr="00556031" w:rsidRDefault="000538A5" w:rsidP="00D47A7C">
            <w:pPr>
              <w:rPr>
                <w:color w:val="000000" w:themeColor="text1"/>
                <w:sz w:val="20"/>
                <w:szCs w:val="20"/>
              </w:rPr>
            </w:pPr>
            <w:r>
              <w:rPr>
                <w:color w:val="000000" w:themeColor="text1"/>
                <w:sz w:val="20"/>
                <w:szCs w:val="20"/>
              </w:rPr>
              <w:t>% on track for expected combined increased by 6% across school.</w:t>
            </w:r>
          </w:p>
        </w:tc>
      </w:tr>
      <w:tr w:rsidR="00D47A7C" w14:paraId="7B517831" w14:textId="77777777" w:rsidTr="00044E3A">
        <w:tc>
          <w:tcPr>
            <w:tcW w:w="3652" w:type="dxa"/>
            <w:shd w:val="clear" w:color="auto" w:fill="B6DDE8" w:themeFill="accent5" w:themeFillTint="66"/>
          </w:tcPr>
          <w:p w14:paraId="5C4209D9" w14:textId="4B201EAE" w:rsidR="00D47A7C" w:rsidRPr="003D2A5B" w:rsidRDefault="00D47A7C" w:rsidP="00D47A7C">
            <w:pPr>
              <w:rPr>
                <w:i/>
                <w:sz w:val="16"/>
                <w:szCs w:val="16"/>
              </w:rPr>
            </w:pPr>
            <w:r w:rsidRPr="003D2A5B">
              <w:rPr>
                <w:i/>
                <w:sz w:val="16"/>
                <w:szCs w:val="16"/>
              </w:rPr>
              <w:t>1 LSA</w:t>
            </w:r>
          </w:p>
        </w:tc>
        <w:tc>
          <w:tcPr>
            <w:tcW w:w="992" w:type="dxa"/>
            <w:shd w:val="clear" w:color="auto" w:fill="auto"/>
          </w:tcPr>
          <w:p w14:paraId="207253DF" w14:textId="50FF61C8" w:rsidR="00D47A7C" w:rsidRPr="003D2A5B" w:rsidRDefault="00D47A7C" w:rsidP="00D47A7C">
            <w:pPr>
              <w:jc w:val="center"/>
              <w:rPr>
                <w:sz w:val="20"/>
                <w:szCs w:val="20"/>
              </w:rPr>
            </w:pPr>
            <w:r w:rsidRPr="003D2A5B">
              <w:rPr>
                <w:sz w:val="20"/>
                <w:szCs w:val="20"/>
              </w:rPr>
              <w:t>£21,775</w:t>
            </w:r>
          </w:p>
        </w:tc>
        <w:tc>
          <w:tcPr>
            <w:tcW w:w="3578" w:type="dxa"/>
            <w:shd w:val="clear" w:color="auto" w:fill="auto"/>
          </w:tcPr>
          <w:p w14:paraId="632340B3" w14:textId="5257D140" w:rsidR="00D47A7C" w:rsidRPr="003D2A5B" w:rsidRDefault="007C558E" w:rsidP="00D47A7C">
            <w:pPr>
              <w:pStyle w:val="ListParagraph"/>
              <w:numPr>
                <w:ilvl w:val="0"/>
                <w:numId w:val="9"/>
              </w:numPr>
              <w:rPr>
                <w:sz w:val="20"/>
                <w:szCs w:val="20"/>
              </w:rPr>
            </w:pPr>
            <w:r w:rsidRPr="003D2A5B">
              <w:rPr>
                <w:sz w:val="20"/>
                <w:szCs w:val="20"/>
              </w:rPr>
              <w:t>Supporting disadvantaged and vulnerable pupils, ensuring reduced behavioural incidents and accelerating progress</w:t>
            </w:r>
          </w:p>
        </w:tc>
        <w:tc>
          <w:tcPr>
            <w:tcW w:w="2268" w:type="dxa"/>
            <w:gridSpan w:val="2"/>
            <w:shd w:val="clear" w:color="auto" w:fill="auto"/>
          </w:tcPr>
          <w:p w14:paraId="29779D22" w14:textId="77777777" w:rsidR="00D47A7C" w:rsidRDefault="000538A5" w:rsidP="00D47A7C">
            <w:pPr>
              <w:rPr>
                <w:color w:val="000000" w:themeColor="text1"/>
                <w:sz w:val="20"/>
                <w:szCs w:val="20"/>
              </w:rPr>
            </w:pPr>
            <w:r>
              <w:rPr>
                <w:color w:val="000000" w:themeColor="text1"/>
                <w:sz w:val="20"/>
                <w:szCs w:val="20"/>
              </w:rPr>
              <w:t xml:space="preserve">Reduced exclusions.  </w:t>
            </w:r>
          </w:p>
          <w:p w14:paraId="5A75FC00" w14:textId="58219A7C" w:rsidR="000538A5" w:rsidRPr="00556031" w:rsidRDefault="000538A5" w:rsidP="00D47A7C">
            <w:pPr>
              <w:rPr>
                <w:color w:val="000000" w:themeColor="text1"/>
                <w:sz w:val="20"/>
                <w:szCs w:val="20"/>
              </w:rPr>
            </w:pPr>
            <w:r>
              <w:rPr>
                <w:color w:val="000000" w:themeColor="text1"/>
                <w:sz w:val="20"/>
                <w:szCs w:val="20"/>
              </w:rPr>
              <w:t xml:space="preserve">Reduced behaviour incidents in Reception.  Organisation of lunch clubs through LSA reduced lunch time incidents. </w:t>
            </w:r>
          </w:p>
        </w:tc>
      </w:tr>
      <w:tr w:rsidR="00D47A7C" w14:paraId="1C5141FB" w14:textId="77777777" w:rsidTr="00044E3A">
        <w:tc>
          <w:tcPr>
            <w:tcW w:w="3652" w:type="dxa"/>
            <w:shd w:val="clear" w:color="auto" w:fill="B6DDE8" w:themeFill="accent5" w:themeFillTint="66"/>
          </w:tcPr>
          <w:p w14:paraId="78B994F7" w14:textId="63ED2DA2" w:rsidR="00D47A7C" w:rsidRPr="003D2A5B" w:rsidRDefault="00D47A7C" w:rsidP="00D47A7C">
            <w:pPr>
              <w:rPr>
                <w:sz w:val="20"/>
                <w:szCs w:val="20"/>
              </w:rPr>
            </w:pPr>
            <w:r w:rsidRPr="003D2A5B">
              <w:rPr>
                <w:sz w:val="20"/>
                <w:szCs w:val="20"/>
              </w:rPr>
              <w:t>Nursery Nurse</w:t>
            </w:r>
          </w:p>
        </w:tc>
        <w:tc>
          <w:tcPr>
            <w:tcW w:w="992" w:type="dxa"/>
            <w:shd w:val="clear" w:color="auto" w:fill="auto"/>
          </w:tcPr>
          <w:p w14:paraId="0294D26D" w14:textId="28A50233" w:rsidR="00D47A7C" w:rsidRPr="003D2A5B" w:rsidRDefault="00D47A7C" w:rsidP="00D47A7C">
            <w:pPr>
              <w:jc w:val="center"/>
              <w:rPr>
                <w:sz w:val="20"/>
                <w:szCs w:val="20"/>
              </w:rPr>
            </w:pPr>
            <w:r w:rsidRPr="003D2A5B">
              <w:rPr>
                <w:sz w:val="20"/>
                <w:szCs w:val="20"/>
              </w:rPr>
              <w:t>£19,942</w:t>
            </w:r>
          </w:p>
        </w:tc>
        <w:tc>
          <w:tcPr>
            <w:tcW w:w="3578" w:type="dxa"/>
            <w:shd w:val="clear" w:color="auto" w:fill="auto"/>
          </w:tcPr>
          <w:p w14:paraId="28077119" w14:textId="77777777" w:rsidR="00D47A7C" w:rsidRPr="003D2A5B" w:rsidRDefault="007C558E" w:rsidP="00D47A7C">
            <w:pPr>
              <w:pStyle w:val="ListParagraph"/>
              <w:numPr>
                <w:ilvl w:val="0"/>
                <w:numId w:val="9"/>
              </w:numPr>
              <w:rPr>
                <w:sz w:val="20"/>
                <w:szCs w:val="20"/>
              </w:rPr>
            </w:pPr>
            <w:r w:rsidRPr="003D2A5B">
              <w:rPr>
                <w:sz w:val="20"/>
                <w:szCs w:val="20"/>
              </w:rPr>
              <w:t>Early identification of needs</w:t>
            </w:r>
          </w:p>
          <w:p w14:paraId="4B9028BD" w14:textId="77777777" w:rsidR="007C558E" w:rsidRPr="003D2A5B" w:rsidRDefault="007C558E" w:rsidP="00D47A7C">
            <w:pPr>
              <w:pStyle w:val="ListParagraph"/>
              <w:numPr>
                <w:ilvl w:val="0"/>
                <w:numId w:val="9"/>
              </w:numPr>
              <w:rPr>
                <w:sz w:val="20"/>
                <w:szCs w:val="20"/>
              </w:rPr>
            </w:pPr>
            <w:r w:rsidRPr="003D2A5B">
              <w:rPr>
                <w:sz w:val="20"/>
                <w:szCs w:val="20"/>
              </w:rPr>
              <w:t>Precise intervention to close gaps and accelerate learning</w:t>
            </w:r>
          </w:p>
          <w:p w14:paraId="5916C317" w14:textId="7D51F0CF" w:rsidR="007C558E" w:rsidRPr="003D2A5B" w:rsidRDefault="007C558E" w:rsidP="00D47A7C">
            <w:pPr>
              <w:pStyle w:val="ListParagraph"/>
              <w:numPr>
                <w:ilvl w:val="0"/>
                <w:numId w:val="9"/>
              </w:numPr>
              <w:rPr>
                <w:sz w:val="20"/>
                <w:szCs w:val="20"/>
              </w:rPr>
            </w:pPr>
          </w:p>
        </w:tc>
        <w:tc>
          <w:tcPr>
            <w:tcW w:w="2268" w:type="dxa"/>
            <w:gridSpan w:val="2"/>
            <w:shd w:val="clear" w:color="auto" w:fill="auto"/>
          </w:tcPr>
          <w:p w14:paraId="5D0ED8BC" w14:textId="77777777" w:rsidR="00D47A7C" w:rsidRDefault="00C23685" w:rsidP="00D47A7C">
            <w:pPr>
              <w:rPr>
                <w:color w:val="000000" w:themeColor="text1"/>
                <w:sz w:val="20"/>
                <w:szCs w:val="20"/>
              </w:rPr>
            </w:pPr>
            <w:r>
              <w:rPr>
                <w:color w:val="000000" w:themeColor="text1"/>
                <w:sz w:val="20"/>
                <w:szCs w:val="20"/>
              </w:rPr>
              <w:t xml:space="preserve">Settled cohort.  Supported </w:t>
            </w:r>
            <w:r w:rsidR="00125EE4">
              <w:rPr>
                <w:color w:val="000000" w:themeColor="text1"/>
                <w:sz w:val="20"/>
                <w:szCs w:val="20"/>
              </w:rPr>
              <w:t>transition into school and settled groups of pupils.  Supported improved learning environment.</w:t>
            </w:r>
          </w:p>
          <w:p w14:paraId="5947388C" w14:textId="2F95D396" w:rsidR="000538A5" w:rsidRPr="00556031" w:rsidRDefault="000538A5" w:rsidP="00D47A7C">
            <w:pPr>
              <w:rPr>
                <w:color w:val="000000" w:themeColor="text1"/>
                <w:sz w:val="20"/>
                <w:szCs w:val="20"/>
              </w:rPr>
            </w:pPr>
            <w:r>
              <w:rPr>
                <w:color w:val="000000" w:themeColor="text1"/>
                <w:sz w:val="20"/>
                <w:szCs w:val="20"/>
              </w:rPr>
              <w:t>% of pupil premium  pupils on track in Reception rose from 36% on entry to 61% PP on track in spring</w:t>
            </w:r>
          </w:p>
        </w:tc>
      </w:tr>
      <w:tr w:rsidR="00D47A7C" w14:paraId="57C2C107" w14:textId="77777777" w:rsidTr="00044E3A">
        <w:tc>
          <w:tcPr>
            <w:tcW w:w="3652" w:type="dxa"/>
            <w:shd w:val="clear" w:color="auto" w:fill="B6DDE8" w:themeFill="accent5" w:themeFillTint="66"/>
          </w:tcPr>
          <w:p w14:paraId="32E0ECC2" w14:textId="6F9870BE" w:rsidR="00D47A7C" w:rsidRPr="003D2A5B" w:rsidRDefault="00D47A7C" w:rsidP="00D47A7C">
            <w:pPr>
              <w:rPr>
                <w:sz w:val="20"/>
                <w:szCs w:val="20"/>
              </w:rPr>
            </w:pPr>
            <w:r w:rsidRPr="003D2A5B">
              <w:rPr>
                <w:sz w:val="20"/>
                <w:szCs w:val="20"/>
              </w:rPr>
              <w:t>Speech Therapist</w:t>
            </w:r>
          </w:p>
        </w:tc>
        <w:tc>
          <w:tcPr>
            <w:tcW w:w="992" w:type="dxa"/>
            <w:shd w:val="clear" w:color="auto" w:fill="auto"/>
          </w:tcPr>
          <w:p w14:paraId="79E79E7F" w14:textId="6717DE16" w:rsidR="00D47A7C" w:rsidRPr="003D2A5B" w:rsidRDefault="00D47A7C" w:rsidP="00D47A7C">
            <w:pPr>
              <w:jc w:val="center"/>
              <w:rPr>
                <w:sz w:val="20"/>
                <w:szCs w:val="20"/>
              </w:rPr>
            </w:pPr>
            <w:r w:rsidRPr="003D2A5B">
              <w:rPr>
                <w:sz w:val="20"/>
                <w:szCs w:val="20"/>
              </w:rPr>
              <w:t>£9,750</w:t>
            </w:r>
          </w:p>
        </w:tc>
        <w:tc>
          <w:tcPr>
            <w:tcW w:w="3578" w:type="dxa"/>
            <w:shd w:val="clear" w:color="auto" w:fill="auto"/>
          </w:tcPr>
          <w:p w14:paraId="2E493047" w14:textId="77777777" w:rsidR="00D47A7C" w:rsidRPr="003D2A5B" w:rsidRDefault="00F61DD5" w:rsidP="00D47A7C">
            <w:pPr>
              <w:pStyle w:val="ListParagraph"/>
              <w:numPr>
                <w:ilvl w:val="0"/>
                <w:numId w:val="8"/>
              </w:numPr>
              <w:rPr>
                <w:sz w:val="20"/>
                <w:szCs w:val="20"/>
              </w:rPr>
            </w:pPr>
            <w:r w:rsidRPr="003D2A5B">
              <w:rPr>
                <w:sz w:val="20"/>
                <w:szCs w:val="20"/>
              </w:rPr>
              <w:t>Improve communication skills for vulnerable pupils</w:t>
            </w:r>
          </w:p>
          <w:p w14:paraId="2FC58461" w14:textId="3C4D1FBD" w:rsidR="00F61DD5" w:rsidRPr="003D2A5B" w:rsidRDefault="00F61DD5" w:rsidP="00D47A7C">
            <w:pPr>
              <w:pStyle w:val="ListParagraph"/>
              <w:numPr>
                <w:ilvl w:val="0"/>
                <w:numId w:val="8"/>
              </w:numPr>
              <w:rPr>
                <w:sz w:val="20"/>
                <w:szCs w:val="20"/>
              </w:rPr>
            </w:pPr>
            <w:r w:rsidRPr="003D2A5B">
              <w:rPr>
                <w:sz w:val="20"/>
                <w:szCs w:val="20"/>
              </w:rPr>
              <w:t>Gaps in SLCN identified and closed</w:t>
            </w:r>
          </w:p>
        </w:tc>
        <w:tc>
          <w:tcPr>
            <w:tcW w:w="2268" w:type="dxa"/>
            <w:gridSpan w:val="2"/>
            <w:shd w:val="clear" w:color="auto" w:fill="auto"/>
          </w:tcPr>
          <w:p w14:paraId="554BCB4A" w14:textId="218B6016" w:rsidR="00D47A7C" w:rsidRPr="00556031" w:rsidRDefault="00626232" w:rsidP="00D47A7C">
            <w:pPr>
              <w:rPr>
                <w:color w:val="000000" w:themeColor="text1"/>
                <w:sz w:val="20"/>
                <w:szCs w:val="20"/>
              </w:rPr>
            </w:pPr>
            <w:r>
              <w:rPr>
                <w:color w:val="000000" w:themeColor="text1"/>
                <w:sz w:val="20"/>
                <w:szCs w:val="20"/>
              </w:rPr>
              <w:t>All Reception pupils screened to identify those requiring support. Speech plans in place.</w:t>
            </w:r>
          </w:p>
        </w:tc>
      </w:tr>
      <w:tr w:rsidR="00D47A7C" w14:paraId="5DE3BB12" w14:textId="77777777" w:rsidTr="00044E3A">
        <w:tc>
          <w:tcPr>
            <w:tcW w:w="3652" w:type="dxa"/>
            <w:shd w:val="clear" w:color="auto" w:fill="B6DDE8" w:themeFill="accent5" w:themeFillTint="66"/>
          </w:tcPr>
          <w:p w14:paraId="32FCA6DF" w14:textId="0F7C28F2" w:rsidR="00D47A7C" w:rsidRPr="003D2A5B" w:rsidRDefault="00D47A7C" w:rsidP="00D47A7C">
            <w:pPr>
              <w:rPr>
                <w:sz w:val="20"/>
                <w:szCs w:val="20"/>
              </w:rPr>
            </w:pPr>
            <w:r w:rsidRPr="003D2A5B">
              <w:rPr>
                <w:sz w:val="20"/>
                <w:szCs w:val="20"/>
              </w:rPr>
              <w:t>Study Bugs to track and report absence</w:t>
            </w:r>
            <w:r w:rsidR="00F61DD5" w:rsidRPr="003D2A5B">
              <w:rPr>
                <w:sz w:val="20"/>
                <w:szCs w:val="20"/>
              </w:rPr>
              <w:t xml:space="preserve"> and to register children</w:t>
            </w:r>
          </w:p>
        </w:tc>
        <w:tc>
          <w:tcPr>
            <w:tcW w:w="992" w:type="dxa"/>
            <w:shd w:val="clear" w:color="auto" w:fill="auto"/>
          </w:tcPr>
          <w:p w14:paraId="219A910E" w14:textId="2F927D78" w:rsidR="00D47A7C" w:rsidRPr="003D2A5B" w:rsidRDefault="00D47A7C" w:rsidP="00D47A7C">
            <w:pPr>
              <w:jc w:val="center"/>
              <w:rPr>
                <w:sz w:val="20"/>
                <w:szCs w:val="20"/>
              </w:rPr>
            </w:pPr>
            <w:r w:rsidRPr="003D2A5B">
              <w:rPr>
                <w:sz w:val="20"/>
                <w:szCs w:val="20"/>
              </w:rPr>
              <w:t>£3,000</w:t>
            </w:r>
          </w:p>
        </w:tc>
        <w:tc>
          <w:tcPr>
            <w:tcW w:w="3578" w:type="dxa"/>
            <w:shd w:val="clear" w:color="auto" w:fill="auto"/>
          </w:tcPr>
          <w:p w14:paraId="39F47141" w14:textId="77777777" w:rsidR="00D47A7C" w:rsidRPr="003D2A5B" w:rsidRDefault="00F61DD5" w:rsidP="00D47A7C">
            <w:pPr>
              <w:pStyle w:val="ListParagraph"/>
              <w:numPr>
                <w:ilvl w:val="0"/>
                <w:numId w:val="7"/>
              </w:numPr>
              <w:rPr>
                <w:sz w:val="20"/>
                <w:szCs w:val="20"/>
              </w:rPr>
            </w:pPr>
            <w:r w:rsidRPr="003D2A5B">
              <w:rPr>
                <w:sz w:val="20"/>
                <w:szCs w:val="20"/>
              </w:rPr>
              <w:t>Earlier identification of vulnerable pupils</w:t>
            </w:r>
          </w:p>
          <w:p w14:paraId="3F1D0A7E" w14:textId="77777777" w:rsidR="00F61DD5" w:rsidRPr="003D2A5B" w:rsidRDefault="00F61DD5" w:rsidP="00D47A7C">
            <w:pPr>
              <w:pStyle w:val="ListParagraph"/>
              <w:numPr>
                <w:ilvl w:val="0"/>
                <w:numId w:val="7"/>
              </w:numPr>
              <w:rPr>
                <w:sz w:val="20"/>
                <w:szCs w:val="20"/>
              </w:rPr>
            </w:pPr>
            <w:r w:rsidRPr="003D2A5B">
              <w:rPr>
                <w:sz w:val="20"/>
                <w:szCs w:val="20"/>
              </w:rPr>
              <w:t>Attendance targets met (96%)</w:t>
            </w:r>
          </w:p>
          <w:p w14:paraId="4C49B811" w14:textId="77777777" w:rsidR="00F61DD5" w:rsidRPr="003D2A5B" w:rsidRDefault="00F61DD5" w:rsidP="00D47A7C">
            <w:pPr>
              <w:pStyle w:val="ListParagraph"/>
              <w:numPr>
                <w:ilvl w:val="0"/>
                <w:numId w:val="7"/>
              </w:numPr>
              <w:rPr>
                <w:sz w:val="20"/>
                <w:szCs w:val="20"/>
              </w:rPr>
            </w:pPr>
            <w:r w:rsidRPr="003D2A5B">
              <w:rPr>
                <w:sz w:val="20"/>
                <w:szCs w:val="20"/>
              </w:rPr>
              <w:t>Reduced persistent absence</w:t>
            </w:r>
          </w:p>
          <w:p w14:paraId="3372E4FE" w14:textId="1A1B3846" w:rsidR="00F61DD5" w:rsidRPr="003D2A5B" w:rsidRDefault="00F61DD5" w:rsidP="00D47A7C">
            <w:pPr>
              <w:pStyle w:val="ListParagraph"/>
              <w:numPr>
                <w:ilvl w:val="0"/>
                <w:numId w:val="7"/>
              </w:numPr>
              <w:rPr>
                <w:sz w:val="20"/>
                <w:szCs w:val="20"/>
              </w:rPr>
            </w:pPr>
            <w:r w:rsidRPr="003D2A5B">
              <w:rPr>
                <w:sz w:val="20"/>
                <w:szCs w:val="20"/>
              </w:rPr>
              <w:t>Faster registration, leading to more teaching time</w:t>
            </w:r>
          </w:p>
        </w:tc>
        <w:tc>
          <w:tcPr>
            <w:tcW w:w="2268" w:type="dxa"/>
            <w:gridSpan w:val="2"/>
            <w:shd w:val="clear" w:color="auto" w:fill="auto"/>
          </w:tcPr>
          <w:p w14:paraId="59C7B7D1" w14:textId="60A35407" w:rsidR="00D47A7C" w:rsidRPr="00556031" w:rsidRDefault="00626232" w:rsidP="00D47A7C">
            <w:pPr>
              <w:rPr>
                <w:color w:val="000000" w:themeColor="text1"/>
                <w:sz w:val="20"/>
                <w:szCs w:val="20"/>
              </w:rPr>
            </w:pPr>
            <w:r>
              <w:rPr>
                <w:color w:val="000000" w:themeColor="text1"/>
                <w:sz w:val="20"/>
                <w:szCs w:val="20"/>
              </w:rPr>
              <w:t>Studybugs supported tracking of PA.</w:t>
            </w:r>
          </w:p>
        </w:tc>
      </w:tr>
      <w:tr w:rsidR="00D47A7C" w14:paraId="7DADB2CA" w14:textId="77777777" w:rsidTr="00044E3A">
        <w:tc>
          <w:tcPr>
            <w:tcW w:w="3652" w:type="dxa"/>
            <w:shd w:val="clear" w:color="auto" w:fill="B6DDE8" w:themeFill="accent5" w:themeFillTint="66"/>
          </w:tcPr>
          <w:p w14:paraId="1C774923" w14:textId="48D4B08A" w:rsidR="00D47A7C" w:rsidRPr="003D2A5B" w:rsidRDefault="00D47A7C" w:rsidP="00D47A7C">
            <w:pPr>
              <w:rPr>
                <w:sz w:val="20"/>
                <w:szCs w:val="20"/>
              </w:rPr>
            </w:pPr>
            <w:r w:rsidRPr="003D2A5B">
              <w:rPr>
                <w:sz w:val="20"/>
                <w:szCs w:val="20"/>
              </w:rPr>
              <w:t>PiXL diagnostic and therapy tool for identifying and closing gaps through intervention</w:t>
            </w:r>
          </w:p>
        </w:tc>
        <w:tc>
          <w:tcPr>
            <w:tcW w:w="992" w:type="dxa"/>
            <w:shd w:val="clear" w:color="auto" w:fill="auto"/>
          </w:tcPr>
          <w:p w14:paraId="273D8461" w14:textId="22A0C4CC" w:rsidR="00D47A7C" w:rsidRPr="003D2A5B" w:rsidRDefault="00D47A7C" w:rsidP="00D47A7C">
            <w:pPr>
              <w:jc w:val="center"/>
              <w:rPr>
                <w:sz w:val="20"/>
                <w:szCs w:val="20"/>
              </w:rPr>
            </w:pPr>
            <w:r w:rsidRPr="003D2A5B">
              <w:rPr>
                <w:sz w:val="20"/>
                <w:szCs w:val="20"/>
              </w:rPr>
              <w:t>£3, 300</w:t>
            </w:r>
          </w:p>
        </w:tc>
        <w:tc>
          <w:tcPr>
            <w:tcW w:w="3578" w:type="dxa"/>
            <w:shd w:val="clear" w:color="auto" w:fill="auto"/>
          </w:tcPr>
          <w:p w14:paraId="04C283BF" w14:textId="77777777" w:rsidR="00D47A7C" w:rsidRPr="003D2A5B" w:rsidRDefault="00F61DD5" w:rsidP="00D47A7C">
            <w:pPr>
              <w:pStyle w:val="ListParagraph"/>
              <w:numPr>
                <w:ilvl w:val="0"/>
                <w:numId w:val="6"/>
              </w:numPr>
              <w:rPr>
                <w:sz w:val="20"/>
                <w:szCs w:val="20"/>
              </w:rPr>
            </w:pPr>
            <w:r w:rsidRPr="003D2A5B">
              <w:rPr>
                <w:sz w:val="20"/>
                <w:szCs w:val="20"/>
              </w:rPr>
              <w:t>Easier diagnosis of learning gaps</w:t>
            </w:r>
          </w:p>
          <w:p w14:paraId="105686B9" w14:textId="77777777" w:rsidR="00F61DD5" w:rsidRPr="003D2A5B" w:rsidRDefault="00F61DD5" w:rsidP="00D47A7C">
            <w:pPr>
              <w:pStyle w:val="ListParagraph"/>
              <w:numPr>
                <w:ilvl w:val="0"/>
                <w:numId w:val="6"/>
              </w:numPr>
              <w:rPr>
                <w:sz w:val="20"/>
                <w:szCs w:val="20"/>
              </w:rPr>
            </w:pPr>
            <w:r w:rsidRPr="003D2A5B">
              <w:rPr>
                <w:sz w:val="20"/>
                <w:szCs w:val="20"/>
              </w:rPr>
              <w:t>Therapies meet pupil needs</w:t>
            </w:r>
          </w:p>
          <w:p w14:paraId="1752C639" w14:textId="77777777" w:rsidR="00F61DD5" w:rsidRPr="003D2A5B" w:rsidRDefault="00F61DD5" w:rsidP="00D47A7C">
            <w:pPr>
              <w:pStyle w:val="ListParagraph"/>
              <w:numPr>
                <w:ilvl w:val="0"/>
                <w:numId w:val="6"/>
              </w:numPr>
              <w:rPr>
                <w:sz w:val="20"/>
                <w:szCs w:val="20"/>
              </w:rPr>
            </w:pPr>
            <w:r w:rsidRPr="003D2A5B">
              <w:rPr>
                <w:sz w:val="20"/>
                <w:szCs w:val="20"/>
              </w:rPr>
              <w:t>Close gap in attainment between PP and non-PP</w:t>
            </w:r>
          </w:p>
          <w:p w14:paraId="7C94DD8A" w14:textId="77777777" w:rsidR="00F61DD5" w:rsidRPr="003D2A5B" w:rsidRDefault="00F61DD5" w:rsidP="00D47A7C">
            <w:pPr>
              <w:pStyle w:val="ListParagraph"/>
              <w:numPr>
                <w:ilvl w:val="0"/>
                <w:numId w:val="6"/>
              </w:numPr>
              <w:rPr>
                <w:sz w:val="20"/>
                <w:szCs w:val="20"/>
              </w:rPr>
            </w:pPr>
            <w:r w:rsidRPr="003D2A5B">
              <w:rPr>
                <w:sz w:val="20"/>
                <w:szCs w:val="20"/>
              </w:rPr>
              <w:t>Increased combined (RWM) for all, especially PP</w:t>
            </w:r>
          </w:p>
          <w:p w14:paraId="6D58FB51" w14:textId="0E1E7BE6" w:rsidR="00F61DD5" w:rsidRPr="003D2A5B" w:rsidRDefault="00F61DD5" w:rsidP="00D47A7C">
            <w:pPr>
              <w:pStyle w:val="ListParagraph"/>
              <w:numPr>
                <w:ilvl w:val="0"/>
                <w:numId w:val="6"/>
              </w:numPr>
              <w:rPr>
                <w:sz w:val="20"/>
                <w:szCs w:val="20"/>
              </w:rPr>
            </w:pPr>
            <w:r w:rsidRPr="003D2A5B">
              <w:rPr>
                <w:sz w:val="20"/>
                <w:szCs w:val="20"/>
              </w:rPr>
              <w:t>Progress for PP at least in line with non-PP pupils</w:t>
            </w:r>
          </w:p>
        </w:tc>
        <w:tc>
          <w:tcPr>
            <w:tcW w:w="2268" w:type="dxa"/>
            <w:gridSpan w:val="2"/>
            <w:shd w:val="clear" w:color="auto" w:fill="auto"/>
          </w:tcPr>
          <w:p w14:paraId="613D4D90" w14:textId="77777777" w:rsidR="00D47A7C" w:rsidRPr="000538A5" w:rsidRDefault="000538A5" w:rsidP="00D47A7C">
            <w:pPr>
              <w:rPr>
                <w:color w:val="000000" w:themeColor="text1"/>
                <w:sz w:val="20"/>
                <w:szCs w:val="20"/>
              </w:rPr>
            </w:pPr>
            <w:r w:rsidRPr="000538A5">
              <w:rPr>
                <w:color w:val="000000" w:themeColor="text1"/>
                <w:sz w:val="20"/>
                <w:szCs w:val="20"/>
              </w:rPr>
              <w:t xml:space="preserve">Assessment data secure and trackable. </w:t>
            </w:r>
          </w:p>
          <w:p w14:paraId="42B50387" w14:textId="43CE2D4B" w:rsidR="000538A5" w:rsidRPr="000538A5" w:rsidRDefault="000538A5" w:rsidP="00D47A7C">
            <w:pPr>
              <w:rPr>
                <w:color w:val="000000" w:themeColor="text1"/>
                <w:sz w:val="20"/>
                <w:szCs w:val="20"/>
              </w:rPr>
            </w:pPr>
            <w:r w:rsidRPr="000538A5">
              <w:rPr>
                <w:color w:val="000000" w:themeColor="text1"/>
                <w:sz w:val="20"/>
                <w:szCs w:val="20"/>
              </w:rPr>
              <w:t xml:space="preserve">Year 6 pupils made accelerated progress, especially in maths. </w:t>
            </w:r>
          </w:p>
          <w:p w14:paraId="57AC8032" w14:textId="53CEF8F9" w:rsidR="000538A5" w:rsidRDefault="000538A5" w:rsidP="00D47A7C">
            <w:pPr>
              <w:rPr>
                <w:color w:val="000000" w:themeColor="text1"/>
                <w:sz w:val="20"/>
                <w:szCs w:val="20"/>
              </w:rPr>
            </w:pPr>
            <w:r w:rsidRPr="000538A5">
              <w:rPr>
                <w:color w:val="000000" w:themeColor="text1"/>
                <w:sz w:val="20"/>
                <w:szCs w:val="20"/>
              </w:rPr>
              <w:t xml:space="preserve">Greater awareness of pupil premium children and their gaps with diagnosis tool. </w:t>
            </w:r>
          </w:p>
          <w:p w14:paraId="463238A1" w14:textId="00B92882" w:rsidR="000538A5" w:rsidRPr="000538A5" w:rsidRDefault="00D27B35" w:rsidP="00D47A7C">
            <w:pPr>
              <w:rPr>
                <w:color w:val="000000" w:themeColor="text1"/>
                <w:sz w:val="20"/>
                <w:szCs w:val="20"/>
              </w:rPr>
            </w:pPr>
            <w:r>
              <w:rPr>
                <w:color w:val="000000" w:themeColor="text1"/>
                <w:sz w:val="20"/>
                <w:szCs w:val="20"/>
              </w:rPr>
              <w:t>16</w:t>
            </w:r>
            <w:r w:rsidR="000538A5">
              <w:rPr>
                <w:color w:val="000000" w:themeColor="text1"/>
                <w:sz w:val="20"/>
                <w:szCs w:val="20"/>
              </w:rPr>
              <w:t xml:space="preserve">% of year 6 pupils made accelerated progress in reading from </w:t>
            </w:r>
            <w:r w:rsidR="000538A5">
              <w:rPr>
                <w:color w:val="000000" w:themeColor="text1"/>
                <w:sz w:val="20"/>
                <w:szCs w:val="20"/>
              </w:rPr>
              <w:lastRenderedPageBreak/>
              <w:t>Autumn to Sp</w:t>
            </w:r>
            <w:r>
              <w:rPr>
                <w:color w:val="000000" w:themeColor="text1"/>
                <w:sz w:val="20"/>
                <w:szCs w:val="20"/>
              </w:rPr>
              <w:t>ring and 27% in maths.</w:t>
            </w:r>
          </w:p>
          <w:p w14:paraId="09AE4585" w14:textId="42CCB7D3" w:rsidR="000538A5" w:rsidRPr="000538A5" w:rsidRDefault="000538A5" w:rsidP="00D47A7C">
            <w:pPr>
              <w:rPr>
                <w:color w:val="000000" w:themeColor="text1"/>
                <w:sz w:val="20"/>
                <w:szCs w:val="20"/>
              </w:rPr>
            </w:pPr>
          </w:p>
        </w:tc>
      </w:tr>
      <w:tr w:rsidR="00D47A7C" w14:paraId="62974DC0" w14:textId="77777777" w:rsidTr="00044E3A">
        <w:tc>
          <w:tcPr>
            <w:tcW w:w="3652" w:type="dxa"/>
            <w:shd w:val="clear" w:color="auto" w:fill="B6DDE8" w:themeFill="accent5" w:themeFillTint="66"/>
          </w:tcPr>
          <w:p w14:paraId="417FC736" w14:textId="643DAE94" w:rsidR="00D47A7C" w:rsidRPr="003D2A5B" w:rsidRDefault="00D47A7C" w:rsidP="00D47A7C">
            <w:pPr>
              <w:rPr>
                <w:sz w:val="20"/>
                <w:szCs w:val="20"/>
              </w:rPr>
            </w:pPr>
            <w:r w:rsidRPr="003D2A5B">
              <w:rPr>
                <w:sz w:val="20"/>
                <w:szCs w:val="20"/>
              </w:rPr>
              <w:lastRenderedPageBreak/>
              <w:t>Tuition – booster groups  (Easter school)</w:t>
            </w:r>
          </w:p>
        </w:tc>
        <w:tc>
          <w:tcPr>
            <w:tcW w:w="992" w:type="dxa"/>
            <w:shd w:val="clear" w:color="auto" w:fill="auto"/>
          </w:tcPr>
          <w:p w14:paraId="47C71CCF" w14:textId="5416347E" w:rsidR="00D47A7C" w:rsidRPr="003D2A5B" w:rsidRDefault="00D47A7C" w:rsidP="00D47A7C">
            <w:pPr>
              <w:jc w:val="center"/>
              <w:rPr>
                <w:sz w:val="20"/>
                <w:szCs w:val="20"/>
              </w:rPr>
            </w:pPr>
            <w:r w:rsidRPr="003D2A5B">
              <w:rPr>
                <w:sz w:val="20"/>
                <w:szCs w:val="20"/>
              </w:rPr>
              <w:t>£5,000</w:t>
            </w:r>
          </w:p>
        </w:tc>
        <w:tc>
          <w:tcPr>
            <w:tcW w:w="3578" w:type="dxa"/>
            <w:shd w:val="clear" w:color="auto" w:fill="auto"/>
          </w:tcPr>
          <w:p w14:paraId="3DA96B63" w14:textId="0206DF21" w:rsidR="00D47A7C" w:rsidRPr="003D2A5B" w:rsidRDefault="00F61DD5" w:rsidP="00D47A7C">
            <w:pPr>
              <w:pStyle w:val="ListParagraph"/>
              <w:numPr>
                <w:ilvl w:val="0"/>
                <w:numId w:val="5"/>
              </w:numPr>
              <w:rPr>
                <w:sz w:val="20"/>
                <w:szCs w:val="20"/>
              </w:rPr>
            </w:pPr>
            <w:r w:rsidRPr="003D2A5B">
              <w:rPr>
                <w:sz w:val="20"/>
                <w:szCs w:val="20"/>
              </w:rPr>
              <w:t>Close identified gaps so that PP pupils attain better than last year and that progress is above 0 and at least in line with non-PP</w:t>
            </w:r>
          </w:p>
        </w:tc>
        <w:tc>
          <w:tcPr>
            <w:tcW w:w="2268" w:type="dxa"/>
            <w:gridSpan w:val="2"/>
            <w:shd w:val="clear" w:color="auto" w:fill="auto"/>
          </w:tcPr>
          <w:p w14:paraId="27898A9C" w14:textId="6F6D408E" w:rsidR="000538A5" w:rsidRPr="000538A5" w:rsidRDefault="000538A5" w:rsidP="00D47A7C">
            <w:pPr>
              <w:rPr>
                <w:color w:val="000000" w:themeColor="text1"/>
                <w:sz w:val="20"/>
                <w:szCs w:val="20"/>
              </w:rPr>
            </w:pPr>
            <w:r w:rsidRPr="000538A5">
              <w:rPr>
                <w:color w:val="000000" w:themeColor="text1"/>
                <w:sz w:val="20"/>
                <w:szCs w:val="20"/>
              </w:rPr>
              <w:t>U</w:t>
            </w:r>
            <w:r>
              <w:rPr>
                <w:color w:val="000000" w:themeColor="text1"/>
                <w:sz w:val="20"/>
                <w:szCs w:val="20"/>
              </w:rPr>
              <w:t>n-</w:t>
            </w:r>
            <w:r w:rsidRPr="000538A5">
              <w:rPr>
                <w:color w:val="000000" w:themeColor="text1"/>
                <w:sz w:val="20"/>
                <w:szCs w:val="20"/>
              </w:rPr>
              <w:t xml:space="preserve"> achievable due to covid-19.</w:t>
            </w:r>
          </w:p>
        </w:tc>
      </w:tr>
      <w:tr w:rsidR="00D47A7C" w14:paraId="38C551B7" w14:textId="77777777" w:rsidTr="00044E3A">
        <w:tc>
          <w:tcPr>
            <w:tcW w:w="3652" w:type="dxa"/>
            <w:shd w:val="clear" w:color="auto" w:fill="B6DDE8" w:themeFill="accent5" w:themeFillTint="66"/>
          </w:tcPr>
          <w:p w14:paraId="618E98BD" w14:textId="12F8AB70" w:rsidR="00D47A7C" w:rsidRPr="003D2A5B" w:rsidRDefault="00D47A7C" w:rsidP="00D47A7C">
            <w:pPr>
              <w:rPr>
                <w:sz w:val="20"/>
                <w:szCs w:val="20"/>
              </w:rPr>
            </w:pPr>
            <w:r w:rsidRPr="003D2A5B">
              <w:rPr>
                <w:sz w:val="20"/>
                <w:szCs w:val="20"/>
              </w:rPr>
              <w:t>Early morning study club boosters</w:t>
            </w:r>
            <w:r w:rsidR="00F61DD5" w:rsidRPr="003D2A5B">
              <w:rPr>
                <w:sz w:val="20"/>
                <w:szCs w:val="20"/>
              </w:rPr>
              <w:t xml:space="preserve"> (2 early morning sessions a day across year 2 and 6)</w:t>
            </w:r>
          </w:p>
        </w:tc>
        <w:tc>
          <w:tcPr>
            <w:tcW w:w="992" w:type="dxa"/>
            <w:shd w:val="clear" w:color="auto" w:fill="auto"/>
          </w:tcPr>
          <w:p w14:paraId="36866A45" w14:textId="24BE5D43" w:rsidR="00D47A7C" w:rsidRPr="003D2A5B" w:rsidRDefault="00797651" w:rsidP="00D47A7C">
            <w:pPr>
              <w:jc w:val="center"/>
              <w:rPr>
                <w:sz w:val="20"/>
                <w:szCs w:val="20"/>
                <w:highlight w:val="yellow"/>
              </w:rPr>
            </w:pPr>
            <w:r w:rsidRPr="003D2A5B">
              <w:rPr>
                <w:sz w:val="20"/>
                <w:szCs w:val="20"/>
              </w:rPr>
              <w:t>£3000</w:t>
            </w:r>
          </w:p>
        </w:tc>
        <w:tc>
          <w:tcPr>
            <w:tcW w:w="3578" w:type="dxa"/>
            <w:shd w:val="clear" w:color="auto" w:fill="auto"/>
          </w:tcPr>
          <w:p w14:paraId="5DA7AA36" w14:textId="0B82FFC1" w:rsidR="00D47A7C" w:rsidRPr="003D2A5B" w:rsidRDefault="00F61DD5" w:rsidP="00D47A7C">
            <w:pPr>
              <w:pStyle w:val="ListParagraph"/>
              <w:numPr>
                <w:ilvl w:val="0"/>
                <w:numId w:val="4"/>
              </w:numPr>
              <w:rPr>
                <w:sz w:val="20"/>
                <w:szCs w:val="20"/>
              </w:rPr>
            </w:pPr>
            <w:r w:rsidRPr="003D2A5B">
              <w:rPr>
                <w:sz w:val="20"/>
                <w:szCs w:val="20"/>
              </w:rPr>
              <w:t>Close identified gaps so that PP pupils attain better than last year and that progress is above 0 and at least in line with non-PP</w:t>
            </w:r>
          </w:p>
        </w:tc>
        <w:tc>
          <w:tcPr>
            <w:tcW w:w="2268" w:type="dxa"/>
            <w:gridSpan w:val="2"/>
            <w:shd w:val="clear" w:color="auto" w:fill="auto"/>
          </w:tcPr>
          <w:p w14:paraId="16CA5AC7" w14:textId="77777777" w:rsidR="00D47A7C" w:rsidRDefault="00D27B35" w:rsidP="00D47A7C">
            <w:pPr>
              <w:rPr>
                <w:color w:val="000000" w:themeColor="text1"/>
                <w:sz w:val="20"/>
                <w:szCs w:val="20"/>
              </w:rPr>
            </w:pPr>
            <w:r>
              <w:rPr>
                <w:color w:val="000000" w:themeColor="text1"/>
                <w:sz w:val="20"/>
                <w:szCs w:val="20"/>
              </w:rPr>
              <w:t xml:space="preserve">Great impact in year 6 with good progress made and increased projected outcomes at expected and depth for all subjects. </w:t>
            </w:r>
          </w:p>
          <w:p w14:paraId="1BEF7409" w14:textId="0F39DC1C" w:rsidR="00D27B35" w:rsidRDefault="00D27B35" w:rsidP="00D47A7C">
            <w:pPr>
              <w:rPr>
                <w:color w:val="000000" w:themeColor="text1"/>
                <w:sz w:val="20"/>
                <w:szCs w:val="20"/>
              </w:rPr>
            </w:pPr>
            <w:r>
              <w:rPr>
                <w:color w:val="000000" w:themeColor="text1"/>
                <w:sz w:val="20"/>
                <w:szCs w:val="20"/>
              </w:rPr>
              <w:t>Projected progress for PP would have been above average.  Increase in PP attainment.</w:t>
            </w:r>
          </w:p>
          <w:p w14:paraId="04AD52DC" w14:textId="21E2FFA6" w:rsidR="00D27B35" w:rsidRDefault="00D27B35" w:rsidP="00D47A7C">
            <w:pPr>
              <w:rPr>
                <w:color w:val="000000" w:themeColor="text1"/>
                <w:sz w:val="20"/>
                <w:szCs w:val="20"/>
              </w:rPr>
            </w:pPr>
            <w:r>
              <w:rPr>
                <w:color w:val="000000" w:themeColor="text1"/>
                <w:sz w:val="20"/>
                <w:szCs w:val="20"/>
              </w:rPr>
              <w:t>31% of PP pupils in year 2 made better than expected progress in maths, 31% of PP pupils in reading and 11% in reading from Autumn to spring.</w:t>
            </w:r>
          </w:p>
          <w:p w14:paraId="0439CEF5" w14:textId="12352595" w:rsidR="00D27B35" w:rsidRPr="00556031" w:rsidRDefault="00D27B35" w:rsidP="00D47A7C">
            <w:pPr>
              <w:rPr>
                <w:color w:val="000000" w:themeColor="text1"/>
                <w:sz w:val="20"/>
                <w:szCs w:val="20"/>
              </w:rPr>
            </w:pPr>
          </w:p>
        </w:tc>
      </w:tr>
      <w:tr w:rsidR="00D47A7C" w14:paraId="2FE032B4" w14:textId="77777777" w:rsidTr="00044E3A">
        <w:tc>
          <w:tcPr>
            <w:tcW w:w="3652" w:type="dxa"/>
            <w:shd w:val="clear" w:color="auto" w:fill="B6DDE8" w:themeFill="accent5" w:themeFillTint="66"/>
          </w:tcPr>
          <w:p w14:paraId="1F571F4E" w14:textId="65BF6384" w:rsidR="00D47A7C" w:rsidRPr="003D2A5B" w:rsidRDefault="00797651" w:rsidP="00D47A7C">
            <w:pPr>
              <w:rPr>
                <w:sz w:val="20"/>
                <w:szCs w:val="20"/>
              </w:rPr>
            </w:pPr>
            <w:r w:rsidRPr="003D2A5B">
              <w:rPr>
                <w:sz w:val="20"/>
                <w:szCs w:val="20"/>
              </w:rPr>
              <w:t>Books for home reading</w:t>
            </w:r>
          </w:p>
        </w:tc>
        <w:tc>
          <w:tcPr>
            <w:tcW w:w="992" w:type="dxa"/>
            <w:shd w:val="clear" w:color="auto" w:fill="auto"/>
          </w:tcPr>
          <w:p w14:paraId="6C58A4A3" w14:textId="1A1A1717" w:rsidR="00D47A7C" w:rsidRPr="003D2A5B" w:rsidRDefault="007C558E" w:rsidP="00D47A7C">
            <w:pPr>
              <w:jc w:val="center"/>
              <w:rPr>
                <w:sz w:val="20"/>
                <w:szCs w:val="20"/>
              </w:rPr>
            </w:pPr>
            <w:r w:rsidRPr="003D2A5B">
              <w:rPr>
                <w:sz w:val="20"/>
                <w:szCs w:val="20"/>
              </w:rPr>
              <w:t>£10</w:t>
            </w:r>
            <w:r w:rsidR="00797651" w:rsidRPr="003D2A5B">
              <w:rPr>
                <w:sz w:val="20"/>
                <w:szCs w:val="20"/>
              </w:rPr>
              <w:t>,000</w:t>
            </w:r>
          </w:p>
        </w:tc>
        <w:tc>
          <w:tcPr>
            <w:tcW w:w="3578" w:type="dxa"/>
            <w:shd w:val="clear" w:color="auto" w:fill="auto"/>
          </w:tcPr>
          <w:p w14:paraId="5BC02DA0" w14:textId="77777777" w:rsidR="00D47A7C" w:rsidRPr="003D2A5B" w:rsidRDefault="00F61DD5" w:rsidP="00D47A7C">
            <w:pPr>
              <w:pStyle w:val="ListParagraph"/>
              <w:numPr>
                <w:ilvl w:val="0"/>
                <w:numId w:val="3"/>
              </w:numPr>
              <w:rPr>
                <w:sz w:val="20"/>
                <w:szCs w:val="20"/>
              </w:rPr>
            </w:pPr>
            <w:r w:rsidRPr="003D2A5B">
              <w:rPr>
                <w:sz w:val="20"/>
                <w:szCs w:val="20"/>
              </w:rPr>
              <w:t>PP pupils attain better at KS1 and make at least same progress as non-PP in KS2</w:t>
            </w:r>
          </w:p>
          <w:p w14:paraId="61CD176E" w14:textId="3CF58A98" w:rsidR="00F61DD5" w:rsidRPr="003D2A5B" w:rsidRDefault="00F61DD5" w:rsidP="00D47A7C">
            <w:pPr>
              <w:pStyle w:val="ListParagraph"/>
              <w:numPr>
                <w:ilvl w:val="0"/>
                <w:numId w:val="3"/>
              </w:numPr>
              <w:rPr>
                <w:sz w:val="20"/>
                <w:szCs w:val="20"/>
              </w:rPr>
            </w:pPr>
            <w:r w:rsidRPr="003D2A5B">
              <w:rPr>
                <w:sz w:val="20"/>
                <w:szCs w:val="20"/>
              </w:rPr>
              <w:t>Increased reading at home</w:t>
            </w:r>
          </w:p>
        </w:tc>
        <w:tc>
          <w:tcPr>
            <w:tcW w:w="2268" w:type="dxa"/>
            <w:gridSpan w:val="2"/>
            <w:shd w:val="clear" w:color="auto" w:fill="auto"/>
          </w:tcPr>
          <w:p w14:paraId="1408C7A8" w14:textId="1F578865" w:rsidR="00D47A7C" w:rsidRPr="00556031" w:rsidRDefault="00D27B35" w:rsidP="00D47A7C">
            <w:pPr>
              <w:rPr>
                <w:color w:val="000000" w:themeColor="text1"/>
                <w:sz w:val="20"/>
                <w:szCs w:val="20"/>
              </w:rPr>
            </w:pPr>
            <w:r>
              <w:rPr>
                <w:color w:val="000000" w:themeColor="text1"/>
                <w:sz w:val="20"/>
                <w:szCs w:val="20"/>
              </w:rPr>
              <w:t xml:space="preserve">Pupils across the school all have access to reading books now.  </w:t>
            </w:r>
          </w:p>
        </w:tc>
      </w:tr>
      <w:tr w:rsidR="00D47A7C" w14:paraId="0CEB70CC" w14:textId="77777777" w:rsidTr="00044E3A">
        <w:tc>
          <w:tcPr>
            <w:tcW w:w="3652" w:type="dxa"/>
            <w:shd w:val="clear" w:color="auto" w:fill="B6DDE8" w:themeFill="accent5" w:themeFillTint="66"/>
          </w:tcPr>
          <w:p w14:paraId="475B6573" w14:textId="4F43F672" w:rsidR="00D47A7C" w:rsidRPr="003D2A5B" w:rsidRDefault="00797651" w:rsidP="00F61DD5">
            <w:pPr>
              <w:rPr>
                <w:sz w:val="20"/>
                <w:szCs w:val="20"/>
              </w:rPr>
            </w:pPr>
            <w:r w:rsidRPr="003D2A5B">
              <w:rPr>
                <w:sz w:val="20"/>
                <w:szCs w:val="20"/>
              </w:rPr>
              <w:t xml:space="preserve">Education </w:t>
            </w:r>
            <w:r w:rsidR="00F61DD5" w:rsidRPr="003D2A5B">
              <w:rPr>
                <w:sz w:val="20"/>
                <w:szCs w:val="20"/>
              </w:rPr>
              <w:t xml:space="preserve">enrichment opportunities and </w:t>
            </w:r>
            <w:r w:rsidRPr="003D2A5B">
              <w:rPr>
                <w:sz w:val="20"/>
                <w:szCs w:val="20"/>
              </w:rPr>
              <w:t xml:space="preserve"> materials</w:t>
            </w:r>
            <w:r w:rsidR="007C558E" w:rsidRPr="003D2A5B">
              <w:rPr>
                <w:sz w:val="20"/>
                <w:szCs w:val="20"/>
              </w:rPr>
              <w:t xml:space="preserve"> to enhance learning experiences </w:t>
            </w:r>
          </w:p>
        </w:tc>
        <w:tc>
          <w:tcPr>
            <w:tcW w:w="992" w:type="dxa"/>
            <w:shd w:val="clear" w:color="auto" w:fill="auto"/>
          </w:tcPr>
          <w:p w14:paraId="4569E541" w14:textId="2184329C" w:rsidR="00D47A7C" w:rsidRPr="003D2A5B" w:rsidRDefault="007C558E" w:rsidP="00D47A7C">
            <w:pPr>
              <w:jc w:val="center"/>
              <w:rPr>
                <w:sz w:val="20"/>
                <w:szCs w:val="20"/>
              </w:rPr>
            </w:pPr>
            <w:r w:rsidRPr="003D2A5B">
              <w:rPr>
                <w:sz w:val="20"/>
                <w:szCs w:val="20"/>
              </w:rPr>
              <w:t>£2325</w:t>
            </w:r>
          </w:p>
        </w:tc>
        <w:tc>
          <w:tcPr>
            <w:tcW w:w="3578" w:type="dxa"/>
            <w:shd w:val="clear" w:color="auto" w:fill="auto"/>
          </w:tcPr>
          <w:p w14:paraId="25290583" w14:textId="77777777" w:rsidR="00D47A7C" w:rsidRPr="003D2A5B" w:rsidRDefault="00F61DD5" w:rsidP="00D47A7C">
            <w:pPr>
              <w:pStyle w:val="ListParagraph"/>
              <w:numPr>
                <w:ilvl w:val="0"/>
                <w:numId w:val="2"/>
              </w:numPr>
              <w:rPr>
                <w:sz w:val="20"/>
                <w:szCs w:val="20"/>
              </w:rPr>
            </w:pPr>
            <w:r w:rsidRPr="003D2A5B">
              <w:rPr>
                <w:sz w:val="20"/>
                <w:szCs w:val="20"/>
              </w:rPr>
              <w:t>Adding to cultural capital for PP pupils</w:t>
            </w:r>
          </w:p>
          <w:p w14:paraId="59349465" w14:textId="77777777" w:rsidR="00F61DD5" w:rsidRPr="003D2A5B" w:rsidRDefault="00F61DD5" w:rsidP="00D47A7C">
            <w:pPr>
              <w:pStyle w:val="ListParagraph"/>
              <w:numPr>
                <w:ilvl w:val="0"/>
                <w:numId w:val="2"/>
              </w:numPr>
              <w:rPr>
                <w:sz w:val="20"/>
                <w:szCs w:val="20"/>
              </w:rPr>
            </w:pPr>
            <w:r w:rsidRPr="003D2A5B">
              <w:rPr>
                <w:sz w:val="20"/>
                <w:szCs w:val="20"/>
              </w:rPr>
              <w:t>Improved attitude to learning</w:t>
            </w:r>
          </w:p>
          <w:p w14:paraId="2DA1B5B0" w14:textId="03809841" w:rsidR="00F61DD5" w:rsidRPr="003D2A5B" w:rsidRDefault="00F61DD5" w:rsidP="00D47A7C">
            <w:pPr>
              <w:pStyle w:val="ListParagraph"/>
              <w:numPr>
                <w:ilvl w:val="0"/>
                <w:numId w:val="2"/>
              </w:numPr>
              <w:rPr>
                <w:sz w:val="20"/>
                <w:szCs w:val="20"/>
              </w:rPr>
            </w:pPr>
            <w:r w:rsidRPr="003D2A5B">
              <w:rPr>
                <w:sz w:val="20"/>
                <w:szCs w:val="20"/>
              </w:rPr>
              <w:t>Increased attendance</w:t>
            </w:r>
          </w:p>
        </w:tc>
        <w:tc>
          <w:tcPr>
            <w:tcW w:w="2268" w:type="dxa"/>
            <w:gridSpan w:val="2"/>
            <w:shd w:val="clear" w:color="auto" w:fill="auto"/>
          </w:tcPr>
          <w:p w14:paraId="7A58CF7C" w14:textId="77777777" w:rsidR="00D47A7C" w:rsidRDefault="00D27B35" w:rsidP="00D47A7C">
            <w:pPr>
              <w:rPr>
                <w:color w:val="000000" w:themeColor="text1"/>
                <w:sz w:val="20"/>
                <w:szCs w:val="20"/>
              </w:rPr>
            </w:pPr>
            <w:r>
              <w:rPr>
                <w:color w:val="000000" w:themeColor="text1"/>
                <w:sz w:val="20"/>
                <w:szCs w:val="20"/>
              </w:rPr>
              <w:t xml:space="preserve">Engaging launch lessons used to ignite learning.  </w:t>
            </w:r>
          </w:p>
          <w:p w14:paraId="53D7CE1B" w14:textId="77777777" w:rsidR="00D27B35" w:rsidRDefault="00D27B35" w:rsidP="00D47A7C">
            <w:pPr>
              <w:rPr>
                <w:color w:val="000000" w:themeColor="text1"/>
                <w:sz w:val="20"/>
                <w:szCs w:val="20"/>
              </w:rPr>
            </w:pPr>
            <w:r>
              <w:rPr>
                <w:color w:val="000000" w:themeColor="text1"/>
                <w:sz w:val="20"/>
                <w:szCs w:val="20"/>
              </w:rPr>
              <w:t xml:space="preserve">Pupils keen to talk about topics and learning as well as the learning experiences provided. </w:t>
            </w:r>
          </w:p>
          <w:p w14:paraId="2FC3FDC6" w14:textId="1F22E660" w:rsidR="00D27B35" w:rsidRPr="00556031" w:rsidRDefault="00D27B35" w:rsidP="00D47A7C">
            <w:pPr>
              <w:rPr>
                <w:color w:val="000000" w:themeColor="text1"/>
                <w:sz w:val="20"/>
                <w:szCs w:val="20"/>
              </w:rPr>
            </w:pPr>
            <w:r>
              <w:rPr>
                <w:color w:val="000000" w:themeColor="text1"/>
                <w:sz w:val="20"/>
                <w:szCs w:val="20"/>
              </w:rPr>
              <w:t xml:space="preserve">Attendance in line with national.  </w:t>
            </w:r>
          </w:p>
        </w:tc>
      </w:tr>
    </w:tbl>
    <w:p w14:paraId="3F52E9BF" w14:textId="77777777" w:rsidR="000B7BDC" w:rsidRDefault="000B7BDC"/>
    <w:p w14:paraId="6ADE2198" w14:textId="77777777" w:rsidR="00E54140" w:rsidRDefault="00E54140"/>
    <w:tbl>
      <w:tblPr>
        <w:tblStyle w:val="TableGrid"/>
        <w:tblpPr w:leftFromText="180" w:rightFromText="180" w:vertAnchor="text" w:horzAnchor="margin" w:tblpXSpec="center" w:tblpY="199"/>
        <w:tblW w:w="0" w:type="auto"/>
        <w:tblLook w:val="04A0" w:firstRow="1" w:lastRow="0" w:firstColumn="1" w:lastColumn="0" w:noHBand="0" w:noVBand="1"/>
      </w:tblPr>
      <w:tblGrid>
        <w:gridCol w:w="5665"/>
        <w:gridCol w:w="2268"/>
        <w:gridCol w:w="2523"/>
      </w:tblGrid>
      <w:tr w:rsidR="00662944" w14:paraId="4C31B791" w14:textId="15C5F4C3" w:rsidTr="007857CB">
        <w:tc>
          <w:tcPr>
            <w:tcW w:w="10456" w:type="dxa"/>
            <w:gridSpan w:val="3"/>
            <w:shd w:val="clear" w:color="auto" w:fill="B8CCE4" w:themeFill="accent1" w:themeFillTint="66"/>
          </w:tcPr>
          <w:p w14:paraId="664B9209" w14:textId="4B71A0E7" w:rsidR="00662944" w:rsidRDefault="00662944" w:rsidP="006E7686">
            <w:r>
              <w:t xml:space="preserve">Performance of all pupils </w:t>
            </w:r>
          </w:p>
        </w:tc>
      </w:tr>
      <w:tr w:rsidR="00D27B35" w14:paraId="297BBA3B" w14:textId="7C2E621F" w:rsidTr="003D2A5B">
        <w:tc>
          <w:tcPr>
            <w:tcW w:w="5665" w:type="dxa"/>
            <w:shd w:val="clear" w:color="auto" w:fill="auto"/>
          </w:tcPr>
          <w:p w14:paraId="2A5C1BBB" w14:textId="77777777" w:rsidR="00D27B35" w:rsidRDefault="00D27B35" w:rsidP="00D27B35"/>
        </w:tc>
        <w:tc>
          <w:tcPr>
            <w:tcW w:w="2268" w:type="dxa"/>
            <w:shd w:val="clear" w:color="auto" w:fill="auto"/>
          </w:tcPr>
          <w:p w14:paraId="2AA0978C" w14:textId="33899302" w:rsidR="00D27B35" w:rsidRDefault="00D27B35" w:rsidP="00D27B35">
            <w:r>
              <w:t>2018/2019 Outcomes</w:t>
            </w:r>
          </w:p>
        </w:tc>
        <w:tc>
          <w:tcPr>
            <w:tcW w:w="2523" w:type="dxa"/>
            <w:shd w:val="clear" w:color="auto" w:fill="auto"/>
          </w:tcPr>
          <w:p w14:paraId="1A772CF6" w14:textId="16DE7E57" w:rsidR="00D27B35" w:rsidRDefault="00D27B35" w:rsidP="00D27B35">
            <w:r>
              <w:t>2019 predicted Outcomes</w:t>
            </w:r>
          </w:p>
        </w:tc>
      </w:tr>
      <w:tr w:rsidR="00D27B35" w14:paraId="708E99E6" w14:textId="690489D8" w:rsidTr="003D2A5B">
        <w:tc>
          <w:tcPr>
            <w:tcW w:w="5665" w:type="dxa"/>
            <w:shd w:val="clear" w:color="auto" w:fill="auto"/>
          </w:tcPr>
          <w:p w14:paraId="0AA436B0" w14:textId="77777777" w:rsidR="00D27B35" w:rsidRDefault="00D27B35" w:rsidP="00D27B35">
            <w:r>
              <w:t>% of pupils in EYFS achieving GLD</w:t>
            </w:r>
          </w:p>
        </w:tc>
        <w:tc>
          <w:tcPr>
            <w:tcW w:w="2268" w:type="dxa"/>
            <w:shd w:val="clear" w:color="auto" w:fill="auto"/>
          </w:tcPr>
          <w:p w14:paraId="58D2BBD4" w14:textId="3FD9877F" w:rsidR="00D27B35" w:rsidRDefault="00D27B35" w:rsidP="00D27B35">
            <w:r>
              <w:t>81%</w:t>
            </w:r>
          </w:p>
        </w:tc>
        <w:tc>
          <w:tcPr>
            <w:tcW w:w="2523" w:type="dxa"/>
            <w:shd w:val="clear" w:color="auto" w:fill="auto"/>
          </w:tcPr>
          <w:p w14:paraId="6E291150" w14:textId="4AB7988D" w:rsidR="00D27B35" w:rsidRDefault="00BC0131" w:rsidP="00D27B35">
            <w:r>
              <w:t>53%</w:t>
            </w:r>
          </w:p>
        </w:tc>
      </w:tr>
      <w:tr w:rsidR="00D27B35" w14:paraId="6F293AF4" w14:textId="388A0ED8" w:rsidTr="003D2A5B">
        <w:tc>
          <w:tcPr>
            <w:tcW w:w="5665" w:type="dxa"/>
            <w:shd w:val="clear" w:color="auto" w:fill="auto"/>
          </w:tcPr>
          <w:p w14:paraId="29B30EDB" w14:textId="77777777" w:rsidR="00D27B35" w:rsidRDefault="00D27B35" w:rsidP="00D27B35">
            <w:r>
              <w:t>% of pupils achieving Year 1 phonics pass</w:t>
            </w:r>
          </w:p>
        </w:tc>
        <w:tc>
          <w:tcPr>
            <w:tcW w:w="2268" w:type="dxa"/>
            <w:shd w:val="clear" w:color="auto" w:fill="auto"/>
          </w:tcPr>
          <w:p w14:paraId="554DBC9A" w14:textId="172FEFD3" w:rsidR="00D27B35" w:rsidRDefault="00D27B35" w:rsidP="00D27B35">
            <w:r>
              <w:t>80%</w:t>
            </w:r>
          </w:p>
        </w:tc>
        <w:tc>
          <w:tcPr>
            <w:tcW w:w="2523" w:type="dxa"/>
            <w:shd w:val="clear" w:color="auto" w:fill="auto"/>
          </w:tcPr>
          <w:p w14:paraId="236833C9" w14:textId="1B1CFA84" w:rsidR="00D27B35" w:rsidRDefault="00D27B35" w:rsidP="00D27B35"/>
        </w:tc>
      </w:tr>
      <w:tr w:rsidR="00D27B35" w14:paraId="2A5BC153" w14:textId="6F976C26" w:rsidTr="003D2A5B">
        <w:tc>
          <w:tcPr>
            <w:tcW w:w="5665" w:type="dxa"/>
            <w:shd w:val="clear" w:color="auto" w:fill="auto"/>
          </w:tcPr>
          <w:p w14:paraId="1BC7A59E" w14:textId="77777777" w:rsidR="00D27B35" w:rsidRDefault="00D27B35" w:rsidP="00D27B35">
            <w:r>
              <w:t>% of pupils in Year 2 who passed phonics</w:t>
            </w:r>
          </w:p>
        </w:tc>
        <w:tc>
          <w:tcPr>
            <w:tcW w:w="2268" w:type="dxa"/>
            <w:shd w:val="clear" w:color="auto" w:fill="auto"/>
          </w:tcPr>
          <w:p w14:paraId="5529655B" w14:textId="25103F94" w:rsidR="00D27B35" w:rsidRDefault="00D27B35" w:rsidP="00D27B35">
            <w:r>
              <w:t>93%</w:t>
            </w:r>
          </w:p>
        </w:tc>
        <w:tc>
          <w:tcPr>
            <w:tcW w:w="2523" w:type="dxa"/>
            <w:shd w:val="clear" w:color="auto" w:fill="auto"/>
          </w:tcPr>
          <w:p w14:paraId="1F1CEE9C" w14:textId="7239ECE1" w:rsidR="00D27B35" w:rsidRDefault="00D27B35" w:rsidP="00D27B35"/>
        </w:tc>
      </w:tr>
      <w:tr w:rsidR="00D27B35" w14:paraId="19D52F48" w14:textId="33FA9371" w:rsidTr="003D2A5B">
        <w:tc>
          <w:tcPr>
            <w:tcW w:w="5665" w:type="dxa"/>
            <w:shd w:val="clear" w:color="auto" w:fill="auto"/>
          </w:tcPr>
          <w:p w14:paraId="1D1449B2" w14:textId="77777777" w:rsidR="00D27B35" w:rsidRDefault="00D27B35" w:rsidP="00D27B35">
            <w:r>
              <w:t>% of pupils who reached at least expected standard in reading, writing and maths at the end of KS1</w:t>
            </w:r>
          </w:p>
        </w:tc>
        <w:tc>
          <w:tcPr>
            <w:tcW w:w="2268" w:type="dxa"/>
            <w:shd w:val="clear" w:color="auto" w:fill="auto"/>
          </w:tcPr>
          <w:p w14:paraId="2E5C0283" w14:textId="7B63E701" w:rsidR="00D27B35" w:rsidRDefault="00D27B35" w:rsidP="00D27B35">
            <w:r>
              <w:t>51%</w:t>
            </w:r>
          </w:p>
        </w:tc>
        <w:tc>
          <w:tcPr>
            <w:tcW w:w="2523" w:type="dxa"/>
            <w:shd w:val="clear" w:color="auto" w:fill="auto"/>
          </w:tcPr>
          <w:p w14:paraId="2EF71571" w14:textId="2A3447F4" w:rsidR="00D27B35" w:rsidRDefault="00F5329D" w:rsidP="00D27B35">
            <w:r>
              <w:t>58%</w:t>
            </w:r>
          </w:p>
        </w:tc>
      </w:tr>
      <w:tr w:rsidR="00D27B35" w14:paraId="1073E550" w14:textId="57FE5D27" w:rsidTr="003D2A5B">
        <w:tc>
          <w:tcPr>
            <w:tcW w:w="5665" w:type="dxa"/>
            <w:shd w:val="clear" w:color="auto" w:fill="auto"/>
          </w:tcPr>
          <w:p w14:paraId="2283A4CA" w14:textId="77777777" w:rsidR="00D27B35" w:rsidRDefault="00D27B35" w:rsidP="00D27B35">
            <w:r>
              <w:t>% of pupils who reached at least expected standard in reading, writing and maths combined  at the end of KS2</w:t>
            </w:r>
          </w:p>
        </w:tc>
        <w:tc>
          <w:tcPr>
            <w:tcW w:w="2268" w:type="dxa"/>
            <w:shd w:val="clear" w:color="auto" w:fill="auto"/>
          </w:tcPr>
          <w:p w14:paraId="2F55A5BC" w14:textId="07C7B391" w:rsidR="00D27B35" w:rsidRDefault="00D27B35" w:rsidP="00D27B35">
            <w:r>
              <w:t>56</w:t>
            </w:r>
            <w:r>
              <w:t>%</w:t>
            </w:r>
          </w:p>
        </w:tc>
        <w:tc>
          <w:tcPr>
            <w:tcW w:w="2523" w:type="dxa"/>
            <w:shd w:val="clear" w:color="auto" w:fill="auto"/>
          </w:tcPr>
          <w:p w14:paraId="5448777C" w14:textId="7BDB8BF9" w:rsidR="00D27B35" w:rsidRDefault="00BC0131" w:rsidP="00D27B35">
            <w:r>
              <w:t>67%</w:t>
            </w:r>
          </w:p>
        </w:tc>
      </w:tr>
      <w:tr w:rsidR="00662944" w14:paraId="72F020D0" w14:textId="7B1CB379" w:rsidTr="00D278C4">
        <w:tc>
          <w:tcPr>
            <w:tcW w:w="10456" w:type="dxa"/>
            <w:gridSpan w:val="3"/>
            <w:shd w:val="clear" w:color="auto" w:fill="B8CCE4" w:themeFill="accent1" w:themeFillTint="66"/>
          </w:tcPr>
          <w:p w14:paraId="171E2A96" w14:textId="588A9DC6" w:rsidR="00662944" w:rsidRDefault="00662944" w:rsidP="006E7686">
            <w:r>
              <w:t>Performance of pupils entitled to Pupil Premium Grant (including Early Years Grant)</w:t>
            </w:r>
          </w:p>
        </w:tc>
      </w:tr>
      <w:tr w:rsidR="00D27B35" w14:paraId="7334DEFB" w14:textId="7B547941" w:rsidTr="003D2A5B">
        <w:tc>
          <w:tcPr>
            <w:tcW w:w="5665" w:type="dxa"/>
            <w:shd w:val="clear" w:color="auto" w:fill="auto"/>
          </w:tcPr>
          <w:p w14:paraId="0127B19E" w14:textId="77777777" w:rsidR="00D27B35" w:rsidRDefault="00D27B35" w:rsidP="00D27B35"/>
        </w:tc>
        <w:tc>
          <w:tcPr>
            <w:tcW w:w="2268" w:type="dxa"/>
            <w:shd w:val="clear" w:color="auto" w:fill="auto"/>
          </w:tcPr>
          <w:p w14:paraId="6AD5BD28" w14:textId="0B20369A" w:rsidR="00D27B35" w:rsidRDefault="00D27B35" w:rsidP="00D27B35">
            <w:r>
              <w:t>2018/2019 Outcomes</w:t>
            </w:r>
          </w:p>
        </w:tc>
        <w:tc>
          <w:tcPr>
            <w:tcW w:w="2523" w:type="dxa"/>
            <w:shd w:val="clear" w:color="auto" w:fill="auto"/>
          </w:tcPr>
          <w:p w14:paraId="72BCBEBA" w14:textId="03A42CCD" w:rsidR="00D27B35" w:rsidRDefault="00D27B35" w:rsidP="00D27B35">
            <w:r>
              <w:t>2018/2019 Outcomes</w:t>
            </w:r>
          </w:p>
        </w:tc>
      </w:tr>
      <w:tr w:rsidR="00D27B35" w14:paraId="7B2E853C" w14:textId="4DEDD92F" w:rsidTr="003D2A5B">
        <w:tc>
          <w:tcPr>
            <w:tcW w:w="5665" w:type="dxa"/>
            <w:shd w:val="clear" w:color="auto" w:fill="auto"/>
          </w:tcPr>
          <w:p w14:paraId="4E5B366C" w14:textId="77777777" w:rsidR="00D27B35" w:rsidRDefault="00D27B35" w:rsidP="00D27B35">
            <w:r>
              <w:t>% of pupils in EYFS achieving GLD</w:t>
            </w:r>
          </w:p>
        </w:tc>
        <w:tc>
          <w:tcPr>
            <w:tcW w:w="2268" w:type="dxa"/>
            <w:shd w:val="clear" w:color="auto" w:fill="auto"/>
          </w:tcPr>
          <w:p w14:paraId="1C43B52A" w14:textId="6DDB6E56" w:rsidR="00D27B35" w:rsidRDefault="00D27B35" w:rsidP="00D27B35">
            <w:r>
              <w:t>33%</w:t>
            </w:r>
          </w:p>
        </w:tc>
        <w:tc>
          <w:tcPr>
            <w:tcW w:w="2523" w:type="dxa"/>
            <w:shd w:val="clear" w:color="auto" w:fill="auto"/>
          </w:tcPr>
          <w:p w14:paraId="38B1C467" w14:textId="35C3A1CB" w:rsidR="00D27B35" w:rsidRDefault="00BC0131" w:rsidP="00D27B35">
            <w:r>
              <w:t>61%</w:t>
            </w:r>
          </w:p>
        </w:tc>
      </w:tr>
      <w:tr w:rsidR="00D27B35" w14:paraId="2BDCA03C" w14:textId="16C88594" w:rsidTr="003D2A5B">
        <w:tc>
          <w:tcPr>
            <w:tcW w:w="5665" w:type="dxa"/>
            <w:shd w:val="clear" w:color="auto" w:fill="auto"/>
          </w:tcPr>
          <w:p w14:paraId="42BA3D2B" w14:textId="77777777" w:rsidR="00D27B35" w:rsidRDefault="00D27B35" w:rsidP="00D27B35">
            <w:r>
              <w:t>% of pupils achieving Year 1 phonics pass</w:t>
            </w:r>
          </w:p>
        </w:tc>
        <w:tc>
          <w:tcPr>
            <w:tcW w:w="2268" w:type="dxa"/>
            <w:shd w:val="clear" w:color="auto" w:fill="auto"/>
          </w:tcPr>
          <w:p w14:paraId="7DC96386" w14:textId="1624C285" w:rsidR="00D27B35" w:rsidRDefault="00D27B35" w:rsidP="00D27B35">
            <w:r>
              <w:t>63%</w:t>
            </w:r>
          </w:p>
        </w:tc>
        <w:tc>
          <w:tcPr>
            <w:tcW w:w="2523" w:type="dxa"/>
            <w:shd w:val="clear" w:color="auto" w:fill="auto"/>
          </w:tcPr>
          <w:p w14:paraId="25B9304C" w14:textId="660FDAA4" w:rsidR="00D27B35" w:rsidRDefault="00D27B35" w:rsidP="00D27B35"/>
        </w:tc>
      </w:tr>
      <w:tr w:rsidR="00D27B35" w14:paraId="041BA4DE" w14:textId="4C7E898F" w:rsidTr="003D2A5B">
        <w:tc>
          <w:tcPr>
            <w:tcW w:w="5665" w:type="dxa"/>
            <w:shd w:val="clear" w:color="auto" w:fill="auto"/>
          </w:tcPr>
          <w:p w14:paraId="49FBE414" w14:textId="77777777" w:rsidR="00D27B35" w:rsidRDefault="00D27B35" w:rsidP="00D27B35">
            <w:r>
              <w:t>% of pupils in Year 2 who passed phonics</w:t>
            </w:r>
          </w:p>
        </w:tc>
        <w:tc>
          <w:tcPr>
            <w:tcW w:w="2268" w:type="dxa"/>
            <w:shd w:val="clear" w:color="auto" w:fill="auto"/>
          </w:tcPr>
          <w:p w14:paraId="5F69BBA4" w14:textId="1B4723BD" w:rsidR="00D27B35" w:rsidRDefault="00D27B35" w:rsidP="00D27B35">
            <w:r>
              <w:t>95%</w:t>
            </w:r>
          </w:p>
        </w:tc>
        <w:tc>
          <w:tcPr>
            <w:tcW w:w="2523" w:type="dxa"/>
            <w:shd w:val="clear" w:color="auto" w:fill="auto"/>
          </w:tcPr>
          <w:p w14:paraId="2D700466" w14:textId="0943B91F" w:rsidR="00D27B35" w:rsidRDefault="00D27B35" w:rsidP="00D27B35"/>
        </w:tc>
      </w:tr>
      <w:tr w:rsidR="00D27B35" w14:paraId="15D7CE0D" w14:textId="3D65818A" w:rsidTr="003D2A5B">
        <w:tc>
          <w:tcPr>
            <w:tcW w:w="5665" w:type="dxa"/>
            <w:shd w:val="clear" w:color="auto" w:fill="auto"/>
          </w:tcPr>
          <w:p w14:paraId="33907C8A" w14:textId="77777777" w:rsidR="00D27B35" w:rsidRDefault="00D27B35" w:rsidP="00D27B35">
            <w:r>
              <w:lastRenderedPageBreak/>
              <w:t>% of pupils who reached at least expected standard in reading, writing and maths at the end of KS1</w:t>
            </w:r>
          </w:p>
        </w:tc>
        <w:tc>
          <w:tcPr>
            <w:tcW w:w="2268" w:type="dxa"/>
            <w:shd w:val="clear" w:color="auto" w:fill="auto"/>
          </w:tcPr>
          <w:p w14:paraId="49069432" w14:textId="1332BEB6" w:rsidR="00D27B35" w:rsidRDefault="00D27B35" w:rsidP="00D27B35">
            <w:r>
              <w:t>41%</w:t>
            </w:r>
          </w:p>
        </w:tc>
        <w:tc>
          <w:tcPr>
            <w:tcW w:w="2523" w:type="dxa"/>
            <w:shd w:val="clear" w:color="auto" w:fill="auto"/>
          </w:tcPr>
          <w:p w14:paraId="7A2765B8" w14:textId="116E354B" w:rsidR="00D27B35" w:rsidRDefault="00BC0131" w:rsidP="00D27B35">
            <w:r>
              <w:t>42%</w:t>
            </w:r>
          </w:p>
        </w:tc>
      </w:tr>
      <w:tr w:rsidR="00D27B35" w14:paraId="634D0C06" w14:textId="547634D6" w:rsidTr="003D2A5B">
        <w:tc>
          <w:tcPr>
            <w:tcW w:w="5665" w:type="dxa"/>
            <w:shd w:val="clear" w:color="auto" w:fill="auto"/>
          </w:tcPr>
          <w:p w14:paraId="13089813" w14:textId="77777777" w:rsidR="00D27B35" w:rsidRDefault="00D27B35" w:rsidP="00D27B35">
            <w:r>
              <w:t>% of pupils who reached at least expected standard in reading, writing and maths combined  at the end of KS2</w:t>
            </w:r>
          </w:p>
        </w:tc>
        <w:tc>
          <w:tcPr>
            <w:tcW w:w="2268" w:type="dxa"/>
            <w:shd w:val="clear" w:color="auto" w:fill="auto"/>
          </w:tcPr>
          <w:p w14:paraId="4BBED217" w14:textId="3631940F" w:rsidR="00D27B35" w:rsidRDefault="00D27B35" w:rsidP="00D27B35">
            <w:r>
              <w:t>48%</w:t>
            </w:r>
          </w:p>
        </w:tc>
        <w:tc>
          <w:tcPr>
            <w:tcW w:w="2523" w:type="dxa"/>
            <w:shd w:val="clear" w:color="auto" w:fill="auto"/>
          </w:tcPr>
          <w:p w14:paraId="55D5CC49" w14:textId="474A4C97" w:rsidR="00D27B35" w:rsidRDefault="00BC0131" w:rsidP="00D27B35">
            <w:r>
              <w:t>57</w:t>
            </w:r>
            <w:bookmarkStart w:id="0" w:name="_GoBack"/>
            <w:bookmarkEnd w:id="0"/>
            <w:r w:rsidR="00D27B35">
              <w:t>%</w:t>
            </w:r>
          </w:p>
        </w:tc>
      </w:tr>
    </w:tbl>
    <w:p w14:paraId="1DD32E9A" w14:textId="77777777" w:rsidR="00BE4B1E" w:rsidRDefault="00BE4B1E"/>
    <w:sectPr w:rsidR="00BE4B1E" w:rsidSect="000B7BD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3EAC4" w14:textId="77777777" w:rsidR="00771E37" w:rsidRDefault="00771E37" w:rsidP="000B7BDC">
      <w:pPr>
        <w:spacing w:after="0" w:line="240" w:lineRule="auto"/>
      </w:pPr>
      <w:r>
        <w:separator/>
      </w:r>
    </w:p>
  </w:endnote>
  <w:endnote w:type="continuationSeparator" w:id="0">
    <w:p w14:paraId="194B5159" w14:textId="77777777" w:rsidR="00771E37" w:rsidRDefault="00771E37" w:rsidP="000B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P Simplified Light">
    <w:altName w:val="Arial"/>
    <w:charset w:val="00"/>
    <w:family w:val="swiss"/>
    <w:pitch w:val="variable"/>
    <w:sig w:usb0="A00002FF" w:usb1="50002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573854"/>
      <w:docPartObj>
        <w:docPartGallery w:val="Page Numbers (Bottom of Page)"/>
        <w:docPartUnique/>
      </w:docPartObj>
    </w:sdtPr>
    <w:sdtEndPr>
      <w:rPr>
        <w:noProof/>
      </w:rPr>
    </w:sdtEndPr>
    <w:sdtContent>
      <w:p w14:paraId="1775D8E3" w14:textId="2179AFE3" w:rsidR="000B7BDC" w:rsidRDefault="000B7BDC">
        <w:pPr>
          <w:pStyle w:val="Footer"/>
          <w:jc w:val="center"/>
        </w:pPr>
        <w:r>
          <w:fldChar w:fldCharType="begin"/>
        </w:r>
        <w:r>
          <w:instrText xml:space="preserve"> PAGE   \* MERGEFORMAT </w:instrText>
        </w:r>
        <w:r>
          <w:fldChar w:fldCharType="separate"/>
        </w:r>
        <w:r w:rsidR="00BC0131">
          <w:rPr>
            <w:noProof/>
          </w:rPr>
          <w:t>5</w:t>
        </w:r>
        <w:r>
          <w:rPr>
            <w:noProof/>
          </w:rPr>
          <w:fldChar w:fldCharType="end"/>
        </w:r>
      </w:p>
    </w:sdtContent>
  </w:sdt>
  <w:p w14:paraId="1F0E3051" w14:textId="77777777" w:rsidR="000B7BDC" w:rsidRDefault="000B7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7CFC2" w14:textId="77777777" w:rsidR="00771E37" w:rsidRDefault="00771E37" w:rsidP="000B7BDC">
      <w:pPr>
        <w:spacing w:after="0" w:line="240" w:lineRule="auto"/>
      </w:pPr>
      <w:r>
        <w:separator/>
      </w:r>
    </w:p>
  </w:footnote>
  <w:footnote w:type="continuationSeparator" w:id="0">
    <w:p w14:paraId="555BDCF0" w14:textId="77777777" w:rsidR="00771E37" w:rsidRDefault="00771E37" w:rsidP="000B7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7D3"/>
    <w:multiLevelType w:val="hybridMultilevel"/>
    <w:tmpl w:val="ACA248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0A7A241D"/>
    <w:multiLevelType w:val="hybridMultilevel"/>
    <w:tmpl w:val="44AC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73A3C"/>
    <w:multiLevelType w:val="hybridMultilevel"/>
    <w:tmpl w:val="93CA463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1C633AC3"/>
    <w:multiLevelType w:val="hybridMultilevel"/>
    <w:tmpl w:val="2C68137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E5905CF"/>
    <w:multiLevelType w:val="hybridMultilevel"/>
    <w:tmpl w:val="31C8221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28404D98"/>
    <w:multiLevelType w:val="hybridMultilevel"/>
    <w:tmpl w:val="2412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4093D"/>
    <w:multiLevelType w:val="hybridMultilevel"/>
    <w:tmpl w:val="3E629D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D6568D8"/>
    <w:multiLevelType w:val="hybridMultilevel"/>
    <w:tmpl w:val="F53CAC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54191156"/>
    <w:multiLevelType w:val="hybridMultilevel"/>
    <w:tmpl w:val="8D44027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5CB66CEC"/>
    <w:multiLevelType w:val="hybridMultilevel"/>
    <w:tmpl w:val="5EFC3D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640A21B8"/>
    <w:multiLevelType w:val="hybridMultilevel"/>
    <w:tmpl w:val="87E2875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7B6B0B17"/>
    <w:multiLevelType w:val="hybridMultilevel"/>
    <w:tmpl w:val="2E8290A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1"/>
  </w:num>
  <w:num w:numId="2">
    <w:abstractNumId w:val="0"/>
  </w:num>
  <w:num w:numId="3">
    <w:abstractNumId w:val="11"/>
  </w:num>
  <w:num w:numId="4">
    <w:abstractNumId w:val="8"/>
  </w:num>
  <w:num w:numId="5">
    <w:abstractNumId w:val="2"/>
  </w:num>
  <w:num w:numId="6">
    <w:abstractNumId w:val="10"/>
  </w:num>
  <w:num w:numId="7">
    <w:abstractNumId w:val="4"/>
  </w:num>
  <w:num w:numId="8">
    <w:abstractNumId w:val="3"/>
  </w:num>
  <w:num w:numId="9">
    <w:abstractNumId w:val="7"/>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78"/>
    <w:rsid w:val="00044E3A"/>
    <w:rsid w:val="000538A5"/>
    <w:rsid w:val="000A1184"/>
    <w:rsid w:val="000A67F1"/>
    <w:rsid w:val="000B7BDC"/>
    <w:rsid w:val="000C49B9"/>
    <w:rsid w:val="00125EE4"/>
    <w:rsid w:val="00152EA8"/>
    <w:rsid w:val="00157C6C"/>
    <w:rsid w:val="00161926"/>
    <w:rsid w:val="001968CD"/>
    <w:rsid w:val="001C6C13"/>
    <w:rsid w:val="00223BBF"/>
    <w:rsid w:val="002567FE"/>
    <w:rsid w:val="002C45B1"/>
    <w:rsid w:val="002E7113"/>
    <w:rsid w:val="003309F4"/>
    <w:rsid w:val="00353CCA"/>
    <w:rsid w:val="00357E50"/>
    <w:rsid w:val="003613C3"/>
    <w:rsid w:val="00361553"/>
    <w:rsid w:val="003745C2"/>
    <w:rsid w:val="003D2A5B"/>
    <w:rsid w:val="0041593B"/>
    <w:rsid w:val="00415EA0"/>
    <w:rsid w:val="004165EA"/>
    <w:rsid w:val="00462BF0"/>
    <w:rsid w:val="004A1BD7"/>
    <w:rsid w:val="004B4619"/>
    <w:rsid w:val="004D3456"/>
    <w:rsid w:val="004E46E2"/>
    <w:rsid w:val="004E5235"/>
    <w:rsid w:val="005238E6"/>
    <w:rsid w:val="005354B1"/>
    <w:rsid w:val="00555527"/>
    <w:rsid w:val="00556031"/>
    <w:rsid w:val="005718CE"/>
    <w:rsid w:val="005D5C78"/>
    <w:rsid w:val="005D6064"/>
    <w:rsid w:val="00626232"/>
    <w:rsid w:val="006552D6"/>
    <w:rsid w:val="00662944"/>
    <w:rsid w:val="0069353B"/>
    <w:rsid w:val="00697DCF"/>
    <w:rsid w:val="006B3409"/>
    <w:rsid w:val="006C7DEC"/>
    <w:rsid w:val="006E7686"/>
    <w:rsid w:val="006F4087"/>
    <w:rsid w:val="0070069B"/>
    <w:rsid w:val="007220CC"/>
    <w:rsid w:val="00745399"/>
    <w:rsid w:val="00756183"/>
    <w:rsid w:val="00771566"/>
    <w:rsid w:val="00771E37"/>
    <w:rsid w:val="00797651"/>
    <w:rsid w:val="007C558E"/>
    <w:rsid w:val="007E5CCF"/>
    <w:rsid w:val="007E76CB"/>
    <w:rsid w:val="007F6771"/>
    <w:rsid w:val="008239DB"/>
    <w:rsid w:val="008418CF"/>
    <w:rsid w:val="0085359A"/>
    <w:rsid w:val="00955A54"/>
    <w:rsid w:val="009C4D88"/>
    <w:rsid w:val="00A700B1"/>
    <w:rsid w:val="00A762A3"/>
    <w:rsid w:val="00A873BF"/>
    <w:rsid w:val="00A973B8"/>
    <w:rsid w:val="00AA2CE0"/>
    <w:rsid w:val="00AD234D"/>
    <w:rsid w:val="00AF2792"/>
    <w:rsid w:val="00AF6498"/>
    <w:rsid w:val="00B044F9"/>
    <w:rsid w:val="00B41CE2"/>
    <w:rsid w:val="00B73251"/>
    <w:rsid w:val="00B950E0"/>
    <w:rsid w:val="00BB7F99"/>
    <w:rsid w:val="00BC0131"/>
    <w:rsid w:val="00BE4B1E"/>
    <w:rsid w:val="00C16725"/>
    <w:rsid w:val="00C23685"/>
    <w:rsid w:val="00D06C9D"/>
    <w:rsid w:val="00D27B35"/>
    <w:rsid w:val="00D345AB"/>
    <w:rsid w:val="00D47A7C"/>
    <w:rsid w:val="00D57EF1"/>
    <w:rsid w:val="00D72C25"/>
    <w:rsid w:val="00D77CBB"/>
    <w:rsid w:val="00E54140"/>
    <w:rsid w:val="00EE1E6A"/>
    <w:rsid w:val="00F26C9A"/>
    <w:rsid w:val="00F34A0D"/>
    <w:rsid w:val="00F5329D"/>
    <w:rsid w:val="00F60504"/>
    <w:rsid w:val="00F61DD5"/>
    <w:rsid w:val="00F7083B"/>
    <w:rsid w:val="00F915ED"/>
    <w:rsid w:val="00F956B2"/>
    <w:rsid w:val="00FD1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45CB"/>
  <w15:docId w15:val="{0856DE40-BE7F-0343-BAD3-AB479025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6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C78"/>
    <w:pPr>
      <w:ind w:left="720"/>
      <w:contextualSpacing/>
    </w:pPr>
  </w:style>
  <w:style w:type="paragraph" w:styleId="BalloonText">
    <w:name w:val="Balloon Text"/>
    <w:basedOn w:val="Normal"/>
    <w:link w:val="BalloonTextChar"/>
    <w:uiPriority w:val="99"/>
    <w:semiHidden/>
    <w:unhideWhenUsed/>
    <w:rsid w:val="00462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BF0"/>
    <w:rPr>
      <w:rFonts w:ascii="Tahoma" w:hAnsi="Tahoma" w:cs="Tahoma"/>
      <w:sz w:val="16"/>
      <w:szCs w:val="16"/>
    </w:rPr>
  </w:style>
  <w:style w:type="paragraph" w:styleId="Header">
    <w:name w:val="header"/>
    <w:basedOn w:val="Normal"/>
    <w:link w:val="HeaderChar"/>
    <w:uiPriority w:val="99"/>
    <w:unhideWhenUsed/>
    <w:rsid w:val="000B7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BDC"/>
  </w:style>
  <w:style w:type="paragraph" w:styleId="Footer">
    <w:name w:val="footer"/>
    <w:basedOn w:val="Normal"/>
    <w:link w:val="FooterChar"/>
    <w:uiPriority w:val="99"/>
    <w:unhideWhenUsed/>
    <w:rsid w:val="000B7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BDC"/>
  </w:style>
  <w:style w:type="character" w:customStyle="1" w:styleId="Heading1Char">
    <w:name w:val="Heading 1 Char"/>
    <w:basedOn w:val="DefaultParagraphFont"/>
    <w:link w:val="Heading1"/>
    <w:uiPriority w:val="9"/>
    <w:rsid w:val="0075618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6183"/>
    <w:pPr>
      <w:outlineLvl w:val="9"/>
    </w:pPr>
    <w:rPr>
      <w:rFonts w:ascii="Cambria" w:eastAsia="Times New Roman" w:hAnsi="Cambria" w:cs="Times New Roman"/>
      <w:color w:val="365F9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9514">
      <w:bodyDiv w:val="1"/>
      <w:marLeft w:val="0"/>
      <w:marRight w:val="0"/>
      <w:marTop w:val="0"/>
      <w:marBottom w:val="0"/>
      <w:divBdr>
        <w:top w:val="none" w:sz="0" w:space="0" w:color="auto"/>
        <w:left w:val="none" w:sz="0" w:space="0" w:color="auto"/>
        <w:bottom w:val="none" w:sz="0" w:space="0" w:color="auto"/>
        <w:right w:val="none" w:sz="0" w:space="0" w:color="auto"/>
      </w:divBdr>
    </w:div>
    <w:div w:id="4773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Kemp</dc:creator>
  <cp:lastModifiedBy>Mrs.Hamilton</cp:lastModifiedBy>
  <cp:revision>4</cp:revision>
  <cp:lastPrinted>2016-03-30T14:05:00Z</cp:lastPrinted>
  <dcterms:created xsi:type="dcterms:W3CDTF">2019-10-30T15:22:00Z</dcterms:created>
  <dcterms:modified xsi:type="dcterms:W3CDTF">2020-07-07T13:08:00Z</dcterms:modified>
</cp:coreProperties>
</file>