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9E555" w14:textId="77777777" w:rsidR="00E43E64" w:rsidRDefault="00E43E64" w:rsidP="00E43E64">
      <w:r>
        <w:rPr>
          <w:noProof/>
        </w:rPr>
        <w:drawing>
          <wp:anchor distT="0" distB="0" distL="114300" distR="114300" simplePos="0" relativeHeight="251659264" behindDoc="0" locked="0" layoutInCell="1" allowOverlap="1" wp14:anchorId="1A22F592" wp14:editId="4A3393CB">
            <wp:simplePos x="0" y="0"/>
            <wp:positionH relativeFrom="column">
              <wp:posOffset>2214880</wp:posOffset>
            </wp:positionH>
            <wp:positionV relativeFrom="paragraph">
              <wp:posOffset>0</wp:posOffset>
            </wp:positionV>
            <wp:extent cx="970280" cy="960120"/>
            <wp:effectExtent l="0" t="0" r="1270" b="0"/>
            <wp:wrapSquare wrapText="right"/>
            <wp:docPr id="4" name="Picture 4" descr="cc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28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FBA14" w14:textId="77777777" w:rsidR="00E43E64" w:rsidRDefault="00E43E64" w:rsidP="00E43E64"/>
    <w:p w14:paraId="5EB2870D" w14:textId="77777777" w:rsidR="00E43E64" w:rsidRDefault="00E43E64" w:rsidP="00E43E64"/>
    <w:p w14:paraId="01F3EC3F" w14:textId="77777777" w:rsidR="00E43E64" w:rsidRDefault="00E43E64" w:rsidP="00E43E64"/>
    <w:p w14:paraId="05BADD4B" w14:textId="77777777" w:rsidR="00E43E64" w:rsidRPr="00665D14" w:rsidRDefault="00E43E64" w:rsidP="00E43E64">
      <w:pPr>
        <w:pStyle w:val="JudgmentHeader"/>
        <w:rPr>
          <w:rFonts w:ascii="Times New Roman" w:hAnsi="Times New Roman"/>
          <w:i w:val="0"/>
        </w:rPr>
      </w:pPr>
      <w:r w:rsidRPr="00665D14">
        <w:rPr>
          <w:rFonts w:ascii="Times New Roman" w:hAnsi="Times New Roman"/>
          <w:i w:val="0"/>
        </w:rPr>
        <w:t xml:space="preserve">In the County Court at Liverpool </w:t>
      </w:r>
    </w:p>
    <w:p w14:paraId="6CC846C2" w14:textId="4847048E" w:rsidR="00E43E64" w:rsidRPr="00665D14" w:rsidRDefault="00E43E64" w:rsidP="00E43E64">
      <w:pPr>
        <w:pStyle w:val="JudgmentHeader"/>
        <w:rPr>
          <w:rFonts w:ascii="Times New Roman" w:hAnsi="Times New Roman"/>
          <w:i w:val="0"/>
        </w:rPr>
      </w:pPr>
      <w:r>
        <w:rPr>
          <w:rFonts w:ascii="Times New Roman" w:hAnsi="Times New Roman"/>
          <w:i w:val="0"/>
        </w:rPr>
        <w:t>Case number F79YJ565</w:t>
      </w:r>
    </w:p>
    <w:p w14:paraId="5A4F805E" w14:textId="6F888573" w:rsidR="00E43E64" w:rsidRPr="00665D14" w:rsidRDefault="00E43E64" w:rsidP="00E43E64">
      <w:pPr>
        <w:pStyle w:val="JudgmentHeader"/>
        <w:rPr>
          <w:rFonts w:ascii="Times New Roman" w:hAnsi="Times New Roman"/>
          <w:i w:val="0"/>
        </w:rPr>
      </w:pPr>
      <w:r w:rsidRPr="00665D14">
        <w:rPr>
          <w:rFonts w:ascii="Times New Roman" w:hAnsi="Times New Roman"/>
          <w:i w:val="0"/>
        </w:rPr>
        <w:t xml:space="preserve">On Appeal from </w:t>
      </w:r>
      <w:r>
        <w:rPr>
          <w:rFonts w:ascii="Times New Roman" w:hAnsi="Times New Roman"/>
          <w:i w:val="0"/>
        </w:rPr>
        <w:t>Deputy District Judge Causton sitting on 18</w:t>
      </w:r>
      <w:r w:rsidRPr="00E43E64">
        <w:rPr>
          <w:rFonts w:ascii="Times New Roman" w:hAnsi="Times New Roman"/>
          <w:i w:val="0"/>
          <w:vertAlign w:val="superscript"/>
        </w:rPr>
        <w:t>th</w:t>
      </w:r>
      <w:r>
        <w:rPr>
          <w:rFonts w:ascii="Times New Roman" w:hAnsi="Times New Roman"/>
          <w:i w:val="0"/>
        </w:rPr>
        <w:t xml:space="preserve"> November 2020 (Appeal No 9 of 2020</w:t>
      </w:r>
      <w:r w:rsidRPr="00665D14">
        <w:rPr>
          <w:rFonts w:ascii="Times New Roman" w:hAnsi="Times New Roman"/>
          <w:i w:val="0"/>
        </w:rPr>
        <w:t xml:space="preserve">): </w:t>
      </w:r>
    </w:p>
    <w:p w14:paraId="36FC8977" w14:textId="77777777" w:rsidR="00E43E64" w:rsidRPr="00665D14" w:rsidRDefault="00E43E64" w:rsidP="00E43E64">
      <w:pPr>
        <w:rPr>
          <w:rFonts w:ascii="Times New Roman" w:hAnsi="Times New Roman" w:cs="Times New Roman"/>
        </w:rPr>
      </w:pPr>
    </w:p>
    <w:p w14:paraId="1132629D" w14:textId="77777777" w:rsidR="00E43E64" w:rsidRDefault="00E43E64" w:rsidP="00E43E64">
      <w:pPr>
        <w:pStyle w:val="Between"/>
        <w:rPr>
          <w:rFonts w:ascii="Times New Roman" w:hAnsi="Times New Roman"/>
          <w:i w:val="0"/>
        </w:rPr>
      </w:pPr>
      <w:r w:rsidRPr="00665D14">
        <w:rPr>
          <w:rFonts w:ascii="Times New Roman" w:hAnsi="Times New Roman"/>
          <w:i w:val="0"/>
        </w:rPr>
        <w:t>Between</w:t>
      </w:r>
    </w:p>
    <w:p w14:paraId="54FDE658" w14:textId="77777777" w:rsidR="00E43E64" w:rsidRPr="00AC22F3" w:rsidRDefault="00E43E64" w:rsidP="00E43E64">
      <w:pPr>
        <w:rPr>
          <w:lang w:eastAsia="en-GB"/>
        </w:rPr>
      </w:pPr>
    </w:p>
    <w:p w14:paraId="2B7A987C" w14:textId="29C7BF39" w:rsidR="00E43E64" w:rsidRDefault="00E43E64" w:rsidP="00E43E64">
      <w:pPr>
        <w:jc w:val="center"/>
        <w:rPr>
          <w:rFonts w:ascii="Times New Roman" w:hAnsi="Times New Roman" w:cs="Times New Roman"/>
          <w:b/>
        </w:rPr>
      </w:pPr>
      <w:r>
        <w:rPr>
          <w:rFonts w:ascii="Times New Roman" w:hAnsi="Times New Roman" w:cs="Times New Roman"/>
          <w:b/>
        </w:rPr>
        <w:t xml:space="preserve"> MARK MULLEN</w:t>
      </w:r>
    </w:p>
    <w:p w14:paraId="193890B6" w14:textId="77777777" w:rsidR="00E43E64" w:rsidRPr="00665D14" w:rsidRDefault="00E43E64" w:rsidP="00E43E64">
      <w:pPr>
        <w:jc w:val="right"/>
        <w:rPr>
          <w:rFonts w:ascii="Times New Roman" w:hAnsi="Times New Roman" w:cs="Times New Roman"/>
          <w:b/>
        </w:rPr>
      </w:pPr>
      <w:r>
        <w:rPr>
          <w:rFonts w:ascii="Times New Roman" w:hAnsi="Times New Roman" w:cs="Times New Roman"/>
          <w:b/>
        </w:rPr>
        <w:t xml:space="preserve">Appellant/Claimant </w:t>
      </w:r>
    </w:p>
    <w:p w14:paraId="2A144A6B" w14:textId="77777777" w:rsidR="00E43E64" w:rsidRPr="00665D14" w:rsidRDefault="00E43E64" w:rsidP="00E43E64">
      <w:pPr>
        <w:jc w:val="center"/>
        <w:rPr>
          <w:rFonts w:ascii="Times New Roman" w:hAnsi="Times New Roman" w:cs="Times New Roman"/>
          <w:b/>
        </w:rPr>
      </w:pPr>
      <w:r w:rsidRPr="00665D14">
        <w:rPr>
          <w:rFonts w:ascii="Times New Roman" w:hAnsi="Times New Roman" w:cs="Times New Roman"/>
          <w:b/>
        </w:rPr>
        <w:t>and</w:t>
      </w:r>
    </w:p>
    <w:p w14:paraId="6777BC77" w14:textId="77777777" w:rsidR="00E43E64" w:rsidRPr="00665D14" w:rsidRDefault="00E43E64" w:rsidP="00E43E64">
      <w:pPr>
        <w:jc w:val="center"/>
        <w:rPr>
          <w:rFonts w:ascii="Times New Roman" w:hAnsi="Times New Roman" w:cs="Times New Roman"/>
          <w:b/>
        </w:rPr>
      </w:pPr>
    </w:p>
    <w:p w14:paraId="77861A03" w14:textId="6A2EE548" w:rsidR="00E43E64" w:rsidRPr="00665D14" w:rsidRDefault="00E43E64" w:rsidP="00E43E64">
      <w:pPr>
        <w:jc w:val="center"/>
        <w:rPr>
          <w:rFonts w:ascii="Times New Roman" w:hAnsi="Times New Roman" w:cs="Times New Roman"/>
          <w:b/>
        </w:rPr>
      </w:pPr>
      <w:r>
        <w:rPr>
          <w:rFonts w:ascii="Times New Roman" w:hAnsi="Times New Roman" w:cs="Times New Roman"/>
          <w:b/>
        </w:rPr>
        <w:t>NELSON INSURANCE COMPANY LIMITED</w:t>
      </w:r>
    </w:p>
    <w:p w14:paraId="6EA0DDCC" w14:textId="77777777" w:rsidR="00E43E64" w:rsidRPr="00FB2D96" w:rsidRDefault="00E43E64" w:rsidP="00E43E64">
      <w:pPr>
        <w:pStyle w:val="PartyDesc"/>
        <w:rPr>
          <w:rFonts w:ascii="Times New Roman" w:hAnsi="Times New Roman"/>
          <w:i w:val="0"/>
          <w:sz w:val="22"/>
          <w:szCs w:val="22"/>
        </w:rPr>
      </w:pPr>
      <w:r w:rsidRPr="00FB2D96">
        <w:rPr>
          <w:rFonts w:ascii="Times New Roman" w:hAnsi="Times New Roman"/>
          <w:i w:val="0"/>
          <w:sz w:val="22"/>
          <w:szCs w:val="22"/>
        </w:rPr>
        <w:t>Respondent</w:t>
      </w:r>
      <w:r>
        <w:rPr>
          <w:rFonts w:ascii="Times New Roman" w:hAnsi="Times New Roman"/>
          <w:i w:val="0"/>
          <w:sz w:val="22"/>
          <w:szCs w:val="22"/>
        </w:rPr>
        <w:t xml:space="preserve"> /Defendant</w:t>
      </w:r>
      <w:r w:rsidRPr="00FB2D96">
        <w:rPr>
          <w:rFonts w:ascii="Times New Roman" w:hAnsi="Times New Roman"/>
          <w:i w:val="0"/>
          <w:sz w:val="22"/>
          <w:szCs w:val="22"/>
        </w:rPr>
        <w:t xml:space="preserve"> </w:t>
      </w:r>
    </w:p>
    <w:p w14:paraId="2C69CCED" w14:textId="77777777" w:rsidR="00E43E64" w:rsidRPr="00665D14" w:rsidRDefault="00E43E64" w:rsidP="00E43E64">
      <w:pPr>
        <w:rPr>
          <w:rFonts w:ascii="Times New Roman" w:hAnsi="Times New Roman" w:cs="Times New Roman"/>
        </w:rPr>
      </w:pPr>
    </w:p>
    <w:p w14:paraId="71E776A3" w14:textId="77777777" w:rsidR="00E43E64" w:rsidRPr="00665D14" w:rsidRDefault="00E43E64" w:rsidP="00E43E64">
      <w:pPr>
        <w:rPr>
          <w:rFonts w:ascii="Times New Roman" w:hAnsi="Times New Roman" w:cs="Times New Roman"/>
        </w:rPr>
      </w:pPr>
    </w:p>
    <w:p w14:paraId="57BF438C" w14:textId="77777777" w:rsidR="00E43E64" w:rsidRPr="00665D14" w:rsidRDefault="00E43E64" w:rsidP="00E43E64">
      <w:pPr>
        <w:jc w:val="center"/>
        <w:rPr>
          <w:rFonts w:ascii="Times New Roman" w:hAnsi="Times New Roman" w:cs="Times New Roman"/>
        </w:rPr>
      </w:pPr>
      <w:r w:rsidRPr="00665D14">
        <w:rPr>
          <w:rFonts w:ascii="Times New Roman" w:hAnsi="Times New Roman" w:cs="Times New Roman"/>
        </w:rPr>
        <w:t xml:space="preserve">Before </w:t>
      </w:r>
      <w:r w:rsidRPr="00665D14">
        <w:rPr>
          <w:rFonts w:ascii="Times New Roman" w:hAnsi="Times New Roman" w:cs="Times New Roman"/>
          <w:b/>
        </w:rPr>
        <w:t>His Honour Judge Graham Wood QC</w:t>
      </w:r>
    </w:p>
    <w:p w14:paraId="5F8F4745" w14:textId="77777777" w:rsidR="00E43E64" w:rsidRPr="00665D14" w:rsidRDefault="00E43E64" w:rsidP="00E43E64">
      <w:pPr>
        <w:suppressAutoHyphens/>
        <w:jc w:val="center"/>
        <w:rPr>
          <w:rFonts w:ascii="Times New Roman" w:hAnsi="Times New Roman" w:cs="Times New Roman"/>
          <w:spacing w:val="-3"/>
        </w:rPr>
      </w:pPr>
    </w:p>
    <w:p w14:paraId="16AE141C" w14:textId="77777777" w:rsidR="00E43E64" w:rsidRPr="00665D14" w:rsidRDefault="00E43E64" w:rsidP="00E43E64">
      <w:pPr>
        <w:suppressAutoHyphens/>
        <w:jc w:val="center"/>
        <w:rPr>
          <w:rFonts w:ascii="Times New Roman" w:hAnsi="Times New Roman" w:cs="Times New Roman"/>
          <w:spacing w:val="-3"/>
        </w:rPr>
      </w:pPr>
    </w:p>
    <w:p w14:paraId="2F463B2F" w14:textId="341A25F4" w:rsidR="00E43E64" w:rsidRPr="00665D14" w:rsidRDefault="00E43E64" w:rsidP="00E43E64">
      <w:pPr>
        <w:suppressAutoHyphens/>
        <w:jc w:val="center"/>
        <w:rPr>
          <w:rFonts w:ascii="Times New Roman" w:hAnsi="Times New Roman" w:cs="Times New Roman"/>
          <w:b/>
          <w:spacing w:val="-3"/>
        </w:rPr>
      </w:pPr>
      <w:r w:rsidRPr="00FB2D96">
        <w:rPr>
          <w:rFonts w:ascii="Times New Roman" w:hAnsi="Times New Roman" w:cs="Times New Roman"/>
          <w:b/>
          <w:spacing w:val="-3"/>
        </w:rPr>
        <w:t xml:space="preserve">Mr </w:t>
      </w:r>
      <w:r>
        <w:rPr>
          <w:rFonts w:ascii="Times New Roman" w:hAnsi="Times New Roman" w:cs="Times New Roman"/>
          <w:b/>
          <w:spacing w:val="-3"/>
        </w:rPr>
        <w:t>Simon Dawes</w:t>
      </w:r>
      <w:r w:rsidRPr="00665D14">
        <w:rPr>
          <w:rFonts w:ascii="Times New Roman" w:hAnsi="Times New Roman" w:cs="Times New Roman"/>
          <w:spacing w:val="-3"/>
        </w:rPr>
        <w:t xml:space="preserve"> </w:t>
      </w:r>
      <w:r>
        <w:rPr>
          <w:rFonts w:ascii="Times New Roman" w:hAnsi="Times New Roman" w:cs="Times New Roman"/>
          <w:bCs/>
          <w:spacing w:val="-3"/>
        </w:rPr>
        <w:t>(</w:t>
      </w:r>
      <w:r w:rsidR="005A365A">
        <w:rPr>
          <w:rFonts w:ascii="Times New Roman" w:hAnsi="Times New Roman" w:cs="Times New Roman"/>
          <w:bCs/>
          <w:spacing w:val="-3"/>
        </w:rPr>
        <w:t xml:space="preserve">instructed by </w:t>
      </w:r>
      <w:r>
        <w:rPr>
          <w:rFonts w:ascii="Times New Roman" w:hAnsi="Times New Roman" w:cs="Times New Roman"/>
          <w:bCs/>
          <w:spacing w:val="-3"/>
        </w:rPr>
        <w:t>Mark Reynolds Solicitors</w:t>
      </w:r>
      <w:r w:rsidRPr="00665D14">
        <w:rPr>
          <w:rFonts w:ascii="Times New Roman" w:hAnsi="Times New Roman" w:cs="Times New Roman"/>
          <w:bCs/>
          <w:spacing w:val="-3"/>
        </w:rPr>
        <w:t xml:space="preserve">) </w:t>
      </w:r>
      <w:r w:rsidRPr="00665D14">
        <w:rPr>
          <w:rFonts w:ascii="Times New Roman" w:hAnsi="Times New Roman" w:cs="Times New Roman"/>
          <w:spacing w:val="-3"/>
        </w:rPr>
        <w:t xml:space="preserve"> for t</w:t>
      </w:r>
      <w:r w:rsidRPr="00665D14">
        <w:rPr>
          <w:rFonts w:ascii="Times New Roman" w:hAnsi="Times New Roman" w:cs="Times New Roman"/>
          <w:bCs/>
          <w:spacing w:val="-3"/>
        </w:rPr>
        <w:t>he</w:t>
      </w:r>
      <w:r w:rsidRPr="00665D14">
        <w:rPr>
          <w:rFonts w:ascii="Times New Roman" w:hAnsi="Times New Roman" w:cs="Times New Roman"/>
          <w:spacing w:val="-3"/>
        </w:rPr>
        <w:t xml:space="preserve"> </w:t>
      </w:r>
      <w:r w:rsidRPr="00665D14">
        <w:rPr>
          <w:rFonts w:ascii="Times New Roman" w:hAnsi="Times New Roman" w:cs="Times New Roman"/>
          <w:bCs/>
          <w:spacing w:val="-3"/>
        </w:rPr>
        <w:t>Appellant</w:t>
      </w:r>
    </w:p>
    <w:p w14:paraId="345938B7" w14:textId="62E55925" w:rsidR="00E43E64" w:rsidRPr="00665D14" w:rsidRDefault="00E43E64" w:rsidP="00E43E64">
      <w:pPr>
        <w:suppressAutoHyphens/>
        <w:jc w:val="center"/>
        <w:rPr>
          <w:rFonts w:ascii="Times New Roman" w:hAnsi="Times New Roman" w:cs="Times New Roman"/>
          <w:bCs/>
          <w:spacing w:val="-3"/>
        </w:rPr>
      </w:pPr>
      <w:r w:rsidRPr="00FB2D96">
        <w:rPr>
          <w:rFonts w:ascii="Times New Roman" w:hAnsi="Times New Roman" w:cs="Times New Roman"/>
          <w:b/>
          <w:spacing w:val="-3"/>
        </w:rPr>
        <w:t>M</w:t>
      </w:r>
      <w:r>
        <w:rPr>
          <w:rFonts w:ascii="Times New Roman" w:hAnsi="Times New Roman" w:cs="Times New Roman"/>
          <w:b/>
          <w:spacing w:val="-3"/>
        </w:rPr>
        <w:t>s Sarah Robson</w:t>
      </w:r>
      <w:r w:rsidRPr="00665D14">
        <w:rPr>
          <w:rFonts w:ascii="Times New Roman" w:hAnsi="Times New Roman" w:cs="Times New Roman"/>
          <w:spacing w:val="-3"/>
        </w:rPr>
        <w:t xml:space="preserve"> </w:t>
      </w:r>
      <w:r w:rsidRPr="00665D14">
        <w:rPr>
          <w:rFonts w:ascii="Times New Roman" w:hAnsi="Times New Roman" w:cs="Times New Roman"/>
          <w:bCs/>
          <w:spacing w:val="-3"/>
        </w:rPr>
        <w:t>(instructed by</w:t>
      </w:r>
      <w:r w:rsidRPr="00E43E64">
        <w:rPr>
          <w:rFonts w:ascii="Times New Roman" w:hAnsi="Times New Roman" w:cs="Times New Roman"/>
          <w:bCs/>
          <w:spacing w:val="-3"/>
        </w:rPr>
        <w:t xml:space="preserve"> </w:t>
      </w:r>
      <w:proofErr w:type="spellStart"/>
      <w:r>
        <w:rPr>
          <w:rFonts w:ascii="Times New Roman" w:hAnsi="Times New Roman" w:cs="Times New Roman"/>
          <w:bCs/>
          <w:spacing w:val="-3"/>
        </w:rPr>
        <w:t>Canford</w:t>
      </w:r>
      <w:proofErr w:type="spellEnd"/>
      <w:r>
        <w:rPr>
          <w:rFonts w:ascii="Times New Roman" w:hAnsi="Times New Roman" w:cs="Times New Roman"/>
          <w:bCs/>
          <w:spacing w:val="-3"/>
        </w:rPr>
        <w:t xml:space="preserve"> Law Solicitors</w:t>
      </w:r>
      <w:r w:rsidRPr="00665D14">
        <w:rPr>
          <w:rFonts w:ascii="Times New Roman" w:hAnsi="Times New Roman" w:cs="Times New Roman"/>
          <w:bCs/>
          <w:spacing w:val="-3"/>
        </w:rPr>
        <w:t xml:space="preserve">) for the </w:t>
      </w:r>
      <w:r>
        <w:rPr>
          <w:rFonts w:ascii="Times New Roman" w:hAnsi="Times New Roman" w:cs="Times New Roman"/>
          <w:spacing w:val="-3"/>
        </w:rPr>
        <w:t>Respondent</w:t>
      </w:r>
    </w:p>
    <w:p w14:paraId="5DE198A0" w14:textId="77777777" w:rsidR="00E43E64" w:rsidRPr="00665D14" w:rsidRDefault="00E43E64" w:rsidP="00E43E64">
      <w:pPr>
        <w:suppressAutoHyphens/>
        <w:jc w:val="center"/>
        <w:rPr>
          <w:rFonts w:ascii="Times New Roman" w:hAnsi="Times New Roman" w:cs="Times New Roman"/>
          <w:b/>
          <w:spacing w:val="-3"/>
        </w:rPr>
      </w:pPr>
    </w:p>
    <w:p w14:paraId="32A90B4A" w14:textId="41C94138" w:rsidR="00E43E64" w:rsidRPr="00665D14" w:rsidRDefault="00E43E64" w:rsidP="00E43E64">
      <w:pPr>
        <w:suppressAutoHyphens/>
        <w:jc w:val="center"/>
        <w:rPr>
          <w:rFonts w:ascii="Times New Roman" w:hAnsi="Times New Roman" w:cs="Times New Roman"/>
          <w:spacing w:val="-3"/>
        </w:rPr>
      </w:pPr>
      <w:r w:rsidRPr="00665D14">
        <w:rPr>
          <w:rFonts w:ascii="Times New Roman" w:hAnsi="Times New Roman" w:cs="Times New Roman"/>
          <w:spacing w:val="-3"/>
        </w:rPr>
        <w:t xml:space="preserve">Hearing date: </w:t>
      </w:r>
      <w:r>
        <w:rPr>
          <w:rFonts w:ascii="Times New Roman" w:hAnsi="Times New Roman" w:cs="Times New Roman"/>
          <w:spacing w:val="-3"/>
        </w:rPr>
        <w:t>29</w:t>
      </w:r>
      <w:r w:rsidRPr="00E43E64">
        <w:rPr>
          <w:rFonts w:ascii="Times New Roman" w:hAnsi="Times New Roman" w:cs="Times New Roman"/>
          <w:spacing w:val="-3"/>
          <w:vertAlign w:val="superscript"/>
        </w:rPr>
        <w:t>th</w:t>
      </w:r>
      <w:r>
        <w:rPr>
          <w:rFonts w:ascii="Times New Roman" w:hAnsi="Times New Roman" w:cs="Times New Roman"/>
          <w:spacing w:val="-3"/>
        </w:rPr>
        <w:t xml:space="preserve"> September 2020</w:t>
      </w:r>
    </w:p>
    <w:p w14:paraId="79262081" w14:textId="73CA31AE" w:rsidR="00E43E64" w:rsidRDefault="00E43E64">
      <w:pPr>
        <w:rPr>
          <w:rFonts w:ascii="Times New Roman" w:hAnsi="Times New Roman" w:cs="Times New Roman"/>
          <w:b/>
          <w:bCs/>
          <w:sz w:val="24"/>
          <w:szCs w:val="24"/>
          <w:u w:val="single"/>
        </w:rPr>
      </w:pPr>
    </w:p>
    <w:p w14:paraId="2EE0DDF1" w14:textId="03AF389A" w:rsidR="00E43E64" w:rsidRDefault="00E43E64">
      <w:pPr>
        <w:rPr>
          <w:rFonts w:ascii="Times New Roman" w:hAnsi="Times New Roman" w:cs="Times New Roman"/>
          <w:b/>
          <w:bCs/>
          <w:sz w:val="24"/>
          <w:szCs w:val="24"/>
          <w:u w:val="single"/>
        </w:rPr>
      </w:pPr>
    </w:p>
    <w:p w14:paraId="741B1B72" w14:textId="62BCFB7A" w:rsidR="00E43E64" w:rsidRPr="00E43E64" w:rsidRDefault="005A365A" w:rsidP="00E43E64">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APPROVED</w:t>
      </w:r>
      <w:r w:rsidR="00E43E64" w:rsidRPr="00E43E64">
        <w:rPr>
          <w:rFonts w:ascii="Times New Roman" w:hAnsi="Times New Roman" w:cs="Times New Roman"/>
          <w:b/>
          <w:bCs/>
          <w:sz w:val="32"/>
          <w:szCs w:val="32"/>
          <w:u w:val="single"/>
        </w:rPr>
        <w:t xml:space="preserve"> JUDGMENT</w:t>
      </w:r>
    </w:p>
    <w:p w14:paraId="5018F95E" w14:textId="77777777" w:rsidR="00E43E64" w:rsidRDefault="00E43E64">
      <w:pPr>
        <w:rPr>
          <w:rFonts w:ascii="Times New Roman" w:hAnsi="Times New Roman" w:cs="Times New Roman"/>
          <w:b/>
          <w:bCs/>
          <w:sz w:val="24"/>
          <w:szCs w:val="24"/>
          <w:u w:val="single"/>
        </w:rPr>
      </w:pPr>
    </w:p>
    <w:p w14:paraId="0FCBD9BB" w14:textId="77777777" w:rsidR="00E43E64" w:rsidRDefault="00E43E6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A2EE056" w14:textId="692371A6" w:rsidR="002F7333" w:rsidRPr="00072C88" w:rsidRDefault="002F7333">
      <w:pPr>
        <w:rPr>
          <w:rFonts w:ascii="Times New Roman" w:hAnsi="Times New Roman" w:cs="Times New Roman"/>
          <w:b/>
          <w:bCs/>
          <w:sz w:val="24"/>
          <w:szCs w:val="24"/>
          <w:u w:val="single"/>
        </w:rPr>
      </w:pPr>
      <w:r w:rsidRPr="00072C88">
        <w:rPr>
          <w:rFonts w:ascii="Times New Roman" w:hAnsi="Times New Roman" w:cs="Times New Roman"/>
          <w:b/>
          <w:bCs/>
          <w:sz w:val="24"/>
          <w:szCs w:val="24"/>
          <w:u w:val="single"/>
        </w:rPr>
        <w:lastRenderedPageBreak/>
        <w:t>Introduction</w:t>
      </w:r>
    </w:p>
    <w:p w14:paraId="68F4B632" w14:textId="77777777" w:rsidR="002F7333" w:rsidRPr="00072C88" w:rsidRDefault="002F7333">
      <w:pPr>
        <w:rPr>
          <w:rFonts w:ascii="Times New Roman" w:hAnsi="Times New Roman" w:cs="Times New Roman"/>
          <w:b/>
          <w:bCs/>
          <w:sz w:val="24"/>
          <w:szCs w:val="24"/>
          <w:u w:val="single"/>
        </w:rPr>
      </w:pPr>
    </w:p>
    <w:p w14:paraId="35AF385A" w14:textId="2802B036" w:rsidR="00F75427" w:rsidRPr="00072C88" w:rsidRDefault="002F7333">
      <w:pPr>
        <w:rPr>
          <w:rFonts w:ascii="Times New Roman" w:hAnsi="Times New Roman" w:cs="Times New Roman"/>
          <w:sz w:val="24"/>
          <w:szCs w:val="24"/>
        </w:rPr>
      </w:pPr>
      <w:r w:rsidRPr="00072C88">
        <w:rPr>
          <w:rFonts w:ascii="Times New Roman" w:hAnsi="Times New Roman" w:cs="Times New Roman"/>
          <w:sz w:val="24"/>
          <w:szCs w:val="24"/>
        </w:rPr>
        <w:t>1.</w:t>
      </w:r>
      <w:r w:rsidRPr="00072C88">
        <w:rPr>
          <w:rFonts w:ascii="Times New Roman" w:hAnsi="Times New Roman" w:cs="Times New Roman"/>
          <w:sz w:val="24"/>
          <w:szCs w:val="24"/>
        </w:rPr>
        <w:tab/>
      </w:r>
      <w:r w:rsidR="00961785" w:rsidRPr="00072C88">
        <w:rPr>
          <w:rFonts w:ascii="Times New Roman" w:hAnsi="Times New Roman" w:cs="Times New Roman"/>
          <w:sz w:val="24"/>
          <w:szCs w:val="24"/>
        </w:rPr>
        <w:t xml:space="preserve">The issue on this appeal is whether or not an admission by </w:t>
      </w:r>
      <w:r w:rsidR="00D30DA9" w:rsidRPr="00072C88">
        <w:rPr>
          <w:rFonts w:ascii="Times New Roman" w:hAnsi="Times New Roman" w:cs="Times New Roman"/>
          <w:sz w:val="24"/>
          <w:szCs w:val="24"/>
        </w:rPr>
        <w:t xml:space="preserve">an </w:t>
      </w:r>
      <w:r w:rsidR="00961785" w:rsidRPr="00072C88">
        <w:rPr>
          <w:rFonts w:ascii="Times New Roman" w:hAnsi="Times New Roman" w:cs="Times New Roman"/>
          <w:sz w:val="24"/>
          <w:szCs w:val="24"/>
        </w:rPr>
        <w:t xml:space="preserve">insurance company </w:t>
      </w:r>
      <w:r w:rsidR="00D30DA9" w:rsidRPr="00072C88">
        <w:rPr>
          <w:rFonts w:ascii="Times New Roman" w:hAnsi="Times New Roman" w:cs="Times New Roman"/>
          <w:sz w:val="24"/>
          <w:szCs w:val="24"/>
        </w:rPr>
        <w:t xml:space="preserve">backed defendant </w:t>
      </w:r>
      <w:r w:rsidR="00961785" w:rsidRPr="00072C88">
        <w:rPr>
          <w:rFonts w:ascii="Times New Roman" w:hAnsi="Times New Roman" w:cs="Times New Roman"/>
          <w:sz w:val="24"/>
          <w:szCs w:val="24"/>
        </w:rPr>
        <w:t xml:space="preserve">within the RTA portal (the </w:t>
      </w:r>
      <w:r w:rsidR="00EC0524" w:rsidRPr="00072C88">
        <w:rPr>
          <w:rFonts w:ascii="Times New Roman" w:hAnsi="Times New Roman" w:cs="Times New Roman"/>
          <w:sz w:val="24"/>
          <w:szCs w:val="24"/>
        </w:rPr>
        <w:t>P</w:t>
      </w:r>
      <w:r w:rsidR="00961785" w:rsidRPr="00072C88">
        <w:rPr>
          <w:rFonts w:ascii="Times New Roman" w:hAnsi="Times New Roman" w:cs="Times New Roman"/>
          <w:sz w:val="24"/>
          <w:szCs w:val="24"/>
        </w:rPr>
        <w:t xml:space="preserve">re-action </w:t>
      </w:r>
      <w:r w:rsidR="00EC0524" w:rsidRPr="00072C88">
        <w:rPr>
          <w:rFonts w:ascii="Times New Roman" w:hAnsi="Times New Roman" w:cs="Times New Roman"/>
          <w:sz w:val="24"/>
          <w:szCs w:val="24"/>
        </w:rPr>
        <w:t>P</w:t>
      </w:r>
      <w:r w:rsidR="00961785" w:rsidRPr="00072C88">
        <w:rPr>
          <w:rFonts w:ascii="Times New Roman" w:hAnsi="Times New Roman" w:cs="Times New Roman"/>
          <w:sz w:val="24"/>
          <w:szCs w:val="24"/>
        </w:rPr>
        <w:t xml:space="preserve">rotocol for </w:t>
      </w:r>
      <w:r w:rsidR="00EC0524" w:rsidRPr="00072C88">
        <w:rPr>
          <w:rFonts w:ascii="Times New Roman" w:hAnsi="Times New Roman" w:cs="Times New Roman"/>
          <w:sz w:val="24"/>
          <w:szCs w:val="24"/>
        </w:rPr>
        <w:t>L</w:t>
      </w:r>
      <w:r w:rsidR="00961785" w:rsidRPr="00072C88">
        <w:rPr>
          <w:rFonts w:ascii="Times New Roman" w:hAnsi="Times New Roman" w:cs="Times New Roman"/>
          <w:sz w:val="24"/>
          <w:szCs w:val="24"/>
        </w:rPr>
        <w:t xml:space="preserve">ow </w:t>
      </w:r>
      <w:r w:rsidR="00EC0524" w:rsidRPr="00072C88">
        <w:rPr>
          <w:rFonts w:ascii="Times New Roman" w:hAnsi="Times New Roman" w:cs="Times New Roman"/>
          <w:sz w:val="24"/>
          <w:szCs w:val="24"/>
        </w:rPr>
        <w:t>V</w:t>
      </w:r>
      <w:r w:rsidR="00961785" w:rsidRPr="00072C88">
        <w:rPr>
          <w:rFonts w:ascii="Times New Roman" w:hAnsi="Times New Roman" w:cs="Times New Roman"/>
          <w:sz w:val="24"/>
          <w:szCs w:val="24"/>
        </w:rPr>
        <w:t xml:space="preserve">alue </w:t>
      </w:r>
      <w:r w:rsidR="00EC0524" w:rsidRPr="00072C88">
        <w:rPr>
          <w:rFonts w:ascii="Times New Roman" w:hAnsi="Times New Roman" w:cs="Times New Roman"/>
          <w:sz w:val="24"/>
          <w:szCs w:val="24"/>
        </w:rPr>
        <w:t>P</w:t>
      </w:r>
      <w:r w:rsidR="00961785" w:rsidRPr="00072C88">
        <w:rPr>
          <w:rFonts w:ascii="Times New Roman" w:hAnsi="Times New Roman" w:cs="Times New Roman"/>
          <w:sz w:val="24"/>
          <w:szCs w:val="24"/>
        </w:rPr>
        <w:t xml:space="preserve">ersonal </w:t>
      </w:r>
      <w:r w:rsidR="00EC0524" w:rsidRPr="00072C88">
        <w:rPr>
          <w:rFonts w:ascii="Times New Roman" w:hAnsi="Times New Roman" w:cs="Times New Roman"/>
          <w:sz w:val="24"/>
          <w:szCs w:val="24"/>
        </w:rPr>
        <w:t>I</w:t>
      </w:r>
      <w:r w:rsidR="00961785" w:rsidRPr="00072C88">
        <w:rPr>
          <w:rFonts w:ascii="Times New Roman" w:hAnsi="Times New Roman" w:cs="Times New Roman"/>
          <w:sz w:val="24"/>
          <w:szCs w:val="24"/>
        </w:rPr>
        <w:t xml:space="preserve">njury </w:t>
      </w:r>
      <w:r w:rsidR="00EC0524" w:rsidRPr="00072C88">
        <w:rPr>
          <w:rFonts w:ascii="Times New Roman" w:hAnsi="Times New Roman" w:cs="Times New Roman"/>
          <w:sz w:val="24"/>
          <w:szCs w:val="24"/>
        </w:rPr>
        <w:t>C</w:t>
      </w:r>
      <w:r w:rsidR="00961785" w:rsidRPr="00072C88">
        <w:rPr>
          <w:rFonts w:ascii="Times New Roman" w:hAnsi="Times New Roman" w:cs="Times New Roman"/>
          <w:sz w:val="24"/>
          <w:szCs w:val="24"/>
        </w:rPr>
        <w:t>laims in RTAs</w:t>
      </w:r>
      <w:r w:rsidR="002F59A8" w:rsidRPr="00072C88">
        <w:rPr>
          <w:rFonts w:ascii="Times New Roman" w:hAnsi="Times New Roman" w:cs="Times New Roman"/>
          <w:sz w:val="24"/>
          <w:szCs w:val="24"/>
        </w:rPr>
        <w:t>, [the “protocol”]</w:t>
      </w:r>
      <w:r w:rsidR="00961785" w:rsidRPr="00072C88">
        <w:rPr>
          <w:rFonts w:ascii="Times New Roman" w:hAnsi="Times New Roman" w:cs="Times New Roman"/>
          <w:sz w:val="24"/>
          <w:szCs w:val="24"/>
        </w:rPr>
        <w:t xml:space="preserve">) subsequently precludes the insured individual from bringing his own claim for personal injuries in separate proceedings. It is an issue which has been </w:t>
      </w:r>
      <w:r w:rsidRPr="00072C88">
        <w:rPr>
          <w:rFonts w:ascii="Times New Roman" w:hAnsi="Times New Roman" w:cs="Times New Roman"/>
          <w:sz w:val="24"/>
          <w:szCs w:val="24"/>
        </w:rPr>
        <w:t>considered</w:t>
      </w:r>
      <w:r w:rsidR="00961785" w:rsidRPr="00072C88">
        <w:rPr>
          <w:rFonts w:ascii="Times New Roman" w:hAnsi="Times New Roman" w:cs="Times New Roman"/>
          <w:sz w:val="24"/>
          <w:szCs w:val="24"/>
        </w:rPr>
        <w:t xml:space="preserve"> at first instance in several decisions which are conflicting, but it has yet to be the subject of higher authority.</w:t>
      </w:r>
    </w:p>
    <w:p w14:paraId="655F8F38" w14:textId="1E0637A1" w:rsidR="00961785" w:rsidRPr="00072C88" w:rsidRDefault="00961785">
      <w:pPr>
        <w:rPr>
          <w:rFonts w:ascii="Times New Roman" w:hAnsi="Times New Roman" w:cs="Times New Roman"/>
          <w:sz w:val="24"/>
          <w:szCs w:val="24"/>
        </w:rPr>
      </w:pPr>
    </w:p>
    <w:p w14:paraId="6F90DE9F" w14:textId="76AA52BE" w:rsidR="00961785" w:rsidRPr="00072C88" w:rsidRDefault="002F7333">
      <w:pPr>
        <w:rPr>
          <w:rFonts w:ascii="Times New Roman" w:hAnsi="Times New Roman" w:cs="Times New Roman"/>
          <w:sz w:val="24"/>
          <w:szCs w:val="24"/>
        </w:rPr>
      </w:pPr>
      <w:r w:rsidRPr="00072C88">
        <w:rPr>
          <w:rFonts w:ascii="Times New Roman" w:hAnsi="Times New Roman" w:cs="Times New Roman"/>
          <w:sz w:val="24"/>
          <w:szCs w:val="24"/>
        </w:rPr>
        <w:t>2.</w:t>
      </w:r>
      <w:r w:rsidRPr="00072C88">
        <w:rPr>
          <w:rFonts w:ascii="Times New Roman" w:hAnsi="Times New Roman" w:cs="Times New Roman"/>
          <w:sz w:val="24"/>
          <w:szCs w:val="24"/>
        </w:rPr>
        <w:tab/>
      </w:r>
      <w:r w:rsidR="00961785" w:rsidRPr="00072C88">
        <w:rPr>
          <w:rFonts w:ascii="Times New Roman" w:hAnsi="Times New Roman" w:cs="Times New Roman"/>
          <w:sz w:val="24"/>
          <w:szCs w:val="24"/>
        </w:rPr>
        <w:t>Specifically the issue arises in circumstances where the deputy district judge</w:t>
      </w:r>
      <w:r w:rsidR="00EC0524" w:rsidRPr="00072C88">
        <w:rPr>
          <w:rFonts w:ascii="Times New Roman" w:hAnsi="Times New Roman" w:cs="Times New Roman"/>
          <w:sz w:val="24"/>
          <w:szCs w:val="24"/>
        </w:rPr>
        <w:t>’s</w:t>
      </w:r>
      <w:r w:rsidR="00961785" w:rsidRPr="00072C88">
        <w:rPr>
          <w:rFonts w:ascii="Times New Roman" w:hAnsi="Times New Roman" w:cs="Times New Roman"/>
          <w:sz w:val="24"/>
          <w:szCs w:val="24"/>
        </w:rPr>
        <w:t xml:space="preserve"> decision handed down on 18</w:t>
      </w:r>
      <w:r w:rsidR="00D30DA9" w:rsidRPr="00072C88">
        <w:rPr>
          <w:rFonts w:ascii="Times New Roman" w:hAnsi="Times New Roman" w:cs="Times New Roman"/>
          <w:sz w:val="24"/>
          <w:szCs w:val="24"/>
          <w:vertAlign w:val="superscript"/>
        </w:rPr>
        <w:t>th</w:t>
      </w:r>
      <w:r w:rsidR="00961785" w:rsidRPr="00072C88">
        <w:rPr>
          <w:rFonts w:ascii="Times New Roman" w:hAnsi="Times New Roman" w:cs="Times New Roman"/>
          <w:sz w:val="24"/>
          <w:szCs w:val="24"/>
        </w:rPr>
        <w:t xml:space="preserve"> November 2019 allowed an application by the present defendant for the claim to be struck out pursuant to CPR 3.4 as an abuse of process or on the basis that the claim disclosed no reasonable cause of action. There had also been an application for summary </w:t>
      </w:r>
      <w:r w:rsidRPr="00072C88">
        <w:rPr>
          <w:rFonts w:ascii="Times New Roman" w:hAnsi="Times New Roman" w:cs="Times New Roman"/>
          <w:sz w:val="24"/>
          <w:szCs w:val="24"/>
        </w:rPr>
        <w:t>judgment</w:t>
      </w:r>
      <w:r w:rsidR="00961785" w:rsidRPr="00072C88">
        <w:rPr>
          <w:rFonts w:ascii="Times New Roman" w:hAnsi="Times New Roman" w:cs="Times New Roman"/>
          <w:sz w:val="24"/>
          <w:szCs w:val="24"/>
        </w:rPr>
        <w:t xml:space="preserve">, but there appears to have been no </w:t>
      </w:r>
      <w:r w:rsidRPr="00072C88">
        <w:rPr>
          <w:rFonts w:ascii="Times New Roman" w:hAnsi="Times New Roman" w:cs="Times New Roman"/>
          <w:sz w:val="24"/>
          <w:szCs w:val="24"/>
        </w:rPr>
        <w:t>judgment</w:t>
      </w:r>
      <w:r w:rsidR="00961785" w:rsidRPr="00072C88">
        <w:rPr>
          <w:rFonts w:ascii="Times New Roman" w:hAnsi="Times New Roman" w:cs="Times New Roman"/>
          <w:sz w:val="24"/>
          <w:szCs w:val="24"/>
        </w:rPr>
        <w:t xml:space="preserve"> made in relation to that.</w:t>
      </w:r>
    </w:p>
    <w:p w14:paraId="125F6805" w14:textId="56285066" w:rsidR="00961785" w:rsidRPr="00072C88" w:rsidRDefault="00961785">
      <w:pPr>
        <w:rPr>
          <w:rFonts w:ascii="Times New Roman" w:hAnsi="Times New Roman" w:cs="Times New Roman"/>
          <w:sz w:val="24"/>
          <w:szCs w:val="24"/>
        </w:rPr>
      </w:pPr>
    </w:p>
    <w:p w14:paraId="63A129E7" w14:textId="536F45A5" w:rsidR="00961785" w:rsidRPr="00072C88" w:rsidRDefault="002F7333">
      <w:pPr>
        <w:rPr>
          <w:rFonts w:ascii="Times New Roman" w:hAnsi="Times New Roman" w:cs="Times New Roman"/>
          <w:sz w:val="24"/>
          <w:szCs w:val="24"/>
        </w:rPr>
      </w:pPr>
      <w:r w:rsidRPr="00072C88">
        <w:rPr>
          <w:rFonts w:ascii="Times New Roman" w:hAnsi="Times New Roman" w:cs="Times New Roman"/>
          <w:sz w:val="24"/>
          <w:szCs w:val="24"/>
        </w:rPr>
        <w:t>3.</w:t>
      </w:r>
      <w:r w:rsidRPr="00072C88">
        <w:rPr>
          <w:rFonts w:ascii="Times New Roman" w:hAnsi="Times New Roman" w:cs="Times New Roman"/>
          <w:sz w:val="24"/>
          <w:szCs w:val="24"/>
        </w:rPr>
        <w:tab/>
      </w:r>
      <w:r w:rsidR="00961785" w:rsidRPr="00072C88">
        <w:rPr>
          <w:rFonts w:ascii="Times New Roman" w:hAnsi="Times New Roman" w:cs="Times New Roman"/>
          <w:sz w:val="24"/>
          <w:szCs w:val="24"/>
        </w:rPr>
        <w:t xml:space="preserve">The </w:t>
      </w:r>
      <w:r w:rsidRPr="00072C88">
        <w:rPr>
          <w:rFonts w:ascii="Times New Roman" w:hAnsi="Times New Roman" w:cs="Times New Roman"/>
          <w:sz w:val="24"/>
          <w:szCs w:val="24"/>
        </w:rPr>
        <w:t>C</w:t>
      </w:r>
      <w:r w:rsidR="00961785" w:rsidRPr="00072C88">
        <w:rPr>
          <w:rFonts w:ascii="Times New Roman" w:hAnsi="Times New Roman" w:cs="Times New Roman"/>
          <w:sz w:val="24"/>
          <w:szCs w:val="24"/>
        </w:rPr>
        <w:t xml:space="preserve">laimant has sought to appeal the decision of </w:t>
      </w:r>
      <w:r w:rsidR="00D30DA9" w:rsidRPr="00072C88">
        <w:rPr>
          <w:rFonts w:ascii="Times New Roman" w:hAnsi="Times New Roman" w:cs="Times New Roman"/>
          <w:sz w:val="24"/>
          <w:szCs w:val="24"/>
        </w:rPr>
        <w:t>D</w:t>
      </w:r>
      <w:r w:rsidR="00961785" w:rsidRPr="00072C88">
        <w:rPr>
          <w:rFonts w:ascii="Times New Roman" w:hAnsi="Times New Roman" w:cs="Times New Roman"/>
          <w:sz w:val="24"/>
          <w:szCs w:val="24"/>
        </w:rPr>
        <w:t xml:space="preserve">eputy </w:t>
      </w:r>
      <w:r w:rsidR="00D30DA9" w:rsidRPr="00072C88">
        <w:rPr>
          <w:rFonts w:ascii="Times New Roman" w:hAnsi="Times New Roman" w:cs="Times New Roman"/>
          <w:sz w:val="24"/>
          <w:szCs w:val="24"/>
        </w:rPr>
        <w:t>D</w:t>
      </w:r>
      <w:r w:rsidR="00961785" w:rsidRPr="00072C88">
        <w:rPr>
          <w:rFonts w:ascii="Times New Roman" w:hAnsi="Times New Roman" w:cs="Times New Roman"/>
          <w:sz w:val="24"/>
          <w:szCs w:val="24"/>
        </w:rPr>
        <w:t xml:space="preserve">istrict </w:t>
      </w:r>
      <w:r w:rsidR="00D30DA9" w:rsidRPr="00072C88">
        <w:rPr>
          <w:rFonts w:ascii="Times New Roman" w:hAnsi="Times New Roman" w:cs="Times New Roman"/>
          <w:sz w:val="24"/>
          <w:szCs w:val="24"/>
        </w:rPr>
        <w:t>J</w:t>
      </w:r>
      <w:r w:rsidR="00961785" w:rsidRPr="00072C88">
        <w:rPr>
          <w:rFonts w:ascii="Times New Roman" w:hAnsi="Times New Roman" w:cs="Times New Roman"/>
          <w:sz w:val="24"/>
          <w:szCs w:val="24"/>
        </w:rPr>
        <w:t>udge C</w:t>
      </w:r>
      <w:r w:rsidR="00EC0524" w:rsidRPr="00072C88">
        <w:rPr>
          <w:rFonts w:ascii="Times New Roman" w:hAnsi="Times New Roman" w:cs="Times New Roman"/>
          <w:sz w:val="24"/>
          <w:szCs w:val="24"/>
        </w:rPr>
        <w:t>au</w:t>
      </w:r>
      <w:r w:rsidR="00961785" w:rsidRPr="00072C88">
        <w:rPr>
          <w:rFonts w:ascii="Times New Roman" w:hAnsi="Times New Roman" w:cs="Times New Roman"/>
          <w:sz w:val="24"/>
          <w:szCs w:val="24"/>
        </w:rPr>
        <w:t>ston, but was refused permission on the papers by my colleague His Honour Judge Gregory. On an application for oral renewal the matter was listed for a rolled-up hearing (</w:t>
      </w:r>
      <w:proofErr w:type="spellStart"/>
      <w:r w:rsidR="00961785" w:rsidRPr="00072C88">
        <w:rPr>
          <w:rFonts w:ascii="Times New Roman" w:hAnsi="Times New Roman" w:cs="Times New Roman"/>
          <w:sz w:val="24"/>
          <w:szCs w:val="24"/>
        </w:rPr>
        <w:t>ie</w:t>
      </w:r>
      <w:proofErr w:type="spellEnd"/>
      <w:r w:rsidR="00961785" w:rsidRPr="00072C88">
        <w:rPr>
          <w:rFonts w:ascii="Times New Roman" w:hAnsi="Times New Roman" w:cs="Times New Roman"/>
          <w:sz w:val="24"/>
          <w:szCs w:val="24"/>
        </w:rPr>
        <w:t xml:space="preserve"> both the consideration of permission and the substantive hearing i</w:t>
      </w:r>
      <w:r w:rsidR="00D30DA9" w:rsidRPr="00072C88">
        <w:rPr>
          <w:rFonts w:ascii="Times New Roman" w:hAnsi="Times New Roman" w:cs="Times New Roman"/>
          <w:sz w:val="24"/>
          <w:szCs w:val="24"/>
        </w:rPr>
        <w:t>f</w:t>
      </w:r>
      <w:r w:rsidR="00961785" w:rsidRPr="00072C88">
        <w:rPr>
          <w:rFonts w:ascii="Times New Roman" w:hAnsi="Times New Roman" w:cs="Times New Roman"/>
          <w:sz w:val="24"/>
          <w:szCs w:val="24"/>
        </w:rPr>
        <w:t xml:space="preserve"> granted to follow) because the defendant had pursued a cross-appeal in relation to the order for costs.</w:t>
      </w:r>
    </w:p>
    <w:p w14:paraId="75F6A76E" w14:textId="128217F5" w:rsidR="00961785" w:rsidRPr="00072C88" w:rsidRDefault="00961785">
      <w:pPr>
        <w:rPr>
          <w:rFonts w:ascii="Times New Roman" w:hAnsi="Times New Roman" w:cs="Times New Roman"/>
          <w:sz w:val="24"/>
          <w:szCs w:val="24"/>
        </w:rPr>
      </w:pPr>
    </w:p>
    <w:p w14:paraId="23DDC22F" w14:textId="7AFA0639" w:rsidR="00961785" w:rsidRPr="00072C88" w:rsidRDefault="002F7333">
      <w:pPr>
        <w:rPr>
          <w:rFonts w:ascii="Times New Roman" w:hAnsi="Times New Roman" w:cs="Times New Roman"/>
          <w:sz w:val="24"/>
          <w:szCs w:val="24"/>
        </w:rPr>
      </w:pPr>
      <w:r w:rsidRPr="00072C88">
        <w:rPr>
          <w:rFonts w:ascii="Times New Roman" w:hAnsi="Times New Roman" w:cs="Times New Roman"/>
          <w:sz w:val="24"/>
          <w:szCs w:val="24"/>
        </w:rPr>
        <w:t>4.</w:t>
      </w:r>
      <w:r w:rsidRPr="00072C88">
        <w:rPr>
          <w:rFonts w:ascii="Times New Roman" w:hAnsi="Times New Roman" w:cs="Times New Roman"/>
          <w:sz w:val="24"/>
          <w:szCs w:val="24"/>
        </w:rPr>
        <w:tab/>
      </w:r>
      <w:r w:rsidR="00961785" w:rsidRPr="00072C88">
        <w:rPr>
          <w:rFonts w:ascii="Times New Roman" w:hAnsi="Times New Roman" w:cs="Times New Roman"/>
          <w:sz w:val="24"/>
          <w:szCs w:val="24"/>
        </w:rPr>
        <w:t>On 29</w:t>
      </w:r>
      <w:r w:rsidR="00961785" w:rsidRPr="00072C88">
        <w:rPr>
          <w:rFonts w:ascii="Times New Roman" w:hAnsi="Times New Roman" w:cs="Times New Roman"/>
          <w:sz w:val="24"/>
          <w:szCs w:val="24"/>
          <w:vertAlign w:val="superscript"/>
        </w:rPr>
        <w:t>th</w:t>
      </w:r>
      <w:r w:rsidR="00961785" w:rsidRPr="00072C88">
        <w:rPr>
          <w:rFonts w:ascii="Times New Roman" w:hAnsi="Times New Roman" w:cs="Times New Roman"/>
          <w:sz w:val="24"/>
          <w:szCs w:val="24"/>
        </w:rPr>
        <w:t xml:space="preserve"> September I heard oral submission</w:t>
      </w:r>
      <w:r w:rsidR="00EC0524" w:rsidRPr="00072C88">
        <w:rPr>
          <w:rFonts w:ascii="Times New Roman" w:hAnsi="Times New Roman" w:cs="Times New Roman"/>
          <w:sz w:val="24"/>
          <w:szCs w:val="24"/>
        </w:rPr>
        <w:t>s</w:t>
      </w:r>
      <w:r w:rsidR="00961785" w:rsidRPr="00072C88">
        <w:rPr>
          <w:rFonts w:ascii="Times New Roman" w:hAnsi="Times New Roman" w:cs="Times New Roman"/>
          <w:sz w:val="24"/>
          <w:szCs w:val="24"/>
        </w:rPr>
        <w:t xml:space="preserve"> from counsel on behalf of the parties and indicated that I would reserve my </w:t>
      </w:r>
      <w:r w:rsidRPr="00072C88">
        <w:rPr>
          <w:rFonts w:ascii="Times New Roman" w:hAnsi="Times New Roman" w:cs="Times New Roman"/>
          <w:sz w:val="24"/>
          <w:szCs w:val="24"/>
        </w:rPr>
        <w:t>judgment</w:t>
      </w:r>
      <w:r w:rsidR="00961785" w:rsidRPr="00072C88">
        <w:rPr>
          <w:rFonts w:ascii="Times New Roman" w:hAnsi="Times New Roman" w:cs="Times New Roman"/>
          <w:sz w:val="24"/>
          <w:szCs w:val="24"/>
        </w:rPr>
        <w:t xml:space="preserve">. </w:t>
      </w:r>
      <w:r w:rsidR="005A365A">
        <w:rPr>
          <w:rFonts w:ascii="Times New Roman" w:hAnsi="Times New Roman" w:cs="Times New Roman"/>
          <w:sz w:val="24"/>
          <w:szCs w:val="24"/>
        </w:rPr>
        <w:t xml:space="preserve">Whilst counsel for the Respondent agreed that full argument could be heard yet did not agree that the permission threshold was crossed, as will become apparent I have come to the conclusion that the appeal is arguable and permission should be granted for </w:t>
      </w:r>
      <w:r w:rsidR="007C39C5" w:rsidRPr="00072C88">
        <w:rPr>
          <w:rFonts w:ascii="Times New Roman" w:hAnsi="Times New Roman" w:cs="Times New Roman"/>
          <w:sz w:val="24"/>
          <w:szCs w:val="24"/>
        </w:rPr>
        <w:t xml:space="preserve">both the appeal and the cross-appeal. My </w:t>
      </w:r>
      <w:r w:rsidRPr="00072C88">
        <w:rPr>
          <w:rFonts w:ascii="Times New Roman" w:hAnsi="Times New Roman" w:cs="Times New Roman"/>
          <w:sz w:val="24"/>
          <w:szCs w:val="24"/>
        </w:rPr>
        <w:t>judgment</w:t>
      </w:r>
      <w:r w:rsidR="007C39C5" w:rsidRPr="00072C88">
        <w:rPr>
          <w:rFonts w:ascii="Times New Roman" w:hAnsi="Times New Roman" w:cs="Times New Roman"/>
          <w:sz w:val="24"/>
          <w:szCs w:val="24"/>
        </w:rPr>
        <w:t xml:space="preserve"> is now provided.</w:t>
      </w:r>
    </w:p>
    <w:p w14:paraId="753C769C" w14:textId="2B9F2DB8" w:rsidR="007C39C5" w:rsidRPr="00072C88" w:rsidRDefault="007C39C5">
      <w:pPr>
        <w:rPr>
          <w:rFonts w:ascii="Times New Roman" w:hAnsi="Times New Roman" w:cs="Times New Roman"/>
          <w:sz w:val="24"/>
          <w:szCs w:val="24"/>
        </w:rPr>
      </w:pPr>
    </w:p>
    <w:p w14:paraId="14A9A6D1" w14:textId="0EFE9879" w:rsidR="007C39C5" w:rsidRPr="00072C88" w:rsidRDefault="007C39C5">
      <w:pPr>
        <w:rPr>
          <w:rFonts w:ascii="Times New Roman" w:hAnsi="Times New Roman" w:cs="Times New Roman"/>
          <w:b/>
          <w:bCs/>
          <w:sz w:val="24"/>
          <w:szCs w:val="24"/>
          <w:u w:val="single"/>
        </w:rPr>
      </w:pPr>
      <w:r w:rsidRPr="00072C88">
        <w:rPr>
          <w:rFonts w:ascii="Times New Roman" w:hAnsi="Times New Roman" w:cs="Times New Roman"/>
          <w:b/>
          <w:bCs/>
          <w:sz w:val="24"/>
          <w:szCs w:val="24"/>
          <w:u w:val="single"/>
        </w:rPr>
        <w:t>Background</w:t>
      </w:r>
    </w:p>
    <w:p w14:paraId="582C1A8B" w14:textId="77777777" w:rsidR="002F7333" w:rsidRPr="00072C88" w:rsidRDefault="002F7333">
      <w:pPr>
        <w:rPr>
          <w:rFonts w:ascii="Times New Roman" w:hAnsi="Times New Roman" w:cs="Times New Roman"/>
          <w:b/>
          <w:bCs/>
          <w:sz w:val="24"/>
          <w:szCs w:val="24"/>
          <w:u w:val="single"/>
        </w:rPr>
      </w:pPr>
    </w:p>
    <w:p w14:paraId="317D558D" w14:textId="64CDC26C" w:rsidR="007C39C5" w:rsidRPr="00072C88" w:rsidRDefault="002F7333">
      <w:pPr>
        <w:rPr>
          <w:rFonts w:ascii="Times New Roman" w:hAnsi="Times New Roman" w:cs="Times New Roman"/>
          <w:sz w:val="24"/>
          <w:szCs w:val="24"/>
        </w:rPr>
      </w:pPr>
      <w:r w:rsidRPr="00072C88">
        <w:rPr>
          <w:rFonts w:ascii="Times New Roman" w:hAnsi="Times New Roman" w:cs="Times New Roman"/>
          <w:sz w:val="24"/>
          <w:szCs w:val="24"/>
        </w:rPr>
        <w:t>5.</w:t>
      </w:r>
      <w:r w:rsidRPr="00072C88">
        <w:rPr>
          <w:rFonts w:ascii="Times New Roman" w:hAnsi="Times New Roman" w:cs="Times New Roman"/>
          <w:sz w:val="24"/>
          <w:szCs w:val="24"/>
        </w:rPr>
        <w:tab/>
      </w:r>
      <w:r w:rsidR="00E43E64">
        <w:rPr>
          <w:rFonts w:ascii="Times New Roman" w:hAnsi="Times New Roman" w:cs="Times New Roman"/>
          <w:sz w:val="24"/>
          <w:szCs w:val="24"/>
        </w:rPr>
        <w:t>An</w:t>
      </w:r>
      <w:r w:rsidR="007C39C5" w:rsidRPr="00072C88">
        <w:rPr>
          <w:rFonts w:ascii="Times New Roman" w:hAnsi="Times New Roman" w:cs="Times New Roman"/>
          <w:sz w:val="24"/>
          <w:szCs w:val="24"/>
        </w:rPr>
        <w:t xml:space="preserve"> understanding of the background and the circumstances of the respective parties is necessary, as well as an identification of the necessary documents. In addition to the appeal bundle, the court has been referred to 2 electronic bundles filed as PDF digital bundles, one of which contains some authorities, and the other is said to include documents which were not before the court at first instance, but to which brief reference was made. I shall deal with the significance of this material later in </w:t>
      </w:r>
      <w:r w:rsidR="00EC0524" w:rsidRPr="00072C88">
        <w:rPr>
          <w:rFonts w:ascii="Times New Roman" w:hAnsi="Times New Roman" w:cs="Times New Roman"/>
          <w:sz w:val="24"/>
          <w:szCs w:val="24"/>
        </w:rPr>
        <w:t>my</w:t>
      </w:r>
      <w:r w:rsidR="007C39C5" w:rsidRPr="00072C88">
        <w:rPr>
          <w:rFonts w:ascii="Times New Roman" w:hAnsi="Times New Roman" w:cs="Times New Roman"/>
          <w:sz w:val="24"/>
          <w:szCs w:val="24"/>
        </w:rPr>
        <w:t xml:space="preserve"> judgment.</w:t>
      </w:r>
    </w:p>
    <w:p w14:paraId="6EE76D1C" w14:textId="77777777" w:rsidR="00EC0524" w:rsidRPr="00072C88" w:rsidRDefault="00EC0524">
      <w:pPr>
        <w:rPr>
          <w:rFonts w:ascii="Times New Roman" w:hAnsi="Times New Roman" w:cs="Times New Roman"/>
          <w:sz w:val="24"/>
          <w:szCs w:val="24"/>
        </w:rPr>
      </w:pPr>
    </w:p>
    <w:p w14:paraId="54BC17B5" w14:textId="69DF6027" w:rsidR="007C39C5" w:rsidRPr="00072C88" w:rsidRDefault="002F7333">
      <w:pPr>
        <w:rPr>
          <w:rFonts w:ascii="Times New Roman" w:hAnsi="Times New Roman" w:cs="Times New Roman"/>
          <w:sz w:val="24"/>
          <w:szCs w:val="24"/>
        </w:rPr>
      </w:pPr>
      <w:r w:rsidRPr="00072C88">
        <w:rPr>
          <w:rFonts w:ascii="Times New Roman" w:hAnsi="Times New Roman" w:cs="Times New Roman"/>
          <w:sz w:val="24"/>
          <w:szCs w:val="24"/>
        </w:rPr>
        <w:lastRenderedPageBreak/>
        <w:t>6.</w:t>
      </w:r>
      <w:r w:rsidRPr="00072C88">
        <w:rPr>
          <w:rFonts w:ascii="Times New Roman" w:hAnsi="Times New Roman" w:cs="Times New Roman"/>
          <w:sz w:val="24"/>
          <w:szCs w:val="24"/>
        </w:rPr>
        <w:tab/>
      </w:r>
      <w:r w:rsidR="007C39C5" w:rsidRPr="00072C88">
        <w:rPr>
          <w:rFonts w:ascii="Times New Roman" w:hAnsi="Times New Roman" w:cs="Times New Roman"/>
          <w:sz w:val="24"/>
          <w:szCs w:val="24"/>
        </w:rPr>
        <w:t xml:space="preserve">Some confusion can arise as to the descriptors for the various parties, and in this regard the </w:t>
      </w:r>
      <w:r w:rsidRPr="00072C88">
        <w:rPr>
          <w:rFonts w:ascii="Times New Roman" w:hAnsi="Times New Roman" w:cs="Times New Roman"/>
          <w:sz w:val="24"/>
          <w:szCs w:val="24"/>
        </w:rPr>
        <w:t>judgment</w:t>
      </w:r>
      <w:r w:rsidR="007C39C5" w:rsidRPr="00072C88">
        <w:rPr>
          <w:rFonts w:ascii="Times New Roman" w:hAnsi="Times New Roman" w:cs="Times New Roman"/>
          <w:sz w:val="24"/>
          <w:szCs w:val="24"/>
        </w:rPr>
        <w:t xml:space="preserve"> of the deputy district judge is a little difficult to follow. There have been two claimants and two named defendants. Suffice it to say, the present </w:t>
      </w:r>
      <w:r w:rsidRPr="00072C88">
        <w:rPr>
          <w:rFonts w:ascii="Times New Roman" w:hAnsi="Times New Roman" w:cs="Times New Roman"/>
          <w:sz w:val="24"/>
          <w:szCs w:val="24"/>
        </w:rPr>
        <w:t>c</w:t>
      </w:r>
      <w:r w:rsidR="007C39C5" w:rsidRPr="00072C88">
        <w:rPr>
          <w:rFonts w:ascii="Times New Roman" w:hAnsi="Times New Roman" w:cs="Times New Roman"/>
          <w:sz w:val="24"/>
          <w:szCs w:val="24"/>
        </w:rPr>
        <w:t xml:space="preserve">laimant, and the </w:t>
      </w:r>
      <w:r w:rsidR="00D30DA9" w:rsidRPr="00072C88">
        <w:rPr>
          <w:rFonts w:ascii="Times New Roman" w:hAnsi="Times New Roman" w:cs="Times New Roman"/>
          <w:sz w:val="24"/>
          <w:szCs w:val="24"/>
        </w:rPr>
        <w:t>A</w:t>
      </w:r>
      <w:r w:rsidR="007C39C5" w:rsidRPr="00072C88">
        <w:rPr>
          <w:rFonts w:ascii="Times New Roman" w:hAnsi="Times New Roman" w:cs="Times New Roman"/>
          <w:sz w:val="24"/>
          <w:szCs w:val="24"/>
        </w:rPr>
        <w:t>ppellant is Mr Mark Mullen.</w:t>
      </w:r>
      <w:r w:rsidR="002F59A8" w:rsidRPr="00072C88">
        <w:rPr>
          <w:rFonts w:ascii="Times New Roman" w:hAnsi="Times New Roman" w:cs="Times New Roman"/>
          <w:sz w:val="24"/>
          <w:szCs w:val="24"/>
        </w:rPr>
        <w:t xml:space="preserve"> I shall continue to refer to him as the </w:t>
      </w:r>
      <w:r w:rsidR="00EC0524" w:rsidRPr="00072C88">
        <w:rPr>
          <w:rFonts w:ascii="Times New Roman" w:hAnsi="Times New Roman" w:cs="Times New Roman"/>
          <w:sz w:val="24"/>
          <w:szCs w:val="24"/>
        </w:rPr>
        <w:t>C</w:t>
      </w:r>
      <w:r w:rsidR="002F59A8" w:rsidRPr="00072C88">
        <w:rPr>
          <w:rFonts w:ascii="Times New Roman" w:hAnsi="Times New Roman" w:cs="Times New Roman"/>
          <w:sz w:val="24"/>
          <w:szCs w:val="24"/>
        </w:rPr>
        <w:t>laimant.</w:t>
      </w:r>
      <w:r w:rsidR="007C39C5" w:rsidRPr="00072C88">
        <w:rPr>
          <w:rFonts w:ascii="Times New Roman" w:hAnsi="Times New Roman" w:cs="Times New Roman"/>
          <w:sz w:val="24"/>
          <w:szCs w:val="24"/>
        </w:rPr>
        <w:t xml:space="preserve"> He was driving an Ar</w:t>
      </w:r>
      <w:r w:rsidR="00EC0524" w:rsidRPr="00072C88">
        <w:rPr>
          <w:rFonts w:ascii="Times New Roman" w:hAnsi="Times New Roman" w:cs="Times New Roman"/>
          <w:sz w:val="24"/>
          <w:szCs w:val="24"/>
        </w:rPr>
        <w:t>ri</w:t>
      </w:r>
      <w:r w:rsidR="007C39C5" w:rsidRPr="00072C88">
        <w:rPr>
          <w:rFonts w:ascii="Times New Roman" w:hAnsi="Times New Roman" w:cs="Times New Roman"/>
          <w:sz w:val="24"/>
          <w:szCs w:val="24"/>
        </w:rPr>
        <w:t>va single decker bus in Sir Thomas Street Liverpool on 21</w:t>
      </w:r>
      <w:r w:rsidR="00E43E64" w:rsidRPr="00E43E64">
        <w:rPr>
          <w:rFonts w:ascii="Times New Roman" w:hAnsi="Times New Roman" w:cs="Times New Roman"/>
          <w:sz w:val="24"/>
          <w:szCs w:val="24"/>
          <w:vertAlign w:val="superscript"/>
        </w:rPr>
        <w:t>st</w:t>
      </w:r>
      <w:r w:rsidR="00E43E64">
        <w:rPr>
          <w:rFonts w:ascii="Times New Roman" w:hAnsi="Times New Roman" w:cs="Times New Roman"/>
          <w:sz w:val="24"/>
          <w:szCs w:val="24"/>
        </w:rPr>
        <w:t xml:space="preserve"> </w:t>
      </w:r>
      <w:r w:rsidR="007C39C5" w:rsidRPr="00072C88">
        <w:rPr>
          <w:rFonts w:ascii="Times New Roman" w:hAnsi="Times New Roman" w:cs="Times New Roman"/>
          <w:sz w:val="24"/>
          <w:szCs w:val="24"/>
        </w:rPr>
        <w:t xml:space="preserve">October 2018 when it was involved in collision with a Volkswagen </w:t>
      </w:r>
      <w:r w:rsidR="00E43E64">
        <w:rPr>
          <w:rFonts w:ascii="Times New Roman" w:hAnsi="Times New Roman" w:cs="Times New Roman"/>
          <w:sz w:val="24"/>
          <w:szCs w:val="24"/>
        </w:rPr>
        <w:t>G</w:t>
      </w:r>
      <w:r w:rsidR="007C39C5" w:rsidRPr="00072C88">
        <w:rPr>
          <w:rFonts w:ascii="Times New Roman" w:hAnsi="Times New Roman" w:cs="Times New Roman"/>
          <w:sz w:val="24"/>
          <w:szCs w:val="24"/>
        </w:rPr>
        <w:t>olf motor</w:t>
      </w:r>
      <w:r w:rsidR="00EC0524" w:rsidRPr="00072C88">
        <w:rPr>
          <w:rFonts w:ascii="Times New Roman" w:hAnsi="Times New Roman" w:cs="Times New Roman"/>
          <w:sz w:val="24"/>
          <w:szCs w:val="24"/>
        </w:rPr>
        <w:t xml:space="preserve"> </w:t>
      </w:r>
      <w:r w:rsidR="007C39C5" w:rsidRPr="00072C88">
        <w:rPr>
          <w:rFonts w:ascii="Times New Roman" w:hAnsi="Times New Roman" w:cs="Times New Roman"/>
          <w:sz w:val="24"/>
          <w:szCs w:val="24"/>
        </w:rPr>
        <w:t xml:space="preserve">car driven Mr </w:t>
      </w:r>
      <w:proofErr w:type="spellStart"/>
      <w:r w:rsidR="007C39C5" w:rsidRPr="00072C88">
        <w:rPr>
          <w:rFonts w:ascii="Times New Roman" w:hAnsi="Times New Roman" w:cs="Times New Roman"/>
          <w:sz w:val="24"/>
          <w:szCs w:val="24"/>
        </w:rPr>
        <w:t>Farhad</w:t>
      </w:r>
      <w:proofErr w:type="spellEnd"/>
      <w:r w:rsidR="007C39C5" w:rsidRPr="00072C88">
        <w:rPr>
          <w:rFonts w:ascii="Times New Roman" w:hAnsi="Times New Roman" w:cs="Times New Roman"/>
          <w:sz w:val="24"/>
          <w:szCs w:val="24"/>
        </w:rPr>
        <w:t xml:space="preserve"> </w:t>
      </w:r>
      <w:proofErr w:type="spellStart"/>
      <w:r w:rsidR="007C39C5" w:rsidRPr="00072C88">
        <w:rPr>
          <w:rFonts w:ascii="Times New Roman" w:hAnsi="Times New Roman" w:cs="Times New Roman"/>
          <w:sz w:val="24"/>
          <w:szCs w:val="24"/>
        </w:rPr>
        <w:t>Taimoree</w:t>
      </w:r>
      <w:proofErr w:type="spellEnd"/>
      <w:r w:rsidR="007C39C5" w:rsidRPr="00072C88">
        <w:rPr>
          <w:rFonts w:ascii="Times New Roman" w:hAnsi="Times New Roman" w:cs="Times New Roman"/>
          <w:sz w:val="24"/>
          <w:szCs w:val="24"/>
        </w:rPr>
        <w:t>. Both drivers are said to have sustained injury</w:t>
      </w:r>
      <w:r w:rsidR="002F59A8" w:rsidRPr="00072C88">
        <w:rPr>
          <w:rFonts w:ascii="Times New Roman" w:hAnsi="Times New Roman" w:cs="Times New Roman"/>
          <w:sz w:val="24"/>
          <w:szCs w:val="24"/>
        </w:rPr>
        <w:t>, and although this court has not been made privy to the correspondence between solicitors and the respective insurance companies of each</w:t>
      </w:r>
      <w:r w:rsidR="00826D67" w:rsidRPr="00072C88">
        <w:rPr>
          <w:rStyle w:val="FootnoteReference"/>
          <w:rFonts w:ascii="Times New Roman" w:hAnsi="Times New Roman" w:cs="Times New Roman"/>
          <w:sz w:val="24"/>
          <w:szCs w:val="24"/>
        </w:rPr>
        <w:footnoteReference w:id="1"/>
      </w:r>
      <w:r w:rsidR="002F59A8" w:rsidRPr="00072C88">
        <w:rPr>
          <w:rFonts w:ascii="Times New Roman" w:hAnsi="Times New Roman" w:cs="Times New Roman"/>
          <w:sz w:val="24"/>
          <w:szCs w:val="24"/>
        </w:rPr>
        <w:t xml:space="preserve">, it is clear that independently both were wishing to pursue claims for their </w:t>
      </w:r>
      <w:r w:rsidR="00EC0524" w:rsidRPr="00072C88">
        <w:rPr>
          <w:rFonts w:ascii="Times New Roman" w:hAnsi="Times New Roman" w:cs="Times New Roman"/>
          <w:sz w:val="24"/>
          <w:szCs w:val="24"/>
        </w:rPr>
        <w:t>un</w:t>
      </w:r>
      <w:r w:rsidR="002F59A8" w:rsidRPr="00072C88">
        <w:rPr>
          <w:rFonts w:ascii="Times New Roman" w:hAnsi="Times New Roman" w:cs="Times New Roman"/>
          <w:sz w:val="24"/>
          <w:szCs w:val="24"/>
        </w:rPr>
        <w:t>insured losses</w:t>
      </w:r>
      <w:r w:rsidR="00EC0524" w:rsidRPr="00072C88">
        <w:rPr>
          <w:rFonts w:ascii="Times New Roman" w:hAnsi="Times New Roman" w:cs="Times New Roman"/>
          <w:sz w:val="24"/>
          <w:szCs w:val="24"/>
        </w:rPr>
        <w:t>, i</w:t>
      </w:r>
      <w:r w:rsidR="00072C88" w:rsidRPr="00072C88">
        <w:rPr>
          <w:rFonts w:ascii="Times New Roman" w:hAnsi="Times New Roman" w:cs="Times New Roman"/>
          <w:sz w:val="24"/>
          <w:szCs w:val="24"/>
        </w:rPr>
        <w:t>.</w:t>
      </w:r>
      <w:r w:rsidR="00EC0524" w:rsidRPr="00072C88">
        <w:rPr>
          <w:rFonts w:ascii="Times New Roman" w:hAnsi="Times New Roman" w:cs="Times New Roman"/>
          <w:sz w:val="24"/>
          <w:szCs w:val="24"/>
        </w:rPr>
        <w:t>e</w:t>
      </w:r>
      <w:r w:rsidR="00072C88" w:rsidRPr="00072C88">
        <w:rPr>
          <w:rFonts w:ascii="Times New Roman" w:hAnsi="Times New Roman" w:cs="Times New Roman"/>
          <w:sz w:val="24"/>
          <w:szCs w:val="24"/>
        </w:rPr>
        <w:t>.</w:t>
      </w:r>
      <w:r w:rsidR="00EC0524" w:rsidRPr="00072C88">
        <w:rPr>
          <w:rFonts w:ascii="Times New Roman" w:hAnsi="Times New Roman" w:cs="Times New Roman"/>
          <w:sz w:val="24"/>
          <w:szCs w:val="24"/>
        </w:rPr>
        <w:t xml:space="preserve"> personal injury</w:t>
      </w:r>
      <w:r w:rsidR="002F59A8" w:rsidRPr="00072C88">
        <w:rPr>
          <w:rFonts w:ascii="Times New Roman" w:hAnsi="Times New Roman" w:cs="Times New Roman"/>
          <w:sz w:val="24"/>
          <w:szCs w:val="24"/>
        </w:rPr>
        <w:t xml:space="preserve">. This is not uncommon, but regrettably pursued and defended claims are not always married up. That is what happened in the present case with unfortunate consequences for </w:t>
      </w:r>
      <w:r w:rsidR="00EC0524" w:rsidRPr="00072C88">
        <w:rPr>
          <w:rFonts w:ascii="Times New Roman" w:hAnsi="Times New Roman" w:cs="Times New Roman"/>
          <w:sz w:val="24"/>
          <w:szCs w:val="24"/>
        </w:rPr>
        <w:t>the Claimant</w:t>
      </w:r>
      <w:r w:rsidR="002F59A8" w:rsidRPr="00072C88">
        <w:rPr>
          <w:rFonts w:ascii="Times New Roman" w:hAnsi="Times New Roman" w:cs="Times New Roman"/>
          <w:sz w:val="24"/>
          <w:szCs w:val="24"/>
        </w:rPr>
        <w:t>.</w:t>
      </w:r>
    </w:p>
    <w:p w14:paraId="51B885C2" w14:textId="77777777" w:rsidR="0024649C" w:rsidRPr="00072C88" w:rsidRDefault="0024649C">
      <w:pPr>
        <w:rPr>
          <w:rFonts w:ascii="Times New Roman" w:hAnsi="Times New Roman" w:cs="Times New Roman"/>
          <w:sz w:val="24"/>
          <w:szCs w:val="24"/>
        </w:rPr>
      </w:pPr>
    </w:p>
    <w:p w14:paraId="0C919952" w14:textId="135368F0" w:rsidR="002F59A8" w:rsidRPr="00072C88" w:rsidRDefault="00072C88">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2F59A8" w:rsidRPr="00072C88">
        <w:rPr>
          <w:rFonts w:ascii="Times New Roman" w:hAnsi="Times New Roman" w:cs="Times New Roman"/>
          <w:sz w:val="24"/>
          <w:szCs w:val="24"/>
        </w:rPr>
        <w:t xml:space="preserve">Low value personal injury claims, of course, are </w:t>
      </w:r>
      <w:r w:rsidR="00AF627D" w:rsidRPr="00072C88">
        <w:rPr>
          <w:rFonts w:ascii="Times New Roman" w:hAnsi="Times New Roman" w:cs="Times New Roman"/>
          <w:sz w:val="24"/>
          <w:szCs w:val="24"/>
        </w:rPr>
        <w:t>initiated</w:t>
      </w:r>
      <w:r w:rsidR="002F59A8" w:rsidRPr="00072C88">
        <w:rPr>
          <w:rFonts w:ascii="Times New Roman" w:hAnsi="Times New Roman" w:cs="Times New Roman"/>
          <w:sz w:val="24"/>
          <w:szCs w:val="24"/>
        </w:rPr>
        <w:t xml:space="preserve"> through the </w:t>
      </w:r>
      <w:r w:rsidR="00186EAE" w:rsidRPr="00072C88">
        <w:rPr>
          <w:rFonts w:ascii="Times New Roman" w:hAnsi="Times New Roman" w:cs="Times New Roman"/>
          <w:sz w:val="24"/>
          <w:szCs w:val="24"/>
        </w:rPr>
        <w:t xml:space="preserve">protocol </w:t>
      </w:r>
      <w:r w:rsidR="00EC0524" w:rsidRPr="00072C88">
        <w:rPr>
          <w:rFonts w:ascii="Times New Roman" w:hAnsi="Times New Roman" w:cs="Times New Roman"/>
          <w:sz w:val="24"/>
          <w:szCs w:val="24"/>
        </w:rPr>
        <w:t>and this requires the lodging of a claims notification form (CNF). On 29</w:t>
      </w:r>
      <w:r w:rsidR="0024649C" w:rsidRPr="00072C88">
        <w:rPr>
          <w:rFonts w:ascii="Times New Roman" w:hAnsi="Times New Roman" w:cs="Times New Roman"/>
          <w:sz w:val="24"/>
          <w:szCs w:val="24"/>
          <w:vertAlign w:val="superscript"/>
        </w:rPr>
        <w:t>th</w:t>
      </w:r>
      <w:r w:rsidR="0024649C" w:rsidRPr="00072C88">
        <w:rPr>
          <w:rFonts w:ascii="Times New Roman" w:hAnsi="Times New Roman" w:cs="Times New Roman"/>
          <w:sz w:val="24"/>
          <w:szCs w:val="24"/>
        </w:rPr>
        <w:t xml:space="preserve"> </w:t>
      </w:r>
      <w:r w:rsidR="00EC0524" w:rsidRPr="00072C88">
        <w:rPr>
          <w:rFonts w:ascii="Times New Roman" w:hAnsi="Times New Roman" w:cs="Times New Roman"/>
          <w:sz w:val="24"/>
          <w:szCs w:val="24"/>
        </w:rPr>
        <w:t xml:space="preserve">November 2018, just over six weeks after the accident, the </w:t>
      </w:r>
      <w:r>
        <w:rPr>
          <w:rFonts w:ascii="Times New Roman" w:hAnsi="Times New Roman" w:cs="Times New Roman"/>
          <w:sz w:val="24"/>
          <w:szCs w:val="24"/>
        </w:rPr>
        <w:t>C</w:t>
      </w:r>
      <w:r w:rsidR="00EC0524" w:rsidRPr="00072C88">
        <w:rPr>
          <w:rFonts w:ascii="Times New Roman" w:hAnsi="Times New Roman" w:cs="Times New Roman"/>
          <w:sz w:val="24"/>
          <w:szCs w:val="24"/>
        </w:rPr>
        <w:t>laimant Mr Mullen file</w:t>
      </w:r>
      <w:r w:rsidR="0024649C" w:rsidRPr="00072C88">
        <w:rPr>
          <w:rFonts w:ascii="Times New Roman" w:hAnsi="Times New Roman" w:cs="Times New Roman"/>
          <w:sz w:val="24"/>
          <w:szCs w:val="24"/>
        </w:rPr>
        <w:t>d</w:t>
      </w:r>
      <w:r w:rsidR="00EC0524" w:rsidRPr="00072C88">
        <w:rPr>
          <w:rFonts w:ascii="Times New Roman" w:hAnsi="Times New Roman" w:cs="Times New Roman"/>
          <w:sz w:val="24"/>
          <w:szCs w:val="24"/>
        </w:rPr>
        <w:t xml:space="preserve"> his CNF through </w:t>
      </w:r>
      <w:r w:rsidR="005A365A">
        <w:rPr>
          <w:rFonts w:ascii="Times New Roman" w:hAnsi="Times New Roman" w:cs="Times New Roman"/>
          <w:sz w:val="24"/>
          <w:szCs w:val="24"/>
        </w:rPr>
        <w:t xml:space="preserve">Mark </w:t>
      </w:r>
      <w:r w:rsidR="00EC0524" w:rsidRPr="00072C88">
        <w:rPr>
          <w:rFonts w:ascii="Times New Roman" w:hAnsi="Times New Roman" w:cs="Times New Roman"/>
          <w:sz w:val="24"/>
          <w:szCs w:val="24"/>
        </w:rPr>
        <w:t xml:space="preserve">Reynolds solicitors. Nelson </w:t>
      </w:r>
      <w:r w:rsidR="0024649C" w:rsidRPr="00072C88">
        <w:rPr>
          <w:rFonts w:ascii="Times New Roman" w:hAnsi="Times New Roman" w:cs="Times New Roman"/>
          <w:sz w:val="24"/>
          <w:szCs w:val="24"/>
        </w:rPr>
        <w:t>I</w:t>
      </w:r>
      <w:r w:rsidR="00EC0524" w:rsidRPr="00072C88">
        <w:rPr>
          <w:rFonts w:ascii="Times New Roman" w:hAnsi="Times New Roman" w:cs="Times New Roman"/>
          <w:sz w:val="24"/>
          <w:szCs w:val="24"/>
        </w:rPr>
        <w:t xml:space="preserve">nsurance </w:t>
      </w:r>
      <w:r w:rsidR="0024649C" w:rsidRPr="00072C88">
        <w:rPr>
          <w:rFonts w:ascii="Times New Roman" w:hAnsi="Times New Roman" w:cs="Times New Roman"/>
          <w:sz w:val="24"/>
          <w:szCs w:val="24"/>
        </w:rPr>
        <w:t>C</w:t>
      </w:r>
      <w:r w:rsidR="00EC0524" w:rsidRPr="00072C88">
        <w:rPr>
          <w:rFonts w:ascii="Times New Roman" w:hAnsi="Times New Roman" w:cs="Times New Roman"/>
          <w:sz w:val="24"/>
          <w:szCs w:val="24"/>
        </w:rPr>
        <w:t xml:space="preserve">ompany, </w:t>
      </w:r>
      <w:r w:rsidR="0024649C" w:rsidRPr="00072C88">
        <w:rPr>
          <w:rFonts w:ascii="Times New Roman" w:hAnsi="Times New Roman" w:cs="Times New Roman"/>
          <w:sz w:val="24"/>
          <w:szCs w:val="24"/>
        </w:rPr>
        <w:t xml:space="preserve">the </w:t>
      </w:r>
      <w:r w:rsidR="00EC0524" w:rsidRPr="00072C88">
        <w:rPr>
          <w:rFonts w:ascii="Times New Roman" w:hAnsi="Times New Roman" w:cs="Times New Roman"/>
          <w:sz w:val="24"/>
          <w:szCs w:val="24"/>
        </w:rPr>
        <w:t xml:space="preserve">relevant insurers of Mr </w:t>
      </w:r>
      <w:proofErr w:type="spellStart"/>
      <w:r w:rsidR="00EC0524" w:rsidRPr="00072C88">
        <w:rPr>
          <w:rFonts w:ascii="Times New Roman" w:hAnsi="Times New Roman" w:cs="Times New Roman"/>
          <w:sz w:val="24"/>
          <w:szCs w:val="24"/>
        </w:rPr>
        <w:t>Taimoree</w:t>
      </w:r>
      <w:proofErr w:type="spellEnd"/>
      <w:r w:rsidR="00AF627D" w:rsidRPr="00072C88">
        <w:rPr>
          <w:rFonts w:ascii="Times New Roman" w:hAnsi="Times New Roman" w:cs="Times New Roman"/>
          <w:sz w:val="24"/>
          <w:szCs w:val="24"/>
        </w:rPr>
        <w:t>, did not file an appropriate response as they should have done</w:t>
      </w:r>
      <w:r w:rsidR="0024649C" w:rsidRPr="00072C88">
        <w:rPr>
          <w:rStyle w:val="FootnoteReference"/>
          <w:rFonts w:ascii="Times New Roman" w:hAnsi="Times New Roman" w:cs="Times New Roman"/>
          <w:sz w:val="24"/>
          <w:szCs w:val="24"/>
        </w:rPr>
        <w:footnoteReference w:id="2"/>
      </w:r>
      <w:r w:rsidR="00AF627D" w:rsidRPr="00072C88">
        <w:rPr>
          <w:rFonts w:ascii="Times New Roman" w:hAnsi="Times New Roman" w:cs="Times New Roman"/>
          <w:sz w:val="24"/>
          <w:szCs w:val="24"/>
        </w:rPr>
        <w:t xml:space="preserve"> and the claim immediately exited the portal.</w:t>
      </w:r>
      <w:r w:rsidR="00826D67" w:rsidRPr="00072C88">
        <w:rPr>
          <w:rStyle w:val="FootnoteReference"/>
          <w:rFonts w:ascii="Times New Roman" w:hAnsi="Times New Roman" w:cs="Times New Roman"/>
          <w:sz w:val="24"/>
          <w:szCs w:val="24"/>
        </w:rPr>
        <w:footnoteReference w:id="3"/>
      </w:r>
      <w:r w:rsidR="00AF627D" w:rsidRPr="00072C88">
        <w:rPr>
          <w:rFonts w:ascii="Times New Roman" w:hAnsi="Times New Roman" w:cs="Times New Roman"/>
          <w:sz w:val="24"/>
          <w:szCs w:val="24"/>
        </w:rPr>
        <w:t xml:space="preserve"> This meant that the </w:t>
      </w:r>
      <w:r w:rsidR="0024649C" w:rsidRPr="00072C88">
        <w:rPr>
          <w:rFonts w:ascii="Times New Roman" w:hAnsi="Times New Roman" w:cs="Times New Roman"/>
          <w:sz w:val="24"/>
          <w:szCs w:val="24"/>
        </w:rPr>
        <w:t>C</w:t>
      </w:r>
      <w:r w:rsidR="00AF627D" w:rsidRPr="00072C88">
        <w:rPr>
          <w:rFonts w:ascii="Times New Roman" w:hAnsi="Times New Roman" w:cs="Times New Roman"/>
          <w:sz w:val="24"/>
          <w:szCs w:val="24"/>
        </w:rPr>
        <w:t>laimant was free to commence part 7 proceedings, a step which was seemingly taken with a claim form issued out of the money claims centre on 12</w:t>
      </w:r>
      <w:r w:rsidR="0024649C" w:rsidRPr="00072C88">
        <w:rPr>
          <w:rFonts w:ascii="Times New Roman" w:hAnsi="Times New Roman" w:cs="Times New Roman"/>
          <w:sz w:val="24"/>
          <w:szCs w:val="24"/>
          <w:vertAlign w:val="superscript"/>
        </w:rPr>
        <w:t>th</w:t>
      </w:r>
      <w:r w:rsidR="0024649C" w:rsidRPr="00072C88">
        <w:rPr>
          <w:rFonts w:ascii="Times New Roman" w:hAnsi="Times New Roman" w:cs="Times New Roman"/>
          <w:sz w:val="24"/>
          <w:szCs w:val="24"/>
        </w:rPr>
        <w:t xml:space="preserve"> </w:t>
      </w:r>
      <w:r w:rsidR="00AF627D" w:rsidRPr="00072C88">
        <w:rPr>
          <w:rFonts w:ascii="Times New Roman" w:hAnsi="Times New Roman" w:cs="Times New Roman"/>
          <w:sz w:val="24"/>
          <w:szCs w:val="24"/>
        </w:rPr>
        <w:t>June 2019.</w:t>
      </w:r>
    </w:p>
    <w:p w14:paraId="6C92190C" w14:textId="3BD7DD11" w:rsidR="00AF627D" w:rsidRPr="00072C88" w:rsidRDefault="00AF627D">
      <w:pPr>
        <w:rPr>
          <w:rFonts w:ascii="Times New Roman" w:hAnsi="Times New Roman" w:cs="Times New Roman"/>
          <w:sz w:val="24"/>
          <w:szCs w:val="24"/>
        </w:rPr>
      </w:pPr>
    </w:p>
    <w:p w14:paraId="6348AAD1" w14:textId="01ED6B06" w:rsidR="00AF627D" w:rsidRPr="00072C88" w:rsidRDefault="004A03FC">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AF627D" w:rsidRPr="00072C88">
        <w:rPr>
          <w:rFonts w:ascii="Times New Roman" w:hAnsi="Times New Roman" w:cs="Times New Roman"/>
          <w:sz w:val="24"/>
          <w:szCs w:val="24"/>
        </w:rPr>
        <w:t xml:space="preserve">The dates here are </w:t>
      </w:r>
      <w:r w:rsidR="0024649C" w:rsidRPr="00072C88">
        <w:rPr>
          <w:rFonts w:ascii="Times New Roman" w:hAnsi="Times New Roman" w:cs="Times New Roman"/>
          <w:sz w:val="24"/>
          <w:szCs w:val="24"/>
        </w:rPr>
        <w:t xml:space="preserve">potentially </w:t>
      </w:r>
      <w:r w:rsidR="00AF627D" w:rsidRPr="00072C88">
        <w:rPr>
          <w:rFonts w:ascii="Times New Roman" w:hAnsi="Times New Roman" w:cs="Times New Roman"/>
          <w:sz w:val="24"/>
          <w:szCs w:val="24"/>
        </w:rPr>
        <w:t>significant, because before any defence was filed to that claim on 28</w:t>
      </w:r>
      <w:r w:rsidR="0024649C" w:rsidRPr="00072C88">
        <w:rPr>
          <w:rFonts w:ascii="Times New Roman" w:hAnsi="Times New Roman" w:cs="Times New Roman"/>
          <w:sz w:val="24"/>
          <w:szCs w:val="24"/>
          <w:vertAlign w:val="superscript"/>
        </w:rPr>
        <w:t>th</w:t>
      </w:r>
      <w:r w:rsidR="0024649C" w:rsidRPr="00072C88">
        <w:rPr>
          <w:rFonts w:ascii="Times New Roman" w:hAnsi="Times New Roman" w:cs="Times New Roman"/>
          <w:sz w:val="24"/>
          <w:szCs w:val="24"/>
        </w:rPr>
        <w:t xml:space="preserve"> </w:t>
      </w:r>
      <w:r w:rsidR="00AF627D" w:rsidRPr="00072C88">
        <w:rPr>
          <w:rFonts w:ascii="Times New Roman" w:hAnsi="Times New Roman" w:cs="Times New Roman"/>
          <w:sz w:val="24"/>
          <w:szCs w:val="24"/>
        </w:rPr>
        <w:t xml:space="preserve">June 2019 Mr </w:t>
      </w:r>
      <w:proofErr w:type="spellStart"/>
      <w:r w:rsidR="00AF627D" w:rsidRPr="00072C88">
        <w:rPr>
          <w:rFonts w:ascii="Times New Roman" w:hAnsi="Times New Roman" w:cs="Times New Roman"/>
          <w:sz w:val="24"/>
          <w:szCs w:val="24"/>
        </w:rPr>
        <w:t>Taimoree</w:t>
      </w:r>
      <w:proofErr w:type="spellEnd"/>
      <w:r w:rsidR="00AF627D" w:rsidRPr="00072C88">
        <w:rPr>
          <w:rFonts w:ascii="Times New Roman" w:hAnsi="Times New Roman" w:cs="Times New Roman"/>
          <w:sz w:val="24"/>
          <w:szCs w:val="24"/>
        </w:rPr>
        <w:t xml:space="preserve"> lodged his own CNF, </w:t>
      </w:r>
      <w:r w:rsidR="00826D67" w:rsidRPr="00072C88">
        <w:rPr>
          <w:rFonts w:ascii="Times New Roman" w:hAnsi="Times New Roman" w:cs="Times New Roman"/>
          <w:sz w:val="24"/>
          <w:szCs w:val="24"/>
        </w:rPr>
        <w:t xml:space="preserve">with the </w:t>
      </w:r>
      <w:r w:rsidR="00AF627D" w:rsidRPr="00072C88">
        <w:rPr>
          <w:rFonts w:ascii="Times New Roman" w:hAnsi="Times New Roman" w:cs="Times New Roman"/>
          <w:sz w:val="24"/>
          <w:szCs w:val="24"/>
        </w:rPr>
        <w:t xml:space="preserve">assistance of solicitors Rushton </w:t>
      </w:r>
      <w:proofErr w:type="spellStart"/>
      <w:r w:rsidR="00AF627D" w:rsidRPr="00072C88">
        <w:rPr>
          <w:rFonts w:ascii="Times New Roman" w:hAnsi="Times New Roman" w:cs="Times New Roman"/>
          <w:sz w:val="24"/>
          <w:szCs w:val="24"/>
        </w:rPr>
        <w:t>Hinchy</w:t>
      </w:r>
      <w:proofErr w:type="spellEnd"/>
      <w:r w:rsidR="00AF627D" w:rsidRPr="00072C88">
        <w:rPr>
          <w:rFonts w:ascii="Times New Roman" w:hAnsi="Times New Roman" w:cs="Times New Roman"/>
          <w:sz w:val="24"/>
          <w:szCs w:val="24"/>
        </w:rPr>
        <w:t xml:space="preserve">. </w:t>
      </w:r>
      <w:r w:rsidR="00826D67" w:rsidRPr="00072C88">
        <w:rPr>
          <w:rFonts w:ascii="Times New Roman" w:hAnsi="Times New Roman" w:cs="Times New Roman"/>
          <w:sz w:val="24"/>
          <w:szCs w:val="24"/>
        </w:rPr>
        <w:t xml:space="preserve">However, it is to be observed that in the early part of 2019 there had been some communication between Noble </w:t>
      </w:r>
      <w:r w:rsidR="0024649C" w:rsidRPr="00072C88">
        <w:rPr>
          <w:rFonts w:ascii="Times New Roman" w:hAnsi="Times New Roman" w:cs="Times New Roman"/>
          <w:sz w:val="24"/>
          <w:szCs w:val="24"/>
        </w:rPr>
        <w:t>C</w:t>
      </w:r>
      <w:r w:rsidR="00826D67" w:rsidRPr="00072C88">
        <w:rPr>
          <w:rFonts w:ascii="Times New Roman" w:hAnsi="Times New Roman" w:cs="Times New Roman"/>
          <w:sz w:val="24"/>
          <w:szCs w:val="24"/>
        </w:rPr>
        <w:t xml:space="preserve">laims </w:t>
      </w:r>
      <w:r w:rsidR="0024649C" w:rsidRPr="00072C88">
        <w:rPr>
          <w:rFonts w:ascii="Times New Roman" w:hAnsi="Times New Roman" w:cs="Times New Roman"/>
          <w:sz w:val="24"/>
          <w:szCs w:val="24"/>
        </w:rPr>
        <w:t>S</w:t>
      </w:r>
      <w:r w:rsidR="00826D67" w:rsidRPr="00072C88">
        <w:rPr>
          <w:rFonts w:ascii="Times New Roman" w:hAnsi="Times New Roman" w:cs="Times New Roman"/>
          <w:sz w:val="24"/>
          <w:szCs w:val="24"/>
        </w:rPr>
        <w:t xml:space="preserve">ervices, who were claims handlers for Nelson </w:t>
      </w:r>
      <w:r w:rsidR="0024649C" w:rsidRPr="00072C88">
        <w:rPr>
          <w:rFonts w:ascii="Times New Roman" w:hAnsi="Times New Roman" w:cs="Times New Roman"/>
          <w:sz w:val="24"/>
          <w:szCs w:val="24"/>
        </w:rPr>
        <w:t>I</w:t>
      </w:r>
      <w:r w:rsidR="00826D67" w:rsidRPr="00072C88">
        <w:rPr>
          <w:rFonts w:ascii="Times New Roman" w:hAnsi="Times New Roman" w:cs="Times New Roman"/>
          <w:sz w:val="24"/>
          <w:szCs w:val="24"/>
        </w:rPr>
        <w:t xml:space="preserve">nsurance, and </w:t>
      </w:r>
      <w:proofErr w:type="spellStart"/>
      <w:r w:rsidR="00826D67" w:rsidRPr="00072C88">
        <w:rPr>
          <w:rFonts w:ascii="Times New Roman" w:hAnsi="Times New Roman" w:cs="Times New Roman"/>
          <w:sz w:val="24"/>
          <w:szCs w:val="24"/>
        </w:rPr>
        <w:t>Transcare</w:t>
      </w:r>
      <w:proofErr w:type="spellEnd"/>
      <w:r w:rsidR="00826D67" w:rsidRPr="00072C88">
        <w:rPr>
          <w:rFonts w:ascii="Times New Roman" w:hAnsi="Times New Roman" w:cs="Times New Roman"/>
          <w:sz w:val="24"/>
          <w:szCs w:val="24"/>
        </w:rPr>
        <w:t xml:space="preserve"> Solutions on behalf of Arriva Insurance, presumably in relation to vehicular damage and insured outlay, because neither were representing the interests of the allegedly injured parties for their uninsured losses. One particular letter on 11</w:t>
      </w:r>
      <w:r w:rsidR="00FA06D7" w:rsidRPr="00FA06D7">
        <w:rPr>
          <w:rFonts w:ascii="Times New Roman" w:hAnsi="Times New Roman" w:cs="Times New Roman"/>
          <w:sz w:val="24"/>
          <w:szCs w:val="24"/>
          <w:vertAlign w:val="superscript"/>
        </w:rPr>
        <w:t>th</w:t>
      </w:r>
      <w:r w:rsidR="00826D67" w:rsidRPr="00072C88">
        <w:rPr>
          <w:rFonts w:ascii="Times New Roman" w:hAnsi="Times New Roman" w:cs="Times New Roman"/>
          <w:sz w:val="24"/>
          <w:szCs w:val="24"/>
        </w:rPr>
        <w:t xml:space="preserve"> March 2019 was written by </w:t>
      </w:r>
      <w:proofErr w:type="spellStart"/>
      <w:r w:rsidR="0024649C" w:rsidRPr="00072C88">
        <w:rPr>
          <w:rFonts w:ascii="Times New Roman" w:hAnsi="Times New Roman" w:cs="Times New Roman"/>
          <w:sz w:val="24"/>
          <w:szCs w:val="24"/>
        </w:rPr>
        <w:t>T</w:t>
      </w:r>
      <w:r w:rsidR="00826D67" w:rsidRPr="00072C88">
        <w:rPr>
          <w:rFonts w:ascii="Times New Roman" w:hAnsi="Times New Roman" w:cs="Times New Roman"/>
          <w:sz w:val="24"/>
          <w:szCs w:val="24"/>
        </w:rPr>
        <w:t>ranscare</w:t>
      </w:r>
      <w:proofErr w:type="spellEnd"/>
      <w:r w:rsidR="00826D67" w:rsidRPr="00072C88">
        <w:rPr>
          <w:rFonts w:ascii="Times New Roman" w:hAnsi="Times New Roman" w:cs="Times New Roman"/>
          <w:sz w:val="24"/>
          <w:szCs w:val="24"/>
        </w:rPr>
        <w:t xml:space="preserve"> on which reliance is placed in this appeal by the </w:t>
      </w:r>
      <w:r w:rsidR="0024649C" w:rsidRPr="00072C88">
        <w:rPr>
          <w:rFonts w:ascii="Times New Roman" w:hAnsi="Times New Roman" w:cs="Times New Roman"/>
          <w:sz w:val="24"/>
          <w:szCs w:val="24"/>
        </w:rPr>
        <w:t>R</w:t>
      </w:r>
      <w:r w:rsidR="00826D67" w:rsidRPr="00072C88">
        <w:rPr>
          <w:rFonts w:ascii="Times New Roman" w:hAnsi="Times New Roman" w:cs="Times New Roman"/>
          <w:sz w:val="24"/>
          <w:szCs w:val="24"/>
        </w:rPr>
        <w:t>espondent</w:t>
      </w:r>
      <w:r w:rsidR="00E4380A" w:rsidRPr="00072C88">
        <w:rPr>
          <w:rFonts w:ascii="Times New Roman" w:hAnsi="Times New Roman" w:cs="Times New Roman"/>
          <w:sz w:val="24"/>
          <w:szCs w:val="24"/>
        </w:rPr>
        <w:t xml:space="preserve"> as the first admission of liability, although as will be seen it was not referred to by the deputy district judge in his </w:t>
      </w:r>
      <w:r w:rsidR="002F7333" w:rsidRPr="00072C88">
        <w:rPr>
          <w:rFonts w:ascii="Times New Roman" w:hAnsi="Times New Roman" w:cs="Times New Roman"/>
          <w:sz w:val="24"/>
          <w:szCs w:val="24"/>
        </w:rPr>
        <w:t>judgment</w:t>
      </w:r>
      <w:r w:rsidR="00826D67" w:rsidRPr="00072C88">
        <w:rPr>
          <w:rFonts w:ascii="Times New Roman" w:hAnsi="Times New Roman" w:cs="Times New Roman"/>
          <w:sz w:val="24"/>
          <w:szCs w:val="24"/>
        </w:rPr>
        <w:t>:</w:t>
      </w:r>
    </w:p>
    <w:p w14:paraId="2BA5DDC0" w14:textId="2B571CD7" w:rsidR="00826D67" w:rsidRDefault="00826D67">
      <w:r>
        <w:tab/>
      </w:r>
      <w:r>
        <w:tab/>
      </w:r>
    </w:p>
    <w:p w14:paraId="40A02BDE" w14:textId="3DE86AE0" w:rsidR="00826D67" w:rsidRPr="00E4380A" w:rsidRDefault="00826D67" w:rsidP="00826D67">
      <w:pPr>
        <w:rPr>
          <w:sz w:val="18"/>
          <w:szCs w:val="18"/>
        </w:rPr>
      </w:pPr>
      <w:r>
        <w:tab/>
      </w:r>
      <w:r w:rsidR="00E4380A">
        <w:tab/>
        <w:t>“</w:t>
      </w:r>
      <w:r w:rsidRPr="00E4380A">
        <w:rPr>
          <w:sz w:val="18"/>
          <w:szCs w:val="18"/>
        </w:rPr>
        <w:t xml:space="preserve">Dear Sirs </w:t>
      </w:r>
    </w:p>
    <w:p w14:paraId="645F86E4" w14:textId="77777777" w:rsidR="00826D67" w:rsidRPr="00E4380A" w:rsidRDefault="00826D67" w:rsidP="00E4380A">
      <w:pPr>
        <w:ind w:left="1440"/>
        <w:rPr>
          <w:sz w:val="18"/>
          <w:szCs w:val="18"/>
        </w:rPr>
      </w:pPr>
      <w:r w:rsidRPr="00E4380A">
        <w:rPr>
          <w:sz w:val="18"/>
          <w:szCs w:val="18"/>
        </w:rPr>
        <w:t xml:space="preserve">Incident Date: 21/10/2018 </w:t>
      </w:r>
    </w:p>
    <w:p w14:paraId="3FC6D73C" w14:textId="77777777" w:rsidR="00826D67" w:rsidRPr="00E4380A" w:rsidRDefault="00826D67" w:rsidP="00E4380A">
      <w:pPr>
        <w:ind w:left="1440"/>
        <w:rPr>
          <w:b/>
          <w:bCs/>
          <w:sz w:val="18"/>
          <w:szCs w:val="18"/>
        </w:rPr>
      </w:pPr>
      <w:r w:rsidRPr="00E4380A">
        <w:rPr>
          <w:b/>
          <w:bCs/>
          <w:sz w:val="18"/>
          <w:szCs w:val="18"/>
        </w:rPr>
        <w:t xml:space="preserve">Your Insured: Mr </w:t>
      </w:r>
      <w:proofErr w:type="spellStart"/>
      <w:r w:rsidRPr="00E4380A">
        <w:rPr>
          <w:b/>
          <w:bCs/>
          <w:sz w:val="18"/>
          <w:szCs w:val="18"/>
        </w:rPr>
        <w:t>Farhad</w:t>
      </w:r>
      <w:proofErr w:type="spellEnd"/>
      <w:r w:rsidRPr="00E4380A">
        <w:rPr>
          <w:b/>
          <w:bCs/>
          <w:sz w:val="18"/>
          <w:szCs w:val="18"/>
        </w:rPr>
        <w:t xml:space="preserve"> </w:t>
      </w:r>
    </w:p>
    <w:p w14:paraId="4A3BDCAE" w14:textId="77777777" w:rsidR="00826D67" w:rsidRPr="00E4380A" w:rsidRDefault="00826D67" w:rsidP="00E4380A">
      <w:pPr>
        <w:ind w:left="1440"/>
        <w:rPr>
          <w:b/>
          <w:bCs/>
          <w:sz w:val="18"/>
          <w:szCs w:val="18"/>
        </w:rPr>
      </w:pPr>
      <w:r w:rsidRPr="00E4380A">
        <w:rPr>
          <w:b/>
          <w:bCs/>
          <w:sz w:val="18"/>
          <w:szCs w:val="18"/>
        </w:rPr>
        <w:t xml:space="preserve">Our Client: Arriva North West Ltd </w:t>
      </w:r>
    </w:p>
    <w:p w14:paraId="758DEEC7" w14:textId="77777777" w:rsidR="00826D67" w:rsidRPr="00E4380A" w:rsidRDefault="00826D67" w:rsidP="00E4380A">
      <w:pPr>
        <w:ind w:left="1440"/>
        <w:rPr>
          <w:sz w:val="18"/>
          <w:szCs w:val="18"/>
        </w:rPr>
      </w:pPr>
      <w:r w:rsidRPr="00E4380A">
        <w:rPr>
          <w:sz w:val="18"/>
          <w:szCs w:val="18"/>
        </w:rPr>
        <w:t xml:space="preserve">Thank you for your correspondence dated 27/02/19 and 07/03/19. </w:t>
      </w:r>
    </w:p>
    <w:p w14:paraId="610E33E3" w14:textId="77777777" w:rsidR="00826D67" w:rsidRPr="00E4380A" w:rsidRDefault="00826D67" w:rsidP="00E4380A">
      <w:pPr>
        <w:ind w:left="1440"/>
        <w:rPr>
          <w:sz w:val="18"/>
          <w:szCs w:val="18"/>
        </w:rPr>
      </w:pPr>
      <w:r w:rsidRPr="00E4380A">
        <w:rPr>
          <w:sz w:val="18"/>
          <w:szCs w:val="18"/>
        </w:rPr>
        <w:lastRenderedPageBreak/>
        <w:t xml:space="preserve">Liability for the incident is not disputed. </w:t>
      </w:r>
    </w:p>
    <w:p w14:paraId="78E9855F" w14:textId="77777777" w:rsidR="00826D67" w:rsidRPr="00E4380A" w:rsidRDefault="00826D67" w:rsidP="00E4380A">
      <w:pPr>
        <w:ind w:left="1440"/>
        <w:rPr>
          <w:sz w:val="18"/>
          <w:szCs w:val="18"/>
        </w:rPr>
      </w:pPr>
      <w:r w:rsidRPr="00E4380A">
        <w:rPr>
          <w:sz w:val="18"/>
          <w:szCs w:val="18"/>
        </w:rPr>
        <w:t xml:space="preserve">We note that you do not have an outlay to recover. </w:t>
      </w:r>
    </w:p>
    <w:p w14:paraId="30B5F951" w14:textId="1A1DD31F" w:rsidR="00826D67" w:rsidRPr="00E4380A" w:rsidRDefault="00826D67" w:rsidP="00E4380A">
      <w:pPr>
        <w:ind w:left="1440"/>
        <w:rPr>
          <w:sz w:val="18"/>
          <w:szCs w:val="18"/>
        </w:rPr>
      </w:pPr>
      <w:r w:rsidRPr="00E4380A">
        <w:rPr>
          <w:sz w:val="18"/>
          <w:szCs w:val="18"/>
        </w:rPr>
        <w:t>Are you aware whether or not repairs have been carried out to your client’s vehicle and if there as a representative involved ?</w:t>
      </w:r>
      <w:r w:rsidR="00E4380A">
        <w:rPr>
          <w:sz w:val="18"/>
          <w:szCs w:val="18"/>
        </w:rPr>
        <w:t>”</w:t>
      </w:r>
    </w:p>
    <w:p w14:paraId="07E16735" w14:textId="6D4103E3" w:rsidR="00826D67" w:rsidRDefault="00826D67"/>
    <w:p w14:paraId="723F1F09" w14:textId="7A969AF8" w:rsidR="00826D67" w:rsidRDefault="00826D67"/>
    <w:p w14:paraId="7EC42249" w14:textId="537FAE4C" w:rsidR="00826D67" w:rsidRPr="00FA06D7" w:rsidRDefault="00FA06D7">
      <w:pPr>
        <w:rPr>
          <w:rFonts w:ascii="Times New Roman" w:hAnsi="Times New Roman" w:cs="Times New Roman"/>
          <w:sz w:val="24"/>
          <w:szCs w:val="24"/>
        </w:rPr>
      </w:pPr>
      <w:r w:rsidRPr="00FA06D7">
        <w:rPr>
          <w:rFonts w:ascii="Times New Roman" w:hAnsi="Times New Roman" w:cs="Times New Roman"/>
          <w:sz w:val="24"/>
          <w:szCs w:val="24"/>
        </w:rPr>
        <w:t>9.</w:t>
      </w:r>
      <w:r w:rsidRPr="00FA06D7">
        <w:rPr>
          <w:rFonts w:ascii="Times New Roman" w:hAnsi="Times New Roman" w:cs="Times New Roman"/>
          <w:sz w:val="24"/>
          <w:szCs w:val="24"/>
        </w:rPr>
        <w:tab/>
      </w:r>
      <w:r w:rsidR="00E4380A" w:rsidRPr="00FA06D7">
        <w:rPr>
          <w:rFonts w:ascii="Times New Roman" w:hAnsi="Times New Roman" w:cs="Times New Roman"/>
          <w:sz w:val="24"/>
          <w:szCs w:val="24"/>
        </w:rPr>
        <w:t xml:space="preserve">In the response form </w:t>
      </w:r>
      <w:r w:rsidR="002204C7" w:rsidRPr="00FA06D7">
        <w:rPr>
          <w:rFonts w:ascii="Times New Roman" w:hAnsi="Times New Roman" w:cs="Times New Roman"/>
          <w:sz w:val="24"/>
          <w:szCs w:val="24"/>
        </w:rPr>
        <w:t>on 10</w:t>
      </w:r>
      <w:r w:rsidR="0024649C" w:rsidRPr="00FA06D7">
        <w:rPr>
          <w:rFonts w:ascii="Times New Roman" w:hAnsi="Times New Roman" w:cs="Times New Roman"/>
          <w:sz w:val="24"/>
          <w:szCs w:val="24"/>
          <w:vertAlign w:val="superscript"/>
        </w:rPr>
        <w:t>th</w:t>
      </w:r>
      <w:r w:rsidR="0024649C" w:rsidRPr="00FA06D7">
        <w:rPr>
          <w:rFonts w:ascii="Times New Roman" w:hAnsi="Times New Roman" w:cs="Times New Roman"/>
          <w:sz w:val="24"/>
          <w:szCs w:val="24"/>
        </w:rPr>
        <w:t xml:space="preserve"> </w:t>
      </w:r>
      <w:r w:rsidR="002204C7" w:rsidRPr="00FA06D7">
        <w:rPr>
          <w:rFonts w:ascii="Times New Roman" w:hAnsi="Times New Roman" w:cs="Times New Roman"/>
          <w:sz w:val="24"/>
          <w:szCs w:val="24"/>
        </w:rPr>
        <w:t xml:space="preserve">July 2019 </w:t>
      </w:r>
      <w:r w:rsidR="00E4380A" w:rsidRPr="00FA06D7">
        <w:rPr>
          <w:rFonts w:ascii="Times New Roman" w:hAnsi="Times New Roman" w:cs="Times New Roman"/>
          <w:sz w:val="24"/>
          <w:szCs w:val="24"/>
        </w:rPr>
        <w:t xml:space="preserve">to </w:t>
      </w:r>
      <w:r w:rsidR="00E4380A" w:rsidRPr="00FA06D7">
        <w:rPr>
          <w:rFonts w:ascii="Times New Roman" w:hAnsi="Times New Roman" w:cs="Times New Roman"/>
          <w:sz w:val="24"/>
          <w:szCs w:val="24"/>
          <w:u w:val="single"/>
        </w:rPr>
        <w:t>Mr Taimoree’s</w:t>
      </w:r>
      <w:r w:rsidR="00E4380A" w:rsidRPr="00FA06D7">
        <w:rPr>
          <w:rFonts w:ascii="Times New Roman" w:hAnsi="Times New Roman" w:cs="Times New Roman"/>
          <w:sz w:val="24"/>
          <w:szCs w:val="24"/>
        </w:rPr>
        <w:t xml:space="preserve"> CNF, Arriva Insurance (presumably through </w:t>
      </w:r>
      <w:proofErr w:type="spellStart"/>
      <w:r w:rsidR="00E4380A" w:rsidRPr="00FA06D7">
        <w:rPr>
          <w:rFonts w:ascii="Times New Roman" w:hAnsi="Times New Roman" w:cs="Times New Roman"/>
          <w:sz w:val="24"/>
          <w:szCs w:val="24"/>
        </w:rPr>
        <w:t>Transcare</w:t>
      </w:r>
      <w:proofErr w:type="spellEnd"/>
      <w:r w:rsidR="00E4380A" w:rsidRPr="00FA06D7">
        <w:rPr>
          <w:rFonts w:ascii="Times New Roman" w:hAnsi="Times New Roman" w:cs="Times New Roman"/>
          <w:sz w:val="24"/>
          <w:szCs w:val="24"/>
        </w:rPr>
        <w:t>) completed the appropriate section addressing the question of liability. Clearly i</w:t>
      </w:r>
      <w:r w:rsidR="00217FA0" w:rsidRPr="00FA06D7">
        <w:rPr>
          <w:rFonts w:ascii="Times New Roman" w:hAnsi="Times New Roman" w:cs="Times New Roman"/>
          <w:sz w:val="24"/>
          <w:szCs w:val="24"/>
        </w:rPr>
        <w:t>f</w:t>
      </w:r>
      <w:r w:rsidR="00E4380A" w:rsidRPr="00FA06D7">
        <w:rPr>
          <w:rFonts w:ascii="Times New Roman" w:hAnsi="Times New Roman" w:cs="Times New Roman"/>
          <w:sz w:val="24"/>
          <w:szCs w:val="24"/>
        </w:rPr>
        <w:t xml:space="preserve"> liability was denied the matter would have immediately exited the portal. It was not, because the box was ticked in which the “defendant”</w:t>
      </w:r>
      <w:r w:rsidR="00217FA0" w:rsidRPr="00FA06D7">
        <w:rPr>
          <w:rFonts w:ascii="Times New Roman" w:hAnsi="Times New Roman" w:cs="Times New Roman"/>
          <w:sz w:val="24"/>
          <w:szCs w:val="24"/>
        </w:rPr>
        <w:t>,</w:t>
      </w:r>
      <w:r w:rsidR="00E4380A" w:rsidRPr="00FA06D7">
        <w:rPr>
          <w:rFonts w:ascii="Times New Roman" w:hAnsi="Times New Roman" w:cs="Times New Roman"/>
          <w:sz w:val="24"/>
          <w:szCs w:val="24"/>
        </w:rPr>
        <w:t xml:space="preserve"> as the responding party was described, admitted, without any deletion</w:t>
      </w:r>
      <w:r w:rsidR="00217FA0" w:rsidRPr="00FA06D7">
        <w:rPr>
          <w:rFonts w:ascii="Times New Roman" w:hAnsi="Times New Roman" w:cs="Times New Roman"/>
          <w:sz w:val="24"/>
          <w:szCs w:val="24"/>
        </w:rPr>
        <w:t>,</w:t>
      </w:r>
      <w:r w:rsidR="00E4380A" w:rsidRPr="00FA06D7">
        <w:rPr>
          <w:rFonts w:ascii="Times New Roman" w:hAnsi="Times New Roman" w:cs="Times New Roman"/>
          <w:sz w:val="24"/>
          <w:szCs w:val="24"/>
        </w:rPr>
        <w:t xml:space="preserve"> that the accident had occurred, it had been caused by the </w:t>
      </w:r>
      <w:r>
        <w:rPr>
          <w:rFonts w:ascii="Times New Roman" w:hAnsi="Times New Roman" w:cs="Times New Roman"/>
          <w:sz w:val="24"/>
          <w:szCs w:val="24"/>
        </w:rPr>
        <w:t>D</w:t>
      </w:r>
      <w:r w:rsidR="00E4380A" w:rsidRPr="00FA06D7">
        <w:rPr>
          <w:rFonts w:ascii="Times New Roman" w:hAnsi="Times New Roman" w:cs="Times New Roman"/>
          <w:sz w:val="24"/>
          <w:szCs w:val="24"/>
        </w:rPr>
        <w:t>efendant</w:t>
      </w:r>
      <w:r w:rsidR="0024649C" w:rsidRPr="00FA06D7">
        <w:rPr>
          <w:rFonts w:ascii="Times New Roman" w:hAnsi="Times New Roman" w:cs="Times New Roman"/>
          <w:sz w:val="24"/>
          <w:szCs w:val="24"/>
        </w:rPr>
        <w:t>’</w:t>
      </w:r>
      <w:r w:rsidR="00E4380A" w:rsidRPr="00FA06D7">
        <w:rPr>
          <w:rFonts w:ascii="Times New Roman" w:hAnsi="Times New Roman" w:cs="Times New Roman"/>
          <w:sz w:val="24"/>
          <w:szCs w:val="24"/>
        </w:rPr>
        <w:t>s breach of duty</w:t>
      </w:r>
      <w:r w:rsidR="0024649C" w:rsidRPr="00FA06D7">
        <w:rPr>
          <w:rStyle w:val="FootnoteReference"/>
          <w:rFonts w:ascii="Times New Roman" w:hAnsi="Times New Roman" w:cs="Times New Roman"/>
          <w:sz w:val="24"/>
          <w:szCs w:val="24"/>
        </w:rPr>
        <w:footnoteReference w:id="4"/>
      </w:r>
      <w:r w:rsidR="00E4380A" w:rsidRPr="00FA06D7">
        <w:rPr>
          <w:rFonts w:ascii="Times New Roman" w:hAnsi="Times New Roman" w:cs="Times New Roman"/>
          <w:sz w:val="24"/>
          <w:szCs w:val="24"/>
        </w:rPr>
        <w:t xml:space="preserve">, and that some loss had been caused to the claimant (here Mr </w:t>
      </w:r>
      <w:proofErr w:type="spellStart"/>
      <w:r w:rsidR="00E4380A" w:rsidRPr="00FA06D7">
        <w:rPr>
          <w:rFonts w:ascii="Times New Roman" w:hAnsi="Times New Roman" w:cs="Times New Roman"/>
          <w:sz w:val="24"/>
          <w:szCs w:val="24"/>
        </w:rPr>
        <w:t>Taimoree</w:t>
      </w:r>
      <w:proofErr w:type="spellEnd"/>
      <w:r w:rsidR="00E4380A" w:rsidRPr="00FA06D7">
        <w:rPr>
          <w:rFonts w:ascii="Times New Roman" w:hAnsi="Times New Roman" w:cs="Times New Roman"/>
          <w:sz w:val="24"/>
          <w:szCs w:val="24"/>
        </w:rPr>
        <w:t>)</w:t>
      </w:r>
      <w:r w:rsidR="00217FA0" w:rsidRPr="00FA06D7">
        <w:rPr>
          <w:rFonts w:ascii="Times New Roman" w:hAnsi="Times New Roman" w:cs="Times New Roman"/>
          <w:sz w:val="24"/>
          <w:szCs w:val="24"/>
        </w:rPr>
        <w:t>. It is this admission of liability which is central the appeal issue.</w:t>
      </w:r>
    </w:p>
    <w:p w14:paraId="50616826" w14:textId="43E55565" w:rsidR="002204C7" w:rsidRPr="00FA06D7" w:rsidRDefault="002204C7">
      <w:pPr>
        <w:rPr>
          <w:rFonts w:ascii="Times New Roman" w:hAnsi="Times New Roman" w:cs="Times New Roman"/>
          <w:sz w:val="24"/>
          <w:szCs w:val="24"/>
        </w:rPr>
      </w:pPr>
    </w:p>
    <w:p w14:paraId="5009E399" w14:textId="75B0A691" w:rsidR="002204C7" w:rsidRPr="00FA06D7" w:rsidRDefault="00FA06D7">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204C7" w:rsidRPr="00FA06D7">
        <w:rPr>
          <w:rFonts w:ascii="Times New Roman" w:hAnsi="Times New Roman" w:cs="Times New Roman"/>
          <w:sz w:val="24"/>
          <w:szCs w:val="24"/>
        </w:rPr>
        <w:t>Nelson</w:t>
      </w:r>
      <w:r w:rsidR="0024649C" w:rsidRPr="00FA06D7">
        <w:rPr>
          <w:rFonts w:ascii="Times New Roman" w:hAnsi="Times New Roman" w:cs="Times New Roman"/>
          <w:sz w:val="24"/>
          <w:szCs w:val="24"/>
        </w:rPr>
        <w:t xml:space="preserve">, </w:t>
      </w:r>
      <w:r w:rsidR="002204C7" w:rsidRPr="00FA06D7">
        <w:rPr>
          <w:rFonts w:ascii="Times New Roman" w:hAnsi="Times New Roman" w:cs="Times New Roman"/>
          <w:sz w:val="24"/>
          <w:szCs w:val="24"/>
        </w:rPr>
        <w:t>in their defence of the</w:t>
      </w:r>
      <w:r w:rsidR="0024649C" w:rsidRPr="00FA06D7">
        <w:rPr>
          <w:rFonts w:ascii="Times New Roman" w:hAnsi="Times New Roman" w:cs="Times New Roman"/>
          <w:sz w:val="24"/>
          <w:szCs w:val="24"/>
        </w:rPr>
        <w:t xml:space="preserve"> Claimant</w:t>
      </w:r>
      <w:r w:rsidR="002204C7" w:rsidRPr="00FA06D7">
        <w:rPr>
          <w:rFonts w:ascii="Times New Roman" w:hAnsi="Times New Roman" w:cs="Times New Roman"/>
          <w:sz w:val="24"/>
          <w:szCs w:val="24"/>
        </w:rPr>
        <w:t>’s claim dated 19</w:t>
      </w:r>
      <w:r w:rsidR="002204C7" w:rsidRPr="00FA06D7">
        <w:rPr>
          <w:rFonts w:ascii="Times New Roman" w:hAnsi="Times New Roman" w:cs="Times New Roman"/>
          <w:sz w:val="24"/>
          <w:szCs w:val="24"/>
          <w:vertAlign w:val="superscript"/>
        </w:rPr>
        <w:t>th</w:t>
      </w:r>
      <w:r w:rsidR="002204C7" w:rsidRPr="00FA06D7">
        <w:rPr>
          <w:rFonts w:ascii="Times New Roman" w:hAnsi="Times New Roman" w:cs="Times New Roman"/>
          <w:sz w:val="24"/>
          <w:szCs w:val="24"/>
        </w:rPr>
        <w:t xml:space="preserve"> July</w:t>
      </w:r>
      <w:r w:rsidR="0024649C" w:rsidRPr="00FA06D7">
        <w:rPr>
          <w:rFonts w:ascii="Times New Roman" w:hAnsi="Times New Roman" w:cs="Times New Roman"/>
          <w:sz w:val="24"/>
          <w:szCs w:val="24"/>
        </w:rPr>
        <w:t>,</w:t>
      </w:r>
      <w:r w:rsidR="002204C7" w:rsidRPr="00FA06D7">
        <w:rPr>
          <w:rFonts w:ascii="Times New Roman" w:hAnsi="Times New Roman" w:cs="Times New Roman"/>
          <w:sz w:val="24"/>
          <w:szCs w:val="24"/>
        </w:rPr>
        <w:t xml:space="preserve"> made reference to the March admission</w:t>
      </w:r>
      <w:r w:rsidR="005E4A1E" w:rsidRPr="00FA06D7">
        <w:rPr>
          <w:rFonts w:ascii="Times New Roman" w:hAnsi="Times New Roman" w:cs="Times New Roman"/>
          <w:sz w:val="24"/>
          <w:szCs w:val="24"/>
        </w:rPr>
        <w:t xml:space="preserve"> in the </w:t>
      </w:r>
      <w:proofErr w:type="spellStart"/>
      <w:r w:rsidR="005E4A1E" w:rsidRPr="00FA06D7">
        <w:rPr>
          <w:rFonts w:ascii="Times New Roman" w:hAnsi="Times New Roman" w:cs="Times New Roman"/>
          <w:sz w:val="24"/>
          <w:szCs w:val="24"/>
        </w:rPr>
        <w:t>Transcare</w:t>
      </w:r>
      <w:proofErr w:type="spellEnd"/>
      <w:r w:rsidR="005E4A1E" w:rsidRPr="00FA06D7">
        <w:rPr>
          <w:rFonts w:ascii="Times New Roman" w:hAnsi="Times New Roman" w:cs="Times New Roman"/>
          <w:sz w:val="24"/>
          <w:szCs w:val="24"/>
        </w:rPr>
        <w:t xml:space="preserve"> letter</w:t>
      </w:r>
      <w:r w:rsidR="002204C7" w:rsidRPr="00FA06D7">
        <w:rPr>
          <w:rFonts w:ascii="Times New Roman" w:hAnsi="Times New Roman" w:cs="Times New Roman"/>
          <w:sz w:val="24"/>
          <w:szCs w:val="24"/>
        </w:rPr>
        <w:t xml:space="preserve">, asserting that the same was binding at paragraph 6 in their defence and thus Mr Mullen had no basis for continuing his claim. </w:t>
      </w:r>
      <w:r w:rsidR="005A365A">
        <w:rPr>
          <w:rFonts w:ascii="Times New Roman" w:hAnsi="Times New Roman" w:cs="Times New Roman"/>
          <w:sz w:val="24"/>
          <w:szCs w:val="24"/>
        </w:rPr>
        <w:t>R</w:t>
      </w:r>
      <w:r w:rsidR="002204C7" w:rsidRPr="00FA06D7">
        <w:rPr>
          <w:rFonts w:ascii="Times New Roman" w:hAnsi="Times New Roman" w:cs="Times New Roman"/>
          <w:sz w:val="24"/>
          <w:szCs w:val="24"/>
        </w:rPr>
        <w:t xml:space="preserve">eference was </w:t>
      </w:r>
      <w:r w:rsidR="005A365A">
        <w:rPr>
          <w:rFonts w:ascii="Times New Roman" w:hAnsi="Times New Roman" w:cs="Times New Roman"/>
          <w:sz w:val="24"/>
          <w:szCs w:val="24"/>
        </w:rPr>
        <w:t xml:space="preserve">also </w:t>
      </w:r>
      <w:r w:rsidR="002204C7" w:rsidRPr="00FA06D7">
        <w:rPr>
          <w:rFonts w:ascii="Times New Roman" w:hAnsi="Times New Roman" w:cs="Times New Roman"/>
          <w:sz w:val="24"/>
          <w:szCs w:val="24"/>
        </w:rPr>
        <w:t>made to the CNF form as having been acknowledged on 10</w:t>
      </w:r>
      <w:r w:rsidR="002204C7" w:rsidRPr="00FA06D7">
        <w:rPr>
          <w:rFonts w:ascii="Times New Roman" w:hAnsi="Times New Roman" w:cs="Times New Roman"/>
          <w:sz w:val="24"/>
          <w:szCs w:val="24"/>
          <w:vertAlign w:val="superscript"/>
        </w:rPr>
        <w:t>th</w:t>
      </w:r>
      <w:r w:rsidR="002204C7" w:rsidRPr="00FA06D7">
        <w:rPr>
          <w:rFonts w:ascii="Times New Roman" w:hAnsi="Times New Roman" w:cs="Times New Roman"/>
          <w:sz w:val="24"/>
          <w:szCs w:val="24"/>
        </w:rPr>
        <w:t xml:space="preserve"> July, </w:t>
      </w:r>
      <w:r w:rsidR="005A365A">
        <w:rPr>
          <w:rFonts w:ascii="Times New Roman" w:hAnsi="Times New Roman" w:cs="Times New Roman"/>
          <w:sz w:val="24"/>
          <w:szCs w:val="24"/>
        </w:rPr>
        <w:t xml:space="preserve">and </w:t>
      </w:r>
      <w:r w:rsidR="002204C7" w:rsidRPr="00FA06D7">
        <w:rPr>
          <w:rFonts w:ascii="Times New Roman" w:hAnsi="Times New Roman" w:cs="Times New Roman"/>
          <w:sz w:val="24"/>
          <w:szCs w:val="24"/>
        </w:rPr>
        <w:t xml:space="preserve">reliance was placed on the admission in section </w:t>
      </w:r>
      <w:r w:rsidR="005E4A1E" w:rsidRPr="00FA06D7">
        <w:rPr>
          <w:rFonts w:ascii="Times New Roman" w:hAnsi="Times New Roman" w:cs="Times New Roman"/>
          <w:sz w:val="24"/>
          <w:szCs w:val="24"/>
        </w:rPr>
        <w:t>A</w:t>
      </w:r>
      <w:r w:rsidR="002204C7" w:rsidRPr="00FA06D7">
        <w:rPr>
          <w:rFonts w:ascii="Times New Roman" w:hAnsi="Times New Roman" w:cs="Times New Roman"/>
          <w:sz w:val="24"/>
          <w:szCs w:val="24"/>
        </w:rPr>
        <w:t xml:space="preserve"> of the response form. </w:t>
      </w:r>
    </w:p>
    <w:p w14:paraId="71739CAA" w14:textId="7B4E1B2B" w:rsidR="002204C7" w:rsidRPr="00FA06D7" w:rsidRDefault="002204C7">
      <w:pPr>
        <w:rPr>
          <w:rFonts w:ascii="Times New Roman" w:hAnsi="Times New Roman" w:cs="Times New Roman"/>
          <w:sz w:val="24"/>
          <w:szCs w:val="24"/>
        </w:rPr>
      </w:pPr>
    </w:p>
    <w:p w14:paraId="7E7532BC" w14:textId="3CF25102" w:rsidR="002204C7" w:rsidRPr="00FA06D7" w:rsidRDefault="00FA06D7">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5A365A">
        <w:rPr>
          <w:rFonts w:ascii="Times New Roman" w:hAnsi="Times New Roman" w:cs="Times New Roman"/>
          <w:sz w:val="24"/>
          <w:szCs w:val="24"/>
        </w:rPr>
        <w:t xml:space="preserve">The </w:t>
      </w:r>
      <w:r w:rsidR="002204C7" w:rsidRPr="00FA06D7">
        <w:rPr>
          <w:rFonts w:ascii="Times New Roman" w:hAnsi="Times New Roman" w:cs="Times New Roman"/>
          <w:sz w:val="24"/>
          <w:szCs w:val="24"/>
        </w:rPr>
        <w:t xml:space="preserve">battle lines were drawn when the </w:t>
      </w:r>
      <w:r w:rsidR="0024649C" w:rsidRPr="00FA06D7">
        <w:rPr>
          <w:rFonts w:ascii="Times New Roman" w:hAnsi="Times New Roman" w:cs="Times New Roman"/>
          <w:sz w:val="24"/>
          <w:szCs w:val="24"/>
        </w:rPr>
        <w:t>R</w:t>
      </w:r>
      <w:r w:rsidR="002204C7" w:rsidRPr="00FA06D7">
        <w:rPr>
          <w:rFonts w:ascii="Times New Roman" w:hAnsi="Times New Roman" w:cs="Times New Roman"/>
          <w:sz w:val="24"/>
          <w:szCs w:val="24"/>
        </w:rPr>
        <w:t>espondent made its application</w:t>
      </w:r>
      <w:r w:rsidR="005E4A1E" w:rsidRPr="00FA06D7">
        <w:rPr>
          <w:rFonts w:ascii="Times New Roman" w:hAnsi="Times New Roman" w:cs="Times New Roman"/>
          <w:sz w:val="24"/>
          <w:szCs w:val="24"/>
        </w:rPr>
        <w:t xml:space="preserve"> for summary </w:t>
      </w:r>
      <w:r w:rsidR="002F7333" w:rsidRPr="00FA06D7">
        <w:rPr>
          <w:rFonts w:ascii="Times New Roman" w:hAnsi="Times New Roman" w:cs="Times New Roman"/>
          <w:sz w:val="24"/>
          <w:szCs w:val="24"/>
        </w:rPr>
        <w:t>judgment</w:t>
      </w:r>
      <w:r w:rsidR="005E4A1E" w:rsidRPr="00FA06D7">
        <w:rPr>
          <w:rFonts w:ascii="Times New Roman" w:hAnsi="Times New Roman" w:cs="Times New Roman"/>
          <w:sz w:val="24"/>
          <w:szCs w:val="24"/>
        </w:rPr>
        <w:t xml:space="preserve"> and/or to strike out the claim with the supporting statement of Matt </w:t>
      </w:r>
      <w:proofErr w:type="spellStart"/>
      <w:r w:rsidR="005E4A1E" w:rsidRPr="00FA06D7">
        <w:rPr>
          <w:rFonts w:ascii="Times New Roman" w:hAnsi="Times New Roman" w:cs="Times New Roman"/>
          <w:sz w:val="24"/>
          <w:szCs w:val="24"/>
        </w:rPr>
        <w:t>Dowrick</w:t>
      </w:r>
      <w:proofErr w:type="spellEnd"/>
      <w:r w:rsidR="005E4A1E" w:rsidRPr="00FA06D7">
        <w:rPr>
          <w:rFonts w:ascii="Times New Roman" w:hAnsi="Times New Roman" w:cs="Times New Roman"/>
          <w:sz w:val="24"/>
          <w:szCs w:val="24"/>
        </w:rPr>
        <w:t>,</w:t>
      </w:r>
      <w:r w:rsidR="005A365A">
        <w:rPr>
          <w:rFonts w:ascii="Times New Roman" w:hAnsi="Times New Roman" w:cs="Times New Roman"/>
          <w:sz w:val="24"/>
          <w:szCs w:val="24"/>
        </w:rPr>
        <w:t xml:space="preserve"> </w:t>
      </w:r>
      <w:proofErr w:type="spellStart"/>
      <w:r w:rsidR="005A365A">
        <w:rPr>
          <w:rFonts w:ascii="Times New Roman" w:hAnsi="Times New Roman" w:cs="Times New Roman"/>
          <w:sz w:val="24"/>
          <w:szCs w:val="24"/>
        </w:rPr>
        <w:t>asn</w:t>
      </w:r>
      <w:proofErr w:type="spellEnd"/>
      <w:r w:rsidR="005A365A">
        <w:rPr>
          <w:rFonts w:ascii="Times New Roman" w:hAnsi="Times New Roman" w:cs="Times New Roman"/>
          <w:sz w:val="24"/>
          <w:szCs w:val="24"/>
        </w:rPr>
        <w:t xml:space="preserve"> associate with the Defendant’s solicitors</w:t>
      </w:r>
      <w:r w:rsidR="005E4A1E" w:rsidRPr="00FA06D7">
        <w:rPr>
          <w:rFonts w:ascii="Times New Roman" w:hAnsi="Times New Roman" w:cs="Times New Roman"/>
          <w:sz w:val="24"/>
          <w:szCs w:val="24"/>
        </w:rPr>
        <w:t xml:space="preserve">. It is noted that he relied upon the admission made in the CNF response which was annexed to his statement, but not the March admission. He also made reference to the decision of </w:t>
      </w:r>
      <w:r w:rsidR="005E4A1E" w:rsidRPr="00FA06D7">
        <w:rPr>
          <w:rFonts w:ascii="Times New Roman" w:hAnsi="Times New Roman" w:cs="Times New Roman"/>
          <w:b/>
          <w:bCs/>
          <w:sz w:val="24"/>
          <w:szCs w:val="24"/>
        </w:rPr>
        <w:t xml:space="preserve">Chimel v </w:t>
      </w:r>
      <w:proofErr w:type="spellStart"/>
      <w:r w:rsidR="005E4A1E" w:rsidRPr="00FA06D7">
        <w:rPr>
          <w:rFonts w:ascii="Times New Roman" w:hAnsi="Times New Roman" w:cs="Times New Roman"/>
          <w:b/>
          <w:bCs/>
          <w:sz w:val="24"/>
          <w:szCs w:val="24"/>
        </w:rPr>
        <w:t>Chibwana</w:t>
      </w:r>
      <w:proofErr w:type="spellEnd"/>
      <w:r w:rsidR="005E4A1E" w:rsidRPr="00FA06D7">
        <w:rPr>
          <w:rFonts w:ascii="Times New Roman" w:hAnsi="Times New Roman" w:cs="Times New Roman"/>
          <w:b/>
          <w:bCs/>
          <w:sz w:val="24"/>
          <w:szCs w:val="24"/>
        </w:rPr>
        <w:t xml:space="preserve"> &amp; Williams</w:t>
      </w:r>
      <w:r w:rsidR="003D1087" w:rsidRPr="00FA06D7">
        <w:rPr>
          <w:rFonts w:ascii="Times New Roman" w:hAnsi="Times New Roman" w:cs="Times New Roman"/>
          <w:sz w:val="24"/>
          <w:szCs w:val="24"/>
        </w:rPr>
        <w:t xml:space="preserve"> </w:t>
      </w:r>
      <w:r w:rsidR="0043739F">
        <w:rPr>
          <w:rFonts w:ascii="Times New Roman" w:hAnsi="Times New Roman" w:cs="Times New Roman"/>
          <w:sz w:val="24"/>
          <w:szCs w:val="24"/>
        </w:rPr>
        <w:t>(</w:t>
      </w:r>
      <w:r w:rsidR="0043739F" w:rsidRPr="0043739F">
        <w:rPr>
          <w:rFonts w:ascii="Times New Roman" w:hAnsi="Times New Roman" w:cs="Times New Roman"/>
          <w:b/>
          <w:bCs/>
          <w:i/>
          <w:iCs/>
          <w:sz w:val="24"/>
          <w:szCs w:val="24"/>
        </w:rPr>
        <w:t>27.10.16</w:t>
      </w:r>
      <w:r w:rsidR="0043739F">
        <w:rPr>
          <w:rFonts w:ascii="Times New Roman" w:hAnsi="Times New Roman" w:cs="Times New Roman"/>
          <w:sz w:val="24"/>
          <w:szCs w:val="24"/>
        </w:rPr>
        <w:t xml:space="preserve">) </w:t>
      </w:r>
      <w:r w:rsidR="003D1087" w:rsidRPr="00FA06D7">
        <w:rPr>
          <w:rFonts w:ascii="Times New Roman" w:hAnsi="Times New Roman" w:cs="Times New Roman"/>
          <w:sz w:val="24"/>
          <w:szCs w:val="24"/>
        </w:rPr>
        <w:t xml:space="preserve">of </w:t>
      </w:r>
      <w:r w:rsidR="0024649C" w:rsidRPr="00FA06D7">
        <w:rPr>
          <w:rFonts w:ascii="Times New Roman" w:hAnsi="Times New Roman" w:cs="Times New Roman"/>
          <w:sz w:val="24"/>
          <w:szCs w:val="24"/>
        </w:rPr>
        <w:t>H</w:t>
      </w:r>
      <w:r>
        <w:rPr>
          <w:rFonts w:ascii="Times New Roman" w:hAnsi="Times New Roman" w:cs="Times New Roman"/>
          <w:sz w:val="24"/>
          <w:szCs w:val="24"/>
        </w:rPr>
        <w:t xml:space="preserve">is </w:t>
      </w:r>
      <w:r w:rsidR="0024649C" w:rsidRPr="00FA06D7">
        <w:rPr>
          <w:rFonts w:ascii="Times New Roman" w:hAnsi="Times New Roman" w:cs="Times New Roman"/>
          <w:sz w:val="24"/>
          <w:szCs w:val="24"/>
        </w:rPr>
        <w:t>H</w:t>
      </w:r>
      <w:r>
        <w:rPr>
          <w:rFonts w:ascii="Times New Roman" w:hAnsi="Times New Roman" w:cs="Times New Roman"/>
          <w:sz w:val="24"/>
          <w:szCs w:val="24"/>
        </w:rPr>
        <w:t>onour</w:t>
      </w:r>
      <w:r w:rsidR="0024649C" w:rsidRPr="00FA06D7">
        <w:rPr>
          <w:rFonts w:ascii="Times New Roman" w:hAnsi="Times New Roman" w:cs="Times New Roman"/>
          <w:sz w:val="24"/>
          <w:szCs w:val="24"/>
        </w:rPr>
        <w:t xml:space="preserve"> J</w:t>
      </w:r>
      <w:r w:rsidR="005E4A1E" w:rsidRPr="00FA06D7">
        <w:rPr>
          <w:rFonts w:ascii="Times New Roman" w:hAnsi="Times New Roman" w:cs="Times New Roman"/>
          <w:sz w:val="24"/>
          <w:szCs w:val="24"/>
        </w:rPr>
        <w:t xml:space="preserve">udge </w:t>
      </w:r>
      <w:proofErr w:type="spellStart"/>
      <w:r w:rsidR="005E4A1E" w:rsidRPr="00FA06D7">
        <w:rPr>
          <w:rFonts w:ascii="Times New Roman" w:hAnsi="Times New Roman" w:cs="Times New Roman"/>
          <w:sz w:val="24"/>
          <w:szCs w:val="24"/>
        </w:rPr>
        <w:t>Simpkiss</w:t>
      </w:r>
      <w:proofErr w:type="spellEnd"/>
      <w:r w:rsidR="005E4A1E" w:rsidRPr="00FA06D7">
        <w:rPr>
          <w:rFonts w:ascii="Times New Roman" w:hAnsi="Times New Roman" w:cs="Times New Roman"/>
          <w:sz w:val="24"/>
          <w:szCs w:val="24"/>
        </w:rPr>
        <w:t xml:space="preserve"> in the County Court at Brighton which is said to be on all fours. I will look at this decision in more detail later.</w:t>
      </w:r>
    </w:p>
    <w:p w14:paraId="1DBD26DA" w14:textId="526DD552" w:rsidR="00217FA0" w:rsidRPr="00FA06D7" w:rsidRDefault="00217FA0">
      <w:pPr>
        <w:rPr>
          <w:rFonts w:ascii="Times New Roman" w:hAnsi="Times New Roman" w:cs="Times New Roman"/>
          <w:sz w:val="24"/>
          <w:szCs w:val="24"/>
        </w:rPr>
      </w:pPr>
    </w:p>
    <w:p w14:paraId="5A9D7C3C" w14:textId="7992D49B" w:rsidR="003D1087" w:rsidRPr="00FA06D7" w:rsidRDefault="00FA06D7">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3D1087" w:rsidRPr="00FA06D7">
        <w:rPr>
          <w:rFonts w:ascii="Times New Roman" w:hAnsi="Times New Roman" w:cs="Times New Roman"/>
          <w:sz w:val="24"/>
          <w:szCs w:val="24"/>
        </w:rPr>
        <w:t xml:space="preserve">The </w:t>
      </w:r>
      <w:r w:rsidR="0024649C" w:rsidRPr="00FA06D7">
        <w:rPr>
          <w:rFonts w:ascii="Times New Roman" w:hAnsi="Times New Roman" w:cs="Times New Roman"/>
          <w:sz w:val="24"/>
          <w:szCs w:val="24"/>
        </w:rPr>
        <w:t>C</w:t>
      </w:r>
      <w:r w:rsidR="003D1087" w:rsidRPr="00FA06D7">
        <w:rPr>
          <w:rFonts w:ascii="Times New Roman" w:hAnsi="Times New Roman" w:cs="Times New Roman"/>
          <w:sz w:val="24"/>
          <w:szCs w:val="24"/>
        </w:rPr>
        <w:t xml:space="preserve">laimant’s solicitor Mr </w:t>
      </w:r>
      <w:r w:rsidR="0024649C" w:rsidRPr="00FA06D7">
        <w:rPr>
          <w:rFonts w:ascii="Times New Roman" w:hAnsi="Times New Roman" w:cs="Times New Roman"/>
          <w:sz w:val="24"/>
          <w:szCs w:val="24"/>
        </w:rPr>
        <w:t>S</w:t>
      </w:r>
      <w:r w:rsidR="003D1087" w:rsidRPr="00FA06D7">
        <w:rPr>
          <w:rFonts w:ascii="Times New Roman" w:hAnsi="Times New Roman" w:cs="Times New Roman"/>
          <w:sz w:val="24"/>
          <w:szCs w:val="24"/>
        </w:rPr>
        <w:t xml:space="preserve">peed provided a response to the application which in essence asserted that the </w:t>
      </w:r>
      <w:r w:rsidR="0024649C" w:rsidRPr="00FA06D7">
        <w:rPr>
          <w:rFonts w:ascii="Times New Roman" w:hAnsi="Times New Roman" w:cs="Times New Roman"/>
          <w:sz w:val="24"/>
          <w:szCs w:val="24"/>
        </w:rPr>
        <w:t>C</w:t>
      </w:r>
      <w:r w:rsidR="003D1087" w:rsidRPr="00FA06D7">
        <w:rPr>
          <w:rFonts w:ascii="Times New Roman" w:hAnsi="Times New Roman" w:cs="Times New Roman"/>
          <w:sz w:val="24"/>
          <w:szCs w:val="24"/>
        </w:rPr>
        <w:t xml:space="preserve">laimant Mr Mullen had never been a defendant in the </w:t>
      </w:r>
      <w:proofErr w:type="spellStart"/>
      <w:r w:rsidR="003D1087" w:rsidRPr="00FA06D7">
        <w:rPr>
          <w:rFonts w:ascii="Times New Roman" w:hAnsi="Times New Roman" w:cs="Times New Roman"/>
          <w:sz w:val="24"/>
          <w:szCs w:val="24"/>
        </w:rPr>
        <w:t>Taimoree</w:t>
      </w:r>
      <w:proofErr w:type="spellEnd"/>
      <w:r w:rsidR="003D1087" w:rsidRPr="00FA06D7">
        <w:rPr>
          <w:rFonts w:ascii="Times New Roman" w:hAnsi="Times New Roman" w:cs="Times New Roman"/>
          <w:sz w:val="24"/>
          <w:szCs w:val="24"/>
        </w:rPr>
        <w:t xml:space="preserve"> claim and </w:t>
      </w:r>
      <w:r w:rsidR="0024649C" w:rsidRPr="00FA06D7">
        <w:rPr>
          <w:rFonts w:ascii="Times New Roman" w:hAnsi="Times New Roman" w:cs="Times New Roman"/>
          <w:sz w:val="24"/>
          <w:szCs w:val="24"/>
        </w:rPr>
        <w:t>a</w:t>
      </w:r>
      <w:r w:rsidR="003D1087" w:rsidRPr="00FA06D7">
        <w:rPr>
          <w:rFonts w:ascii="Times New Roman" w:hAnsi="Times New Roman" w:cs="Times New Roman"/>
          <w:sz w:val="24"/>
          <w:szCs w:val="24"/>
        </w:rPr>
        <w:t xml:space="preserve"> party to the proceedings in the MOJ protocol. It was said that the admission made on that claim had been by Arriva, </w:t>
      </w:r>
      <w:r w:rsidR="0024649C" w:rsidRPr="00FA06D7">
        <w:rPr>
          <w:rFonts w:ascii="Times New Roman" w:hAnsi="Times New Roman" w:cs="Times New Roman"/>
          <w:sz w:val="24"/>
          <w:szCs w:val="24"/>
        </w:rPr>
        <w:t>the C</w:t>
      </w:r>
      <w:r w:rsidR="003D1087" w:rsidRPr="00FA06D7">
        <w:rPr>
          <w:rFonts w:ascii="Times New Roman" w:hAnsi="Times New Roman" w:cs="Times New Roman"/>
          <w:sz w:val="24"/>
          <w:szCs w:val="24"/>
        </w:rPr>
        <w:t>laimant’s employers, and he was not bound by it. The argument was more fully developed by Mr Dawes of counsel and I shall refer to it below.</w:t>
      </w:r>
    </w:p>
    <w:p w14:paraId="573D7A32" w14:textId="6C85AB46" w:rsidR="003D1087" w:rsidRPr="00FA06D7" w:rsidRDefault="003D1087">
      <w:pPr>
        <w:rPr>
          <w:rFonts w:ascii="Times New Roman" w:hAnsi="Times New Roman" w:cs="Times New Roman"/>
          <w:sz w:val="24"/>
          <w:szCs w:val="24"/>
        </w:rPr>
      </w:pPr>
    </w:p>
    <w:p w14:paraId="5F0897D6" w14:textId="078C125E" w:rsidR="003D1087" w:rsidRPr="00FA06D7" w:rsidRDefault="00FA06D7">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3D1087" w:rsidRPr="00FA06D7">
        <w:rPr>
          <w:rFonts w:ascii="Times New Roman" w:hAnsi="Times New Roman" w:cs="Times New Roman"/>
          <w:sz w:val="24"/>
          <w:szCs w:val="24"/>
        </w:rPr>
        <w:t>The matter was heard before the deputy district judge on 18</w:t>
      </w:r>
      <w:r w:rsidR="003D1087" w:rsidRPr="00FA06D7">
        <w:rPr>
          <w:rFonts w:ascii="Times New Roman" w:hAnsi="Times New Roman" w:cs="Times New Roman"/>
          <w:sz w:val="24"/>
          <w:szCs w:val="24"/>
          <w:vertAlign w:val="superscript"/>
        </w:rPr>
        <w:t>th</w:t>
      </w:r>
      <w:r w:rsidR="003D1087" w:rsidRPr="00FA06D7">
        <w:rPr>
          <w:rFonts w:ascii="Times New Roman" w:hAnsi="Times New Roman" w:cs="Times New Roman"/>
          <w:sz w:val="24"/>
          <w:szCs w:val="24"/>
        </w:rPr>
        <w:t xml:space="preserve"> November, and he delivered an </w:t>
      </w:r>
      <w:r w:rsidR="003D1087" w:rsidRPr="00FA06D7">
        <w:rPr>
          <w:rFonts w:ascii="Times New Roman" w:hAnsi="Times New Roman" w:cs="Times New Roman"/>
          <w:i/>
          <w:iCs/>
          <w:sz w:val="24"/>
          <w:szCs w:val="24"/>
        </w:rPr>
        <w:t>ex</w:t>
      </w:r>
      <w:r w:rsidR="0024649C" w:rsidRPr="00FA06D7">
        <w:rPr>
          <w:rFonts w:ascii="Times New Roman" w:hAnsi="Times New Roman" w:cs="Times New Roman"/>
          <w:i/>
          <w:iCs/>
          <w:sz w:val="24"/>
          <w:szCs w:val="24"/>
        </w:rPr>
        <w:t xml:space="preserve"> </w:t>
      </w:r>
      <w:r w:rsidR="003D1087" w:rsidRPr="00FA06D7">
        <w:rPr>
          <w:rFonts w:ascii="Times New Roman" w:hAnsi="Times New Roman" w:cs="Times New Roman"/>
          <w:i/>
          <w:iCs/>
          <w:sz w:val="24"/>
          <w:szCs w:val="24"/>
        </w:rPr>
        <w:t>tempore</w:t>
      </w:r>
      <w:r w:rsidR="003D1087" w:rsidRPr="00FA06D7">
        <w:rPr>
          <w:rFonts w:ascii="Times New Roman" w:hAnsi="Times New Roman" w:cs="Times New Roman"/>
          <w:sz w:val="24"/>
          <w:szCs w:val="24"/>
        </w:rPr>
        <w:t xml:space="preserve"> </w:t>
      </w:r>
      <w:r w:rsidR="002F7333" w:rsidRPr="00FA06D7">
        <w:rPr>
          <w:rFonts w:ascii="Times New Roman" w:hAnsi="Times New Roman" w:cs="Times New Roman"/>
          <w:sz w:val="24"/>
          <w:szCs w:val="24"/>
        </w:rPr>
        <w:t>judgment</w:t>
      </w:r>
      <w:r w:rsidR="003D1087" w:rsidRPr="00FA06D7">
        <w:rPr>
          <w:rFonts w:ascii="Times New Roman" w:hAnsi="Times New Roman" w:cs="Times New Roman"/>
          <w:sz w:val="24"/>
          <w:szCs w:val="24"/>
        </w:rPr>
        <w:t xml:space="preserve"> on the same day, in which as I have indicated, he placed reliance on the portal admission as his basis for the finding of an abuse of process. It is unnecessary to make any separate reference to the </w:t>
      </w:r>
      <w:r w:rsidR="002F7333" w:rsidRPr="00FA06D7">
        <w:rPr>
          <w:rFonts w:ascii="Times New Roman" w:hAnsi="Times New Roman" w:cs="Times New Roman"/>
          <w:sz w:val="24"/>
          <w:szCs w:val="24"/>
        </w:rPr>
        <w:t>judgment</w:t>
      </w:r>
      <w:r w:rsidR="003D1087" w:rsidRPr="00FA06D7">
        <w:rPr>
          <w:rFonts w:ascii="Times New Roman" w:hAnsi="Times New Roman" w:cs="Times New Roman"/>
          <w:sz w:val="24"/>
          <w:szCs w:val="24"/>
        </w:rPr>
        <w:t xml:space="preserve">, but in allowing the application to strike out the claim under CPR 3.4 it is not entirely clear whether he is making reference to </w:t>
      </w:r>
      <w:r w:rsidR="003D1087" w:rsidRPr="00FA06D7">
        <w:rPr>
          <w:rFonts w:ascii="Times New Roman" w:hAnsi="Times New Roman" w:cs="Times New Roman"/>
          <w:sz w:val="24"/>
          <w:szCs w:val="24"/>
        </w:rPr>
        <w:lastRenderedPageBreak/>
        <w:t>sub-rule (a) sub- rule (b). This is potentially relevant</w:t>
      </w:r>
      <w:r w:rsidR="0024649C" w:rsidRPr="00FA06D7">
        <w:rPr>
          <w:rFonts w:ascii="Times New Roman" w:hAnsi="Times New Roman" w:cs="Times New Roman"/>
          <w:sz w:val="24"/>
          <w:szCs w:val="24"/>
        </w:rPr>
        <w:t xml:space="preserve"> to</w:t>
      </w:r>
      <w:r w:rsidR="003D1087" w:rsidRPr="00FA06D7">
        <w:rPr>
          <w:rFonts w:ascii="Times New Roman" w:hAnsi="Times New Roman" w:cs="Times New Roman"/>
          <w:sz w:val="24"/>
          <w:szCs w:val="24"/>
        </w:rPr>
        <w:t xml:space="preserve"> the cross-appeal, although neither counsel disputed that it was probably immaterial, because it would not have been open to him </w:t>
      </w:r>
      <w:r w:rsidR="00B57311" w:rsidRPr="00FA06D7">
        <w:rPr>
          <w:rFonts w:ascii="Times New Roman" w:hAnsi="Times New Roman" w:cs="Times New Roman"/>
          <w:sz w:val="24"/>
          <w:szCs w:val="24"/>
        </w:rPr>
        <w:t xml:space="preserve">to strike out </w:t>
      </w:r>
      <w:r w:rsidR="003D1087" w:rsidRPr="00FA06D7">
        <w:rPr>
          <w:rFonts w:ascii="Times New Roman" w:hAnsi="Times New Roman" w:cs="Times New Roman"/>
          <w:sz w:val="24"/>
          <w:szCs w:val="24"/>
        </w:rPr>
        <w:t xml:space="preserve">the statement of case under sub-rule (c), an application which was never before the court. He did not make any ruling in relation to the application for summary </w:t>
      </w:r>
      <w:r w:rsidR="002F7333" w:rsidRPr="00FA06D7">
        <w:rPr>
          <w:rFonts w:ascii="Times New Roman" w:hAnsi="Times New Roman" w:cs="Times New Roman"/>
          <w:sz w:val="24"/>
          <w:szCs w:val="24"/>
        </w:rPr>
        <w:t>judgment</w:t>
      </w:r>
      <w:r w:rsidR="003D1087" w:rsidRPr="00FA06D7">
        <w:rPr>
          <w:rFonts w:ascii="Times New Roman" w:hAnsi="Times New Roman" w:cs="Times New Roman"/>
          <w:sz w:val="24"/>
          <w:szCs w:val="24"/>
        </w:rPr>
        <w:t>.</w:t>
      </w:r>
    </w:p>
    <w:p w14:paraId="7CE3B9D1" w14:textId="475C8554" w:rsidR="003D1087" w:rsidRPr="00FA06D7" w:rsidRDefault="003D1087">
      <w:pPr>
        <w:rPr>
          <w:rFonts w:ascii="Times New Roman" w:hAnsi="Times New Roman" w:cs="Times New Roman"/>
          <w:sz w:val="24"/>
          <w:szCs w:val="24"/>
        </w:rPr>
      </w:pPr>
    </w:p>
    <w:p w14:paraId="4373D1D7" w14:textId="6AFC98D7" w:rsidR="003D1087" w:rsidRPr="00FA06D7" w:rsidRDefault="00FA06D7">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3D1087" w:rsidRPr="00FA06D7">
        <w:rPr>
          <w:rFonts w:ascii="Times New Roman" w:hAnsi="Times New Roman" w:cs="Times New Roman"/>
          <w:sz w:val="24"/>
          <w:szCs w:val="24"/>
        </w:rPr>
        <w:t>I have already made reference to the process by which the appeal has come before me</w:t>
      </w:r>
      <w:r w:rsidR="003C3B0D" w:rsidRPr="00FA06D7">
        <w:rPr>
          <w:rFonts w:ascii="Times New Roman" w:hAnsi="Times New Roman" w:cs="Times New Roman"/>
          <w:sz w:val="24"/>
          <w:szCs w:val="24"/>
        </w:rPr>
        <w:t xml:space="preserve"> and it is unnecessary to deal with the procedure in any more detail.</w:t>
      </w:r>
    </w:p>
    <w:p w14:paraId="2DB42F84" w14:textId="748FAA13" w:rsidR="003C3B0D" w:rsidRPr="00FA06D7" w:rsidRDefault="003C3B0D">
      <w:pPr>
        <w:rPr>
          <w:rFonts w:ascii="Times New Roman" w:hAnsi="Times New Roman" w:cs="Times New Roman"/>
          <w:sz w:val="24"/>
          <w:szCs w:val="24"/>
        </w:rPr>
      </w:pPr>
    </w:p>
    <w:p w14:paraId="467C93E9" w14:textId="07AD45B2" w:rsidR="003C3B0D" w:rsidRPr="00FA06D7" w:rsidRDefault="00FA06D7">
      <w:pP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3C3B0D" w:rsidRPr="00FA06D7">
        <w:rPr>
          <w:rFonts w:ascii="Times New Roman" w:hAnsi="Times New Roman" w:cs="Times New Roman"/>
          <w:sz w:val="24"/>
          <w:szCs w:val="24"/>
        </w:rPr>
        <w:t xml:space="preserve">I indicated to counsel during the course of oral submissions that I would not scrutinise the first of the two digital bundles provided by the </w:t>
      </w:r>
      <w:r w:rsidR="00B57311" w:rsidRPr="00FA06D7">
        <w:rPr>
          <w:rFonts w:ascii="Times New Roman" w:hAnsi="Times New Roman" w:cs="Times New Roman"/>
          <w:sz w:val="24"/>
          <w:szCs w:val="24"/>
        </w:rPr>
        <w:t>R</w:t>
      </w:r>
      <w:r w:rsidR="003C3B0D" w:rsidRPr="00FA06D7">
        <w:rPr>
          <w:rFonts w:ascii="Times New Roman" w:hAnsi="Times New Roman" w:cs="Times New Roman"/>
          <w:sz w:val="24"/>
          <w:szCs w:val="24"/>
        </w:rPr>
        <w:t xml:space="preserve">espondent at their request, because it was not accepted by the </w:t>
      </w:r>
      <w:r w:rsidR="00B57311" w:rsidRPr="00FA06D7">
        <w:rPr>
          <w:rFonts w:ascii="Times New Roman" w:hAnsi="Times New Roman" w:cs="Times New Roman"/>
          <w:sz w:val="24"/>
          <w:szCs w:val="24"/>
        </w:rPr>
        <w:t>R</w:t>
      </w:r>
      <w:r w:rsidR="003C3B0D" w:rsidRPr="00FA06D7">
        <w:rPr>
          <w:rFonts w:ascii="Times New Roman" w:hAnsi="Times New Roman" w:cs="Times New Roman"/>
          <w:sz w:val="24"/>
          <w:szCs w:val="24"/>
        </w:rPr>
        <w:t xml:space="preserve">espondent that this was admissible material. The material had been put in a separate bundle because </w:t>
      </w:r>
      <w:r w:rsidR="0043739F">
        <w:rPr>
          <w:rFonts w:ascii="Times New Roman" w:hAnsi="Times New Roman" w:cs="Times New Roman"/>
          <w:sz w:val="24"/>
          <w:szCs w:val="24"/>
        </w:rPr>
        <w:t>none</w:t>
      </w:r>
      <w:r w:rsidR="00B57311" w:rsidRPr="00FA06D7">
        <w:rPr>
          <w:rFonts w:ascii="Times New Roman" w:hAnsi="Times New Roman" w:cs="Times New Roman"/>
          <w:sz w:val="24"/>
          <w:szCs w:val="24"/>
        </w:rPr>
        <w:t xml:space="preserve"> of it had </w:t>
      </w:r>
      <w:r w:rsidR="003C3B0D" w:rsidRPr="00FA06D7">
        <w:rPr>
          <w:rFonts w:ascii="Times New Roman" w:hAnsi="Times New Roman" w:cs="Times New Roman"/>
          <w:sz w:val="24"/>
          <w:szCs w:val="24"/>
        </w:rPr>
        <w:t>been before the district judge, and was not included in the appeal bundle. However, it was apparent that some material had come to light later, as it post-dated the decision. One particular letter was referred to by Mr Dawes of counsel and is dated 5</w:t>
      </w:r>
      <w:r w:rsidR="00B57311" w:rsidRPr="00FA06D7">
        <w:rPr>
          <w:rFonts w:ascii="Times New Roman" w:hAnsi="Times New Roman" w:cs="Times New Roman"/>
          <w:sz w:val="24"/>
          <w:szCs w:val="24"/>
          <w:vertAlign w:val="superscript"/>
        </w:rPr>
        <w:t>th</w:t>
      </w:r>
      <w:r w:rsidR="003C3B0D" w:rsidRPr="00FA06D7">
        <w:rPr>
          <w:rFonts w:ascii="Times New Roman" w:hAnsi="Times New Roman" w:cs="Times New Roman"/>
          <w:sz w:val="24"/>
          <w:szCs w:val="24"/>
        </w:rPr>
        <w:t xml:space="preserve"> May 2020. It is from </w:t>
      </w:r>
      <w:proofErr w:type="spellStart"/>
      <w:r w:rsidR="003C3B0D" w:rsidRPr="00FA06D7">
        <w:rPr>
          <w:rFonts w:ascii="Times New Roman" w:hAnsi="Times New Roman" w:cs="Times New Roman"/>
          <w:sz w:val="24"/>
          <w:szCs w:val="24"/>
        </w:rPr>
        <w:t>Transcare</w:t>
      </w:r>
      <w:proofErr w:type="spellEnd"/>
      <w:r w:rsidR="003C3B0D" w:rsidRPr="00FA06D7">
        <w:rPr>
          <w:rFonts w:ascii="Times New Roman" w:hAnsi="Times New Roman" w:cs="Times New Roman"/>
          <w:sz w:val="24"/>
          <w:szCs w:val="24"/>
        </w:rPr>
        <w:t xml:space="preserve"> </w:t>
      </w:r>
      <w:r w:rsidR="00673223" w:rsidRPr="00FA06D7">
        <w:rPr>
          <w:rFonts w:ascii="Times New Roman" w:hAnsi="Times New Roman" w:cs="Times New Roman"/>
          <w:sz w:val="24"/>
          <w:szCs w:val="24"/>
        </w:rPr>
        <w:t>and appears</w:t>
      </w:r>
      <w:r w:rsidR="003C3B0D" w:rsidRPr="00FA06D7">
        <w:rPr>
          <w:rFonts w:ascii="Times New Roman" w:hAnsi="Times New Roman" w:cs="Times New Roman"/>
          <w:sz w:val="24"/>
          <w:szCs w:val="24"/>
        </w:rPr>
        <w:t xml:space="preserve"> to have been elicited by the </w:t>
      </w:r>
      <w:r w:rsidR="00B57311" w:rsidRPr="00FA06D7">
        <w:rPr>
          <w:rFonts w:ascii="Times New Roman" w:hAnsi="Times New Roman" w:cs="Times New Roman"/>
          <w:sz w:val="24"/>
          <w:szCs w:val="24"/>
        </w:rPr>
        <w:t>C</w:t>
      </w:r>
      <w:r w:rsidR="003C3B0D" w:rsidRPr="00FA06D7">
        <w:rPr>
          <w:rFonts w:ascii="Times New Roman" w:hAnsi="Times New Roman" w:cs="Times New Roman"/>
          <w:sz w:val="24"/>
          <w:szCs w:val="24"/>
        </w:rPr>
        <w:t>laimant</w:t>
      </w:r>
      <w:r w:rsidR="00094011" w:rsidRPr="00FA06D7">
        <w:rPr>
          <w:rFonts w:ascii="Times New Roman" w:hAnsi="Times New Roman" w:cs="Times New Roman"/>
          <w:sz w:val="24"/>
          <w:szCs w:val="24"/>
        </w:rPr>
        <w:t>’s solicitor. I mention it for the sake of completeness, although its significance may not be immediately apparent. It is the last paragraph</w:t>
      </w:r>
      <w:r w:rsidR="00B57311" w:rsidRPr="00FA06D7">
        <w:rPr>
          <w:rFonts w:ascii="Times New Roman" w:hAnsi="Times New Roman" w:cs="Times New Roman"/>
          <w:sz w:val="24"/>
          <w:szCs w:val="24"/>
        </w:rPr>
        <w:t xml:space="preserve"> on </w:t>
      </w:r>
      <w:r w:rsidR="00094011" w:rsidRPr="00FA06D7">
        <w:rPr>
          <w:rFonts w:ascii="Times New Roman" w:hAnsi="Times New Roman" w:cs="Times New Roman"/>
          <w:sz w:val="24"/>
          <w:szCs w:val="24"/>
        </w:rPr>
        <w:t>which reliance is placed:</w:t>
      </w:r>
    </w:p>
    <w:p w14:paraId="76374F4F" w14:textId="77777777" w:rsidR="00FA06D7" w:rsidRDefault="00FA06D7" w:rsidP="00094011">
      <w:pPr>
        <w:ind w:left="1440"/>
        <w:rPr>
          <w:sz w:val="18"/>
          <w:szCs w:val="18"/>
        </w:rPr>
      </w:pPr>
    </w:p>
    <w:p w14:paraId="60C11C71" w14:textId="578A7856" w:rsidR="00094011" w:rsidRPr="00094011" w:rsidRDefault="00094011" w:rsidP="00094011">
      <w:pPr>
        <w:ind w:left="1440"/>
        <w:rPr>
          <w:sz w:val="18"/>
          <w:szCs w:val="18"/>
        </w:rPr>
      </w:pPr>
      <w:r>
        <w:rPr>
          <w:sz w:val="18"/>
          <w:szCs w:val="18"/>
        </w:rPr>
        <w:t>“</w:t>
      </w:r>
      <w:r w:rsidRPr="00094011">
        <w:rPr>
          <w:sz w:val="18"/>
          <w:szCs w:val="18"/>
        </w:rPr>
        <w:t xml:space="preserve">Dear Sirs, </w:t>
      </w:r>
    </w:p>
    <w:p w14:paraId="6B6D146F" w14:textId="77777777" w:rsidR="00094011" w:rsidRPr="00094011" w:rsidRDefault="00094011" w:rsidP="00094011">
      <w:pPr>
        <w:ind w:left="1440"/>
        <w:rPr>
          <w:sz w:val="18"/>
          <w:szCs w:val="18"/>
        </w:rPr>
      </w:pPr>
      <w:r w:rsidRPr="00094011">
        <w:rPr>
          <w:sz w:val="18"/>
          <w:szCs w:val="18"/>
        </w:rPr>
        <w:t xml:space="preserve">We refer to the above, </w:t>
      </w:r>
    </w:p>
    <w:p w14:paraId="23154BF0" w14:textId="77777777" w:rsidR="00094011" w:rsidRPr="00094011" w:rsidRDefault="00094011" w:rsidP="00094011">
      <w:pPr>
        <w:ind w:left="1440"/>
        <w:rPr>
          <w:sz w:val="18"/>
          <w:szCs w:val="18"/>
        </w:rPr>
      </w:pPr>
      <w:proofErr w:type="spellStart"/>
      <w:r w:rsidRPr="00094011">
        <w:rPr>
          <w:sz w:val="18"/>
          <w:szCs w:val="18"/>
        </w:rPr>
        <w:t>Transcare</w:t>
      </w:r>
      <w:proofErr w:type="spellEnd"/>
      <w:r w:rsidRPr="00094011">
        <w:rPr>
          <w:sz w:val="18"/>
          <w:szCs w:val="18"/>
        </w:rPr>
        <w:t xml:space="preserve"> Solutions Lid is a wholly owned subsidiary company of Arriva Plc and are </w:t>
      </w:r>
    </w:p>
    <w:p w14:paraId="030EE94B" w14:textId="77777777" w:rsidR="00094011" w:rsidRPr="00094011" w:rsidRDefault="00094011" w:rsidP="00094011">
      <w:pPr>
        <w:ind w:left="1440"/>
        <w:rPr>
          <w:sz w:val="18"/>
          <w:szCs w:val="18"/>
        </w:rPr>
      </w:pPr>
      <w:r w:rsidRPr="00094011">
        <w:rPr>
          <w:sz w:val="18"/>
          <w:szCs w:val="18"/>
        </w:rPr>
        <w:t xml:space="preserve">appointed to handle all incidents including damage recoveries for all Arriva companies. </w:t>
      </w:r>
    </w:p>
    <w:p w14:paraId="3F8273E6" w14:textId="77777777" w:rsidR="00094011" w:rsidRPr="00094011" w:rsidRDefault="00094011" w:rsidP="00094011">
      <w:pPr>
        <w:ind w:left="1440"/>
        <w:rPr>
          <w:sz w:val="18"/>
          <w:szCs w:val="18"/>
        </w:rPr>
      </w:pPr>
      <w:r w:rsidRPr="00094011">
        <w:rPr>
          <w:sz w:val="18"/>
          <w:szCs w:val="18"/>
        </w:rPr>
        <w:t xml:space="preserve">In relation to the above incident Mr Mullen was in the course of his employment with Arriva </w:t>
      </w:r>
    </w:p>
    <w:p w14:paraId="7C159BCE" w14:textId="6817897B" w:rsidR="00094011" w:rsidRPr="00094011" w:rsidRDefault="00094011" w:rsidP="00094011">
      <w:pPr>
        <w:ind w:left="1440"/>
        <w:rPr>
          <w:sz w:val="18"/>
          <w:szCs w:val="18"/>
        </w:rPr>
      </w:pPr>
      <w:r w:rsidRPr="00094011">
        <w:rPr>
          <w:sz w:val="18"/>
          <w:szCs w:val="18"/>
        </w:rPr>
        <w:t>North West Ltd, Arriva Pl</w:t>
      </w:r>
      <w:r>
        <w:rPr>
          <w:sz w:val="18"/>
          <w:szCs w:val="18"/>
        </w:rPr>
        <w:t>c</w:t>
      </w:r>
      <w:r w:rsidRPr="00094011">
        <w:rPr>
          <w:sz w:val="18"/>
          <w:szCs w:val="18"/>
        </w:rPr>
        <w:t xml:space="preserve"> Motor Insurance Policy is third party only and does not cover any claims for </w:t>
      </w:r>
    </w:p>
    <w:p w14:paraId="6407372D" w14:textId="6A0225F2" w:rsidR="00094011" w:rsidRPr="00094011" w:rsidRDefault="00094011" w:rsidP="00094011">
      <w:pPr>
        <w:ind w:left="1440"/>
        <w:rPr>
          <w:sz w:val="18"/>
          <w:szCs w:val="18"/>
        </w:rPr>
      </w:pPr>
      <w:r w:rsidRPr="00094011">
        <w:rPr>
          <w:sz w:val="18"/>
          <w:szCs w:val="18"/>
        </w:rPr>
        <w:t xml:space="preserve">damage caused to Arriva property or injury claims on behalf of their drivers. The policy does  </w:t>
      </w:r>
    </w:p>
    <w:p w14:paraId="03DCB79B" w14:textId="77777777" w:rsidR="00094011" w:rsidRPr="00094011" w:rsidRDefault="00094011" w:rsidP="00094011">
      <w:pPr>
        <w:ind w:left="1440"/>
        <w:rPr>
          <w:sz w:val="18"/>
          <w:szCs w:val="18"/>
        </w:rPr>
      </w:pPr>
      <w:r w:rsidRPr="00094011">
        <w:rPr>
          <w:sz w:val="18"/>
          <w:szCs w:val="18"/>
        </w:rPr>
        <w:t xml:space="preserve">not bind any drivers to admissions of liability made by </w:t>
      </w:r>
      <w:proofErr w:type="spellStart"/>
      <w:r w:rsidRPr="00094011">
        <w:rPr>
          <w:sz w:val="18"/>
          <w:szCs w:val="18"/>
        </w:rPr>
        <w:t>Transcare</w:t>
      </w:r>
      <w:proofErr w:type="spellEnd"/>
      <w:r w:rsidRPr="00094011">
        <w:rPr>
          <w:sz w:val="18"/>
          <w:szCs w:val="18"/>
        </w:rPr>
        <w:t xml:space="preserve"> Solutions Ltd on behalf of </w:t>
      </w:r>
    </w:p>
    <w:p w14:paraId="4B4EB990" w14:textId="75D353E0" w:rsidR="00094011" w:rsidRDefault="00094011" w:rsidP="00094011">
      <w:pPr>
        <w:ind w:left="1440"/>
      </w:pPr>
      <w:r w:rsidRPr="00094011">
        <w:rPr>
          <w:sz w:val="18"/>
          <w:szCs w:val="18"/>
        </w:rPr>
        <w:t>Arriva Plc.</w:t>
      </w:r>
      <w:r w:rsidR="0043739F">
        <w:rPr>
          <w:sz w:val="18"/>
          <w:szCs w:val="18"/>
        </w:rPr>
        <w:t>”</w:t>
      </w:r>
    </w:p>
    <w:p w14:paraId="356AD7BF" w14:textId="5EE38311" w:rsidR="00826D67" w:rsidRDefault="00826D67"/>
    <w:p w14:paraId="5928045B" w14:textId="1D576EAB" w:rsidR="00826D67" w:rsidRPr="0039450E" w:rsidRDefault="0039450E">
      <w:pP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094011" w:rsidRPr="0039450E">
        <w:rPr>
          <w:rFonts w:ascii="Times New Roman" w:hAnsi="Times New Roman" w:cs="Times New Roman"/>
          <w:sz w:val="24"/>
          <w:szCs w:val="24"/>
        </w:rPr>
        <w:t xml:space="preserve">In seeking to identify correspondence within this bundle, however, I encountered a further letter </w:t>
      </w:r>
      <w:r w:rsidR="00673223" w:rsidRPr="0039450E">
        <w:rPr>
          <w:rFonts w:ascii="Times New Roman" w:hAnsi="Times New Roman" w:cs="Times New Roman"/>
          <w:sz w:val="24"/>
          <w:szCs w:val="24"/>
        </w:rPr>
        <w:t xml:space="preserve">from </w:t>
      </w:r>
      <w:proofErr w:type="spellStart"/>
      <w:r w:rsidR="00673223" w:rsidRPr="0039450E">
        <w:rPr>
          <w:rFonts w:ascii="Times New Roman" w:hAnsi="Times New Roman" w:cs="Times New Roman"/>
          <w:sz w:val="24"/>
          <w:szCs w:val="24"/>
        </w:rPr>
        <w:t>Transcare</w:t>
      </w:r>
      <w:proofErr w:type="spellEnd"/>
      <w:r w:rsidR="00673223" w:rsidRPr="0039450E">
        <w:rPr>
          <w:rFonts w:ascii="Times New Roman" w:hAnsi="Times New Roman" w:cs="Times New Roman"/>
          <w:sz w:val="24"/>
          <w:szCs w:val="24"/>
        </w:rPr>
        <w:t xml:space="preserve"> </w:t>
      </w:r>
      <w:r w:rsidR="00094011" w:rsidRPr="0039450E">
        <w:rPr>
          <w:rFonts w:ascii="Times New Roman" w:hAnsi="Times New Roman" w:cs="Times New Roman"/>
          <w:sz w:val="24"/>
          <w:szCs w:val="24"/>
        </w:rPr>
        <w:t xml:space="preserve">to which reference should </w:t>
      </w:r>
      <w:r w:rsidR="00B57311" w:rsidRPr="0039450E">
        <w:rPr>
          <w:rFonts w:ascii="Times New Roman" w:hAnsi="Times New Roman" w:cs="Times New Roman"/>
          <w:sz w:val="24"/>
          <w:szCs w:val="24"/>
        </w:rPr>
        <w:t xml:space="preserve">also </w:t>
      </w:r>
      <w:r w:rsidR="00094011" w:rsidRPr="0039450E">
        <w:rPr>
          <w:rFonts w:ascii="Times New Roman" w:hAnsi="Times New Roman" w:cs="Times New Roman"/>
          <w:sz w:val="24"/>
          <w:szCs w:val="24"/>
        </w:rPr>
        <w:t>be made, although it was not the subject of discussion with counsel. It</w:t>
      </w:r>
      <w:r w:rsidR="00673223" w:rsidRPr="0039450E">
        <w:rPr>
          <w:rFonts w:ascii="Times New Roman" w:hAnsi="Times New Roman" w:cs="Times New Roman"/>
          <w:sz w:val="24"/>
          <w:szCs w:val="24"/>
        </w:rPr>
        <w:t xml:space="preserve"> was</w:t>
      </w:r>
      <w:r w:rsidR="00094011" w:rsidRPr="0039450E">
        <w:rPr>
          <w:rFonts w:ascii="Times New Roman" w:hAnsi="Times New Roman" w:cs="Times New Roman"/>
          <w:sz w:val="24"/>
          <w:szCs w:val="24"/>
        </w:rPr>
        <w:t xml:space="preserve"> written on 20</w:t>
      </w:r>
      <w:r w:rsidR="00B57311" w:rsidRPr="0039450E">
        <w:rPr>
          <w:rFonts w:ascii="Times New Roman" w:hAnsi="Times New Roman" w:cs="Times New Roman"/>
          <w:sz w:val="24"/>
          <w:szCs w:val="24"/>
          <w:vertAlign w:val="superscript"/>
        </w:rPr>
        <w:t>th</w:t>
      </w:r>
      <w:r w:rsidR="00B57311" w:rsidRPr="0039450E">
        <w:rPr>
          <w:rFonts w:ascii="Times New Roman" w:hAnsi="Times New Roman" w:cs="Times New Roman"/>
          <w:sz w:val="24"/>
          <w:szCs w:val="24"/>
        </w:rPr>
        <w:t xml:space="preserve"> </w:t>
      </w:r>
      <w:r w:rsidR="00094011" w:rsidRPr="0039450E">
        <w:rPr>
          <w:rFonts w:ascii="Times New Roman" w:hAnsi="Times New Roman" w:cs="Times New Roman"/>
          <w:sz w:val="24"/>
          <w:szCs w:val="24"/>
        </w:rPr>
        <w:t xml:space="preserve">December 2019 by </w:t>
      </w:r>
      <w:proofErr w:type="spellStart"/>
      <w:r w:rsidR="00094011" w:rsidRPr="0039450E">
        <w:rPr>
          <w:rFonts w:ascii="Times New Roman" w:hAnsi="Times New Roman" w:cs="Times New Roman"/>
          <w:sz w:val="24"/>
          <w:szCs w:val="24"/>
        </w:rPr>
        <w:t>Transcare</w:t>
      </w:r>
      <w:proofErr w:type="spellEnd"/>
      <w:r w:rsidR="00094011" w:rsidRPr="0039450E">
        <w:rPr>
          <w:rFonts w:ascii="Times New Roman" w:hAnsi="Times New Roman" w:cs="Times New Roman"/>
          <w:sz w:val="24"/>
          <w:szCs w:val="24"/>
        </w:rPr>
        <w:t xml:space="preserve"> to Noble (i.e. Ar</w:t>
      </w:r>
      <w:r w:rsidR="00673223" w:rsidRPr="0039450E">
        <w:rPr>
          <w:rFonts w:ascii="Times New Roman" w:hAnsi="Times New Roman" w:cs="Times New Roman"/>
          <w:sz w:val="24"/>
          <w:szCs w:val="24"/>
        </w:rPr>
        <w:t>riva</w:t>
      </w:r>
      <w:r w:rsidR="00094011" w:rsidRPr="0039450E">
        <w:rPr>
          <w:rFonts w:ascii="Times New Roman" w:hAnsi="Times New Roman" w:cs="Times New Roman"/>
          <w:sz w:val="24"/>
          <w:szCs w:val="24"/>
        </w:rPr>
        <w:t xml:space="preserve"> to Nelson):</w:t>
      </w:r>
    </w:p>
    <w:p w14:paraId="71D92E27" w14:textId="33CC9112" w:rsidR="00094011" w:rsidRDefault="00094011"/>
    <w:p w14:paraId="70204C82" w14:textId="3D1C3A9D" w:rsidR="00094011" w:rsidRPr="00094011" w:rsidRDefault="0043739F" w:rsidP="00094011">
      <w:pPr>
        <w:ind w:left="1440"/>
        <w:rPr>
          <w:sz w:val="18"/>
          <w:szCs w:val="18"/>
        </w:rPr>
      </w:pPr>
      <w:r>
        <w:rPr>
          <w:sz w:val="18"/>
          <w:szCs w:val="18"/>
        </w:rPr>
        <w:t>“</w:t>
      </w:r>
      <w:r w:rsidR="00094011" w:rsidRPr="00094011">
        <w:rPr>
          <w:sz w:val="18"/>
          <w:szCs w:val="18"/>
        </w:rPr>
        <w:t xml:space="preserve">Dear Sirs, </w:t>
      </w:r>
    </w:p>
    <w:p w14:paraId="2223FC3B" w14:textId="77777777" w:rsidR="00094011" w:rsidRPr="00094011" w:rsidRDefault="00094011" w:rsidP="00094011">
      <w:pPr>
        <w:ind w:left="1440"/>
        <w:rPr>
          <w:sz w:val="18"/>
          <w:szCs w:val="18"/>
        </w:rPr>
      </w:pPr>
      <w:r w:rsidRPr="00094011">
        <w:rPr>
          <w:sz w:val="18"/>
          <w:szCs w:val="18"/>
        </w:rPr>
        <w:t xml:space="preserve">We refer to the above case. </w:t>
      </w:r>
    </w:p>
    <w:p w14:paraId="59903794" w14:textId="77777777" w:rsidR="00094011" w:rsidRPr="00094011" w:rsidRDefault="00094011" w:rsidP="00094011">
      <w:pPr>
        <w:ind w:left="1440"/>
        <w:rPr>
          <w:sz w:val="18"/>
          <w:szCs w:val="18"/>
        </w:rPr>
      </w:pPr>
      <w:r w:rsidRPr="00094011">
        <w:rPr>
          <w:sz w:val="18"/>
          <w:szCs w:val="18"/>
        </w:rPr>
        <w:t xml:space="preserve">Please can you note the change of handler and handling office for your records. </w:t>
      </w:r>
    </w:p>
    <w:p w14:paraId="0CB101EF" w14:textId="77777777" w:rsidR="00094011" w:rsidRPr="00094011" w:rsidRDefault="00094011" w:rsidP="00094011">
      <w:pPr>
        <w:ind w:left="1440"/>
        <w:rPr>
          <w:sz w:val="18"/>
          <w:szCs w:val="18"/>
        </w:rPr>
      </w:pPr>
      <w:r w:rsidRPr="00094011">
        <w:rPr>
          <w:sz w:val="18"/>
          <w:szCs w:val="18"/>
        </w:rPr>
        <w:t xml:space="preserve">The writer has fully reviewed the file and based on the evidence holds your insured fully </w:t>
      </w:r>
    </w:p>
    <w:p w14:paraId="7DA3E724" w14:textId="77777777" w:rsidR="00094011" w:rsidRPr="00B57311" w:rsidRDefault="00094011" w:rsidP="00094011">
      <w:pPr>
        <w:ind w:left="1440"/>
        <w:rPr>
          <w:sz w:val="18"/>
          <w:szCs w:val="18"/>
          <w:u w:val="single"/>
        </w:rPr>
      </w:pPr>
      <w:r w:rsidRPr="00094011">
        <w:rPr>
          <w:sz w:val="18"/>
          <w:szCs w:val="18"/>
        </w:rPr>
        <w:t xml:space="preserve">responsible for the incident. </w:t>
      </w:r>
      <w:r w:rsidRPr="00B57311">
        <w:rPr>
          <w:sz w:val="18"/>
          <w:szCs w:val="18"/>
          <w:u w:val="single"/>
        </w:rPr>
        <w:t xml:space="preserve">In view of this we now resile from our admission of liability </w:t>
      </w:r>
    </w:p>
    <w:p w14:paraId="13E74E8F" w14:textId="77777777" w:rsidR="00094011" w:rsidRPr="00094011" w:rsidRDefault="00094011" w:rsidP="00094011">
      <w:pPr>
        <w:ind w:left="1440"/>
        <w:rPr>
          <w:sz w:val="18"/>
          <w:szCs w:val="18"/>
        </w:rPr>
      </w:pPr>
      <w:r w:rsidRPr="00B57311">
        <w:rPr>
          <w:sz w:val="18"/>
          <w:szCs w:val="18"/>
          <w:u w:val="single"/>
        </w:rPr>
        <w:lastRenderedPageBreak/>
        <w:t>and refer to the case of Woodland v Stopford</w:t>
      </w:r>
      <w:r w:rsidRPr="00094011">
        <w:rPr>
          <w:sz w:val="18"/>
          <w:szCs w:val="18"/>
        </w:rPr>
        <w:t xml:space="preserve"> (2011). </w:t>
      </w:r>
    </w:p>
    <w:p w14:paraId="2BBD8ECE" w14:textId="77777777" w:rsidR="00094011" w:rsidRPr="00094011" w:rsidRDefault="00094011" w:rsidP="00094011">
      <w:pPr>
        <w:ind w:left="1440"/>
        <w:rPr>
          <w:sz w:val="18"/>
          <w:szCs w:val="18"/>
        </w:rPr>
      </w:pPr>
      <w:r w:rsidRPr="00094011">
        <w:rPr>
          <w:sz w:val="18"/>
          <w:szCs w:val="18"/>
        </w:rPr>
        <w:t xml:space="preserve">It is unclear if you have seen the CCTV footage from the bus so we enclose a copy of </w:t>
      </w:r>
    </w:p>
    <w:p w14:paraId="49E61F9A" w14:textId="2F518FBE" w:rsidR="00094011" w:rsidRDefault="00094011" w:rsidP="00094011">
      <w:pPr>
        <w:ind w:left="1440"/>
      </w:pPr>
      <w:r w:rsidRPr="00094011">
        <w:rPr>
          <w:sz w:val="18"/>
          <w:szCs w:val="18"/>
        </w:rPr>
        <w:t xml:space="preserve">this, which is sent subject to the following conditions </w:t>
      </w:r>
      <w:r>
        <w:rPr>
          <w:sz w:val="18"/>
          <w:szCs w:val="18"/>
        </w:rPr>
        <w:t>………..</w:t>
      </w:r>
      <w:r w:rsidR="0043739F">
        <w:rPr>
          <w:sz w:val="18"/>
          <w:szCs w:val="18"/>
        </w:rPr>
        <w:t>”</w:t>
      </w:r>
    </w:p>
    <w:p w14:paraId="6CF6B24C" w14:textId="456535F2" w:rsidR="00826D67" w:rsidRDefault="00826D67"/>
    <w:p w14:paraId="56D35683" w14:textId="44A3B19F" w:rsidR="00094011" w:rsidRPr="0039450E" w:rsidRDefault="0039450E">
      <w:pPr>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094011" w:rsidRPr="0039450E">
        <w:rPr>
          <w:rFonts w:ascii="Times New Roman" w:hAnsi="Times New Roman" w:cs="Times New Roman"/>
          <w:sz w:val="24"/>
          <w:szCs w:val="24"/>
        </w:rPr>
        <w:t>It is unclear whether this remains the position as far as the settlement of Mr T</w:t>
      </w:r>
      <w:r w:rsidR="00673223" w:rsidRPr="0039450E">
        <w:rPr>
          <w:rFonts w:ascii="Times New Roman" w:hAnsi="Times New Roman" w:cs="Times New Roman"/>
          <w:sz w:val="24"/>
          <w:szCs w:val="24"/>
        </w:rPr>
        <w:t>aimor</w:t>
      </w:r>
      <w:r w:rsidR="00765E25" w:rsidRPr="0039450E">
        <w:rPr>
          <w:rFonts w:ascii="Times New Roman" w:hAnsi="Times New Roman" w:cs="Times New Roman"/>
          <w:sz w:val="24"/>
          <w:szCs w:val="24"/>
        </w:rPr>
        <w:t>ee’</w:t>
      </w:r>
      <w:r w:rsidR="00094011" w:rsidRPr="0039450E">
        <w:rPr>
          <w:rFonts w:ascii="Times New Roman" w:hAnsi="Times New Roman" w:cs="Times New Roman"/>
          <w:sz w:val="24"/>
          <w:szCs w:val="24"/>
        </w:rPr>
        <w:t>s claim against Arriva is concerned.</w:t>
      </w:r>
      <w:r w:rsidR="00673223" w:rsidRPr="0039450E">
        <w:rPr>
          <w:rFonts w:ascii="Times New Roman" w:hAnsi="Times New Roman" w:cs="Times New Roman"/>
          <w:sz w:val="24"/>
          <w:szCs w:val="24"/>
        </w:rPr>
        <w:t xml:space="preserve"> The significance touches upon the submission made by counsel for the </w:t>
      </w:r>
      <w:r w:rsidR="00B57311" w:rsidRPr="0039450E">
        <w:rPr>
          <w:rFonts w:ascii="Times New Roman" w:hAnsi="Times New Roman" w:cs="Times New Roman"/>
          <w:sz w:val="24"/>
          <w:szCs w:val="24"/>
        </w:rPr>
        <w:t>A</w:t>
      </w:r>
      <w:r w:rsidR="00673223" w:rsidRPr="0039450E">
        <w:rPr>
          <w:rFonts w:ascii="Times New Roman" w:hAnsi="Times New Roman" w:cs="Times New Roman"/>
          <w:sz w:val="24"/>
          <w:szCs w:val="24"/>
        </w:rPr>
        <w:t xml:space="preserve">ppellant that it was not open to Mr Mullen to resile from </w:t>
      </w:r>
      <w:r w:rsidR="00B57311" w:rsidRPr="0039450E">
        <w:rPr>
          <w:rFonts w:ascii="Times New Roman" w:hAnsi="Times New Roman" w:cs="Times New Roman"/>
          <w:sz w:val="24"/>
          <w:szCs w:val="24"/>
        </w:rPr>
        <w:t xml:space="preserve">an </w:t>
      </w:r>
      <w:r w:rsidR="00673223" w:rsidRPr="0039450E">
        <w:rPr>
          <w:rFonts w:ascii="Times New Roman" w:hAnsi="Times New Roman" w:cs="Times New Roman"/>
          <w:sz w:val="24"/>
          <w:szCs w:val="24"/>
        </w:rPr>
        <w:t>admission which he had not made, but had been made by the insurer for his employers under whose insurance he was covered. Of course</w:t>
      </w:r>
      <w:r w:rsidR="00B57311" w:rsidRPr="0039450E">
        <w:rPr>
          <w:rFonts w:ascii="Times New Roman" w:hAnsi="Times New Roman" w:cs="Times New Roman"/>
          <w:sz w:val="24"/>
          <w:szCs w:val="24"/>
        </w:rPr>
        <w:t>,</w:t>
      </w:r>
      <w:r w:rsidR="00673223" w:rsidRPr="0039450E">
        <w:rPr>
          <w:rFonts w:ascii="Times New Roman" w:hAnsi="Times New Roman" w:cs="Times New Roman"/>
          <w:sz w:val="24"/>
          <w:szCs w:val="24"/>
        </w:rPr>
        <w:t xml:space="preserve"> regardless of the outcome of this appeal, if the insurer is successful in resiling </w:t>
      </w:r>
      <w:r w:rsidR="00B57311" w:rsidRPr="0039450E">
        <w:rPr>
          <w:rFonts w:ascii="Times New Roman" w:hAnsi="Times New Roman" w:cs="Times New Roman"/>
          <w:sz w:val="24"/>
          <w:szCs w:val="24"/>
        </w:rPr>
        <w:t xml:space="preserve">from </w:t>
      </w:r>
      <w:r w:rsidR="00673223" w:rsidRPr="0039450E">
        <w:rPr>
          <w:rFonts w:ascii="Times New Roman" w:hAnsi="Times New Roman" w:cs="Times New Roman"/>
          <w:sz w:val="24"/>
          <w:szCs w:val="24"/>
        </w:rPr>
        <w:t>the admission, it may follow that Mr Mullen is no longer bound by it</w:t>
      </w:r>
      <w:r w:rsidR="00B57311" w:rsidRPr="0039450E">
        <w:rPr>
          <w:rFonts w:ascii="Times New Roman" w:hAnsi="Times New Roman" w:cs="Times New Roman"/>
          <w:sz w:val="24"/>
          <w:szCs w:val="24"/>
        </w:rPr>
        <w:t xml:space="preserve"> in any event</w:t>
      </w:r>
      <w:r w:rsidR="00673223" w:rsidRPr="0039450E">
        <w:rPr>
          <w:rFonts w:ascii="Times New Roman" w:hAnsi="Times New Roman" w:cs="Times New Roman"/>
          <w:sz w:val="24"/>
          <w:szCs w:val="24"/>
        </w:rPr>
        <w:t xml:space="preserve">. However, </w:t>
      </w:r>
      <w:r w:rsidR="00B57311" w:rsidRPr="0039450E">
        <w:rPr>
          <w:rFonts w:ascii="Times New Roman" w:hAnsi="Times New Roman" w:cs="Times New Roman"/>
          <w:sz w:val="24"/>
          <w:szCs w:val="24"/>
        </w:rPr>
        <w:t>that is</w:t>
      </w:r>
      <w:r w:rsidR="00673223" w:rsidRPr="0039450E">
        <w:rPr>
          <w:rFonts w:ascii="Times New Roman" w:hAnsi="Times New Roman" w:cs="Times New Roman"/>
          <w:sz w:val="24"/>
          <w:szCs w:val="24"/>
        </w:rPr>
        <w:t xml:space="preserve"> not a matter which I have to consider for the purposes of this appeal.</w:t>
      </w:r>
      <w:r w:rsidR="00673223" w:rsidRPr="0039450E">
        <w:rPr>
          <w:rStyle w:val="FootnoteReference"/>
          <w:rFonts w:ascii="Times New Roman" w:hAnsi="Times New Roman" w:cs="Times New Roman"/>
          <w:sz w:val="24"/>
          <w:szCs w:val="24"/>
        </w:rPr>
        <w:footnoteReference w:id="5"/>
      </w:r>
    </w:p>
    <w:p w14:paraId="0CDBCD13" w14:textId="6757084C" w:rsidR="00826D67" w:rsidRPr="0039450E" w:rsidRDefault="00826D67">
      <w:pPr>
        <w:rPr>
          <w:rFonts w:ascii="Times New Roman" w:hAnsi="Times New Roman" w:cs="Times New Roman"/>
          <w:sz w:val="24"/>
          <w:szCs w:val="24"/>
        </w:rPr>
      </w:pPr>
    </w:p>
    <w:p w14:paraId="10E646DF" w14:textId="6E5E5F2E" w:rsidR="00826D67" w:rsidRPr="0039450E" w:rsidRDefault="00673223">
      <w:pPr>
        <w:rPr>
          <w:rFonts w:ascii="Times New Roman" w:hAnsi="Times New Roman" w:cs="Times New Roman"/>
          <w:b/>
          <w:bCs/>
          <w:sz w:val="24"/>
          <w:szCs w:val="24"/>
          <w:u w:val="single"/>
        </w:rPr>
      </w:pPr>
      <w:r w:rsidRPr="0039450E">
        <w:rPr>
          <w:rFonts w:ascii="Times New Roman" w:hAnsi="Times New Roman" w:cs="Times New Roman"/>
          <w:b/>
          <w:bCs/>
          <w:sz w:val="24"/>
          <w:szCs w:val="24"/>
          <w:u w:val="single"/>
        </w:rPr>
        <w:t>The relevant law</w:t>
      </w:r>
    </w:p>
    <w:p w14:paraId="35426398" w14:textId="77777777" w:rsidR="0039450E" w:rsidRDefault="0039450E">
      <w:pPr>
        <w:rPr>
          <w:rFonts w:ascii="Times New Roman" w:hAnsi="Times New Roman" w:cs="Times New Roman"/>
          <w:sz w:val="24"/>
          <w:szCs w:val="24"/>
        </w:rPr>
      </w:pPr>
    </w:p>
    <w:p w14:paraId="18104528" w14:textId="1CF0F883" w:rsidR="00B57311" w:rsidRDefault="0039450E">
      <w:pP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44081B" w:rsidRPr="0039450E">
        <w:rPr>
          <w:rFonts w:ascii="Times New Roman" w:hAnsi="Times New Roman" w:cs="Times New Roman"/>
          <w:sz w:val="24"/>
          <w:szCs w:val="24"/>
        </w:rPr>
        <w:t>The s</w:t>
      </w:r>
      <w:r w:rsidR="00673223" w:rsidRPr="0039450E">
        <w:rPr>
          <w:rFonts w:ascii="Times New Roman" w:hAnsi="Times New Roman" w:cs="Times New Roman"/>
          <w:sz w:val="24"/>
          <w:szCs w:val="24"/>
        </w:rPr>
        <w:t>tarting point should be the protocol</w:t>
      </w:r>
      <w:r>
        <w:rPr>
          <w:rFonts w:ascii="Times New Roman" w:hAnsi="Times New Roman" w:cs="Times New Roman"/>
          <w:sz w:val="24"/>
          <w:szCs w:val="24"/>
        </w:rPr>
        <w:t>,</w:t>
      </w:r>
      <w:r w:rsidR="0044081B" w:rsidRPr="0039450E">
        <w:rPr>
          <w:rFonts w:ascii="Times New Roman" w:hAnsi="Times New Roman" w:cs="Times New Roman"/>
          <w:sz w:val="24"/>
          <w:szCs w:val="24"/>
        </w:rPr>
        <w:t xml:space="preserve"> although there is little that requires any detailed analysis. </w:t>
      </w:r>
      <w:r w:rsidR="00B57311" w:rsidRPr="0039450E">
        <w:rPr>
          <w:rFonts w:ascii="Times New Roman" w:hAnsi="Times New Roman" w:cs="Times New Roman"/>
          <w:sz w:val="24"/>
          <w:szCs w:val="24"/>
        </w:rPr>
        <w:t xml:space="preserve">It is appropriate to mention the editorial comment in the </w:t>
      </w:r>
      <w:r w:rsidR="0043739F">
        <w:rPr>
          <w:rFonts w:ascii="Times New Roman" w:hAnsi="Times New Roman" w:cs="Times New Roman"/>
          <w:sz w:val="24"/>
          <w:szCs w:val="24"/>
        </w:rPr>
        <w:t>W</w:t>
      </w:r>
      <w:r w:rsidR="00B57311" w:rsidRPr="0039450E">
        <w:rPr>
          <w:rFonts w:ascii="Times New Roman" w:hAnsi="Times New Roman" w:cs="Times New Roman"/>
          <w:sz w:val="24"/>
          <w:szCs w:val="24"/>
        </w:rPr>
        <w:t xml:space="preserve">hite </w:t>
      </w:r>
      <w:r w:rsidR="0043739F">
        <w:rPr>
          <w:rFonts w:ascii="Times New Roman" w:hAnsi="Times New Roman" w:cs="Times New Roman"/>
          <w:sz w:val="24"/>
          <w:szCs w:val="24"/>
        </w:rPr>
        <w:t>B</w:t>
      </w:r>
      <w:r w:rsidR="00B57311" w:rsidRPr="0039450E">
        <w:rPr>
          <w:rFonts w:ascii="Times New Roman" w:hAnsi="Times New Roman" w:cs="Times New Roman"/>
          <w:sz w:val="24"/>
          <w:szCs w:val="24"/>
        </w:rPr>
        <w:t xml:space="preserve">ook at C13A-001 first and foremost as providing a context. </w:t>
      </w:r>
    </w:p>
    <w:p w14:paraId="2F9DAC1F" w14:textId="77777777" w:rsidR="0039450E" w:rsidRPr="0039450E" w:rsidRDefault="0039450E">
      <w:pPr>
        <w:rPr>
          <w:rFonts w:ascii="Times New Roman" w:hAnsi="Times New Roman" w:cs="Times New Roman"/>
          <w:sz w:val="24"/>
          <w:szCs w:val="24"/>
        </w:rPr>
      </w:pPr>
    </w:p>
    <w:p w14:paraId="1B84C3AF" w14:textId="496A21F4" w:rsidR="00B57311" w:rsidRPr="00E57D00" w:rsidRDefault="00E57D00" w:rsidP="00E57D00">
      <w:pPr>
        <w:ind w:left="1440"/>
        <w:rPr>
          <w:rFonts w:ascii="Times New Roman" w:hAnsi="Times New Roman" w:cs="Times New Roman"/>
          <w:sz w:val="18"/>
          <w:szCs w:val="18"/>
        </w:rPr>
      </w:pPr>
      <w:r w:rsidRPr="00E57D00">
        <w:rPr>
          <w:rFonts w:ascii="Times New Roman" w:hAnsi="Times New Roman" w:cs="Times New Roman"/>
          <w:sz w:val="18"/>
          <w:szCs w:val="18"/>
        </w:rPr>
        <w:t>“</w:t>
      </w:r>
      <w:r w:rsidR="00B57311" w:rsidRPr="00E57D00">
        <w:rPr>
          <w:rFonts w:ascii="Times New Roman" w:hAnsi="Times New Roman" w:cs="Times New Roman"/>
          <w:sz w:val="18"/>
          <w:szCs w:val="18"/>
        </w:rPr>
        <w:t xml:space="preserve">The RTA protocol </w:t>
      </w:r>
      <w:r w:rsidRPr="00E57D00">
        <w:rPr>
          <w:rFonts w:ascii="Times New Roman" w:hAnsi="Times New Roman" w:cs="Times New Roman"/>
          <w:sz w:val="18"/>
          <w:szCs w:val="18"/>
        </w:rPr>
        <w:t xml:space="preserve">describes </w:t>
      </w:r>
      <w:r w:rsidR="00B57311" w:rsidRPr="00E57D00">
        <w:rPr>
          <w:rFonts w:ascii="Times New Roman" w:hAnsi="Times New Roman" w:cs="Times New Roman"/>
          <w:sz w:val="18"/>
          <w:szCs w:val="18"/>
        </w:rPr>
        <w:t xml:space="preserve">in great detail the behaviour the court expects of parties, found legal representatives and of their insurers involved in claims of the type which it applies. The protocol accepts that, and </w:t>
      </w:r>
      <w:r>
        <w:rPr>
          <w:rFonts w:ascii="Times New Roman" w:hAnsi="Times New Roman" w:cs="Times New Roman"/>
          <w:sz w:val="18"/>
          <w:szCs w:val="18"/>
        </w:rPr>
        <w:t xml:space="preserve">is </w:t>
      </w:r>
      <w:r w:rsidR="00B57311" w:rsidRPr="00E57D00">
        <w:rPr>
          <w:rFonts w:ascii="Times New Roman" w:hAnsi="Times New Roman" w:cs="Times New Roman"/>
          <w:sz w:val="18"/>
          <w:szCs w:val="18"/>
        </w:rPr>
        <w:t>structured on the basis that in personal injury road accident cases insurers are the real party in interest on the defence side</w:t>
      </w:r>
      <w:r w:rsidRPr="00E57D00">
        <w:rPr>
          <w:rFonts w:ascii="Times New Roman" w:hAnsi="Times New Roman" w:cs="Times New Roman"/>
          <w:sz w:val="18"/>
          <w:szCs w:val="18"/>
        </w:rPr>
        <w:t>…..”</w:t>
      </w:r>
    </w:p>
    <w:p w14:paraId="45B08BCE" w14:textId="77777777" w:rsidR="00E57D00" w:rsidRDefault="00E57D00"/>
    <w:p w14:paraId="020B4EDE" w14:textId="78DF8DD0" w:rsidR="00673223" w:rsidRPr="0039450E" w:rsidRDefault="0039450E">
      <w:pPr>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44081B" w:rsidRPr="0039450E">
        <w:rPr>
          <w:rFonts w:ascii="Times New Roman" w:hAnsi="Times New Roman" w:cs="Times New Roman"/>
          <w:sz w:val="24"/>
          <w:szCs w:val="24"/>
        </w:rPr>
        <w:t xml:space="preserve">Both counsel made reference to the definitions </w:t>
      </w:r>
      <w:r w:rsidR="00E57D00" w:rsidRPr="0039450E">
        <w:rPr>
          <w:rFonts w:ascii="Times New Roman" w:hAnsi="Times New Roman" w:cs="Times New Roman"/>
          <w:sz w:val="24"/>
          <w:szCs w:val="24"/>
        </w:rPr>
        <w:t xml:space="preserve">in paragraph 1. The following are relevant: </w:t>
      </w:r>
    </w:p>
    <w:p w14:paraId="3C12559C" w14:textId="77777777" w:rsidR="0044081B" w:rsidRPr="0044081B" w:rsidRDefault="0044081B" w:rsidP="0044081B">
      <w:pPr>
        <w:spacing w:before="100" w:beforeAutospacing="1" w:after="100" w:afterAutospacing="1" w:line="240" w:lineRule="auto"/>
        <w:ind w:left="1440"/>
        <w:outlineLvl w:val="2"/>
        <w:rPr>
          <w:rFonts w:ascii="Times New Roman" w:eastAsia="Times New Roman" w:hAnsi="Times New Roman" w:cs="Times New Roman"/>
          <w:b/>
          <w:bCs/>
          <w:sz w:val="18"/>
          <w:szCs w:val="18"/>
          <w:lang w:eastAsia="en-GB"/>
        </w:rPr>
      </w:pPr>
      <w:r w:rsidRPr="0044081B">
        <w:rPr>
          <w:rFonts w:ascii="Times New Roman" w:eastAsia="Times New Roman" w:hAnsi="Times New Roman" w:cs="Times New Roman"/>
          <w:b/>
          <w:bCs/>
          <w:sz w:val="18"/>
          <w:szCs w:val="18"/>
          <w:lang w:eastAsia="en-GB"/>
        </w:rPr>
        <w:t>Definitions</w:t>
      </w:r>
    </w:p>
    <w:p w14:paraId="266B0F60" w14:textId="5770A323" w:rsidR="0044081B" w:rsidRPr="00E57D00" w:rsidRDefault="0044081B" w:rsidP="00E57D00">
      <w:pPr>
        <w:pStyle w:val="ListParagraph"/>
        <w:numPr>
          <w:ilvl w:val="1"/>
          <w:numId w:val="1"/>
        </w:numPr>
        <w:spacing w:before="100" w:beforeAutospacing="1" w:after="100" w:afterAutospacing="1" w:line="240" w:lineRule="auto"/>
        <w:rPr>
          <w:rFonts w:ascii="Times New Roman" w:eastAsia="Times New Roman" w:hAnsi="Times New Roman" w:cs="Times New Roman"/>
          <w:sz w:val="18"/>
          <w:szCs w:val="18"/>
          <w:lang w:eastAsia="en-GB"/>
        </w:rPr>
      </w:pPr>
      <w:r w:rsidRPr="00E57D00">
        <w:rPr>
          <w:rFonts w:ascii="Times New Roman" w:eastAsia="Times New Roman" w:hAnsi="Times New Roman" w:cs="Times New Roman"/>
          <w:sz w:val="18"/>
          <w:szCs w:val="18"/>
          <w:lang w:eastAsia="en-GB"/>
        </w:rPr>
        <w:t>In this Protocol—</w:t>
      </w:r>
    </w:p>
    <w:p w14:paraId="7DB044D5" w14:textId="77777777" w:rsidR="00E57D00" w:rsidRDefault="00E57D00" w:rsidP="00E57D00">
      <w:pPr>
        <w:pStyle w:val="NormalWeb"/>
        <w:ind w:left="1440"/>
        <w:rPr>
          <w:sz w:val="18"/>
          <w:szCs w:val="18"/>
        </w:rPr>
      </w:pPr>
      <w:r w:rsidRPr="00E57D00">
        <w:rPr>
          <w:sz w:val="18"/>
          <w:szCs w:val="18"/>
        </w:rPr>
        <w:t>(1) ‘admission of liability’ means the defendant admits that—</w:t>
      </w:r>
    </w:p>
    <w:p w14:paraId="0D58E105" w14:textId="11B23BE4" w:rsidR="00E57D00" w:rsidRPr="00E57D00" w:rsidRDefault="00E57D00" w:rsidP="00E57D00">
      <w:pPr>
        <w:pStyle w:val="NormalWeb"/>
        <w:ind w:left="1440"/>
        <w:rPr>
          <w:sz w:val="18"/>
          <w:szCs w:val="18"/>
        </w:rPr>
      </w:pPr>
      <w:r w:rsidRPr="00E57D00">
        <w:rPr>
          <w:sz w:val="18"/>
          <w:szCs w:val="18"/>
        </w:rPr>
        <w:t>(a) the accident occurred;</w:t>
      </w:r>
    </w:p>
    <w:p w14:paraId="25BD22A8" w14:textId="77777777" w:rsidR="00E57D00" w:rsidRPr="00E57D00" w:rsidRDefault="00E57D00" w:rsidP="00E57D00">
      <w:pPr>
        <w:pStyle w:val="NormalWeb"/>
        <w:ind w:left="1440"/>
        <w:rPr>
          <w:sz w:val="18"/>
          <w:szCs w:val="18"/>
        </w:rPr>
      </w:pPr>
      <w:r w:rsidRPr="00E57D00">
        <w:rPr>
          <w:sz w:val="18"/>
          <w:szCs w:val="18"/>
        </w:rPr>
        <w:t>(b) the accident was caused by the defendant’s breach of duty;</w:t>
      </w:r>
    </w:p>
    <w:p w14:paraId="63E75674" w14:textId="77777777" w:rsidR="00E57D00" w:rsidRPr="00E57D00" w:rsidRDefault="00E57D00" w:rsidP="00E57D00">
      <w:pPr>
        <w:pStyle w:val="NormalWeb"/>
        <w:ind w:left="1440"/>
        <w:rPr>
          <w:sz w:val="18"/>
          <w:szCs w:val="18"/>
        </w:rPr>
      </w:pPr>
      <w:r w:rsidRPr="00E57D00">
        <w:rPr>
          <w:sz w:val="18"/>
          <w:szCs w:val="18"/>
        </w:rPr>
        <w:t>(c) the defendant caused some loss to the claimant, the nature and extent of which is not admitted; and</w:t>
      </w:r>
    </w:p>
    <w:p w14:paraId="3CEC8EA9" w14:textId="77777777" w:rsidR="00E57D00" w:rsidRDefault="00E57D00" w:rsidP="00E57D00">
      <w:pPr>
        <w:pStyle w:val="NormalWeb"/>
        <w:ind w:left="1440"/>
      </w:pPr>
      <w:r w:rsidRPr="00E57D00">
        <w:rPr>
          <w:sz w:val="18"/>
          <w:szCs w:val="18"/>
        </w:rPr>
        <w:t>(d) the defendant has no accrued defence to the claim under the Limitation Act 1980;</w:t>
      </w:r>
    </w:p>
    <w:p w14:paraId="5C6067B0" w14:textId="4DAE2C0D" w:rsidR="00E57D00" w:rsidRPr="00E57D00" w:rsidRDefault="00E57D00" w:rsidP="00E57D00">
      <w:pPr>
        <w:spacing w:before="100" w:beforeAutospacing="1" w:after="100" w:afterAutospacing="1"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lastRenderedPageBreak/>
        <w:tab/>
      </w:r>
      <w:r>
        <w:rPr>
          <w:rFonts w:ascii="Times New Roman" w:eastAsia="Times New Roman" w:hAnsi="Times New Roman" w:cs="Times New Roman"/>
          <w:sz w:val="18"/>
          <w:szCs w:val="18"/>
          <w:lang w:eastAsia="en-GB"/>
        </w:rPr>
        <w:tab/>
        <w:t>…………………………………………..</w:t>
      </w:r>
    </w:p>
    <w:p w14:paraId="4CDD8E6B" w14:textId="77777777" w:rsidR="0044081B" w:rsidRPr="0044081B" w:rsidRDefault="0044081B" w:rsidP="0044081B">
      <w:pPr>
        <w:spacing w:before="100" w:beforeAutospacing="1" w:after="100" w:afterAutospacing="1" w:line="240" w:lineRule="auto"/>
        <w:ind w:left="1440"/>
        <w:rPr>
          <w:rFonts w:ascii="Times New Roman" w:eastAsia="Times New Roman" w:hAnsi="Times New Roman" w:cs="Times New Roman"/>
          <w:sz w:val="18"/>
          <w:szCs w:val="18"/>
          <w:lang w:eastAsia="en-GB"/>
        </w:rPr>
      </w:pPr>
      <w:r w:rsidRPr="0044081B">
        <w:rPr>
          <w:rFonts w:ascii="Times New Roman" w:eastAsia="Times New Roman" w:hAnsi="Times New Roman" w:cs="Times New Roman"/>
          <w:sz w:val="18"/>
          <w:szCs w:val="18"/>
          <w:lang w:eastAsia="en-GB"/>
        </w:rPr>
        <w:t>(10) ‘defendant’ means the insurer of the person who is subject to the claim under this Protocol, unless the context indicates that it means—</w:t>
      </w:r>
    </w:p>
    <w:p w14:paraId="6AAD6A2C" w14:textId="77777777" w:rsidR="0044081B" w:rsidRPr="0044081B" w:rsidRDefault="0044081B" w:rsidP="0044081B">
      <w:pPr>
        <w:spacing w:before="100" w:beforeAutospacing="1" w:after="100" w:afterAutospacing="1" w:line="240" w:lineRule="auto"/>
        <w:ind w:left="1440"/>
        <w:rPr>
          <w:rFonts w:ascii="Times New Roman" w:eastAsia="Times New Roman" w:hAnsi="Times New Roman" w:cs="Times New Roman"/>
          <w:sz w:val="18"/>
          <w:szCs w:val="18"/>
          <w:lang w:eastAsia="en-GB"/>
        </w:rPr>
      </w:pPr>
      <w:r w:rsidRPr="0044081B">
        <w:rPr>
          <w:rFonts w:ascii="Times New Roman" w:eastAsia="Times New Roman" w:hAnsi="Times New Roman" w:cs="Times New Roman"/>
          <w:sz w:val="18"/>
          <w:szCs w:val="18"/>
          <w:lang w:eastAsia="en-GB"/>
        </w:rPr>
        <w:t>(a) the person who is subject to the claim;</w:t>
      </w:r>
    </w:p>
    <w:p w14:paraId="19CF08E2" w14:textId="77777777" w:rsidR="0044081B" w:rsidRPr="0044081B" w:rsidRDefault="0044081B" w:rsidP="0044081B">
      <w:pPr>
        <w:spacing w:before="100" w:beforeAutospacing="1" w:after="100" w:afterAutospacing="1" w:line="240" w:lineRule="auto"/>
        <w:ind w:left="1440"/>
        <w:rPr>
          <w:rFonts w:ascii="Times New Roman" w:eastAsia="Times New Roman" w:hAnsi="Times New Roman" w:cs="Times New Roman"/>
          <w:sz w:val="18"/>
          <w:szCs w:val="18"/>
          <w:lang w:eastAsia="en-GB"/>
        </w:rPr>
      </w:pPr>
      <w:r w:rsidRPr="0044081B">
        <w:rPr>
          <w:rFonts w:ascii="Times New Roman" w:eastAsia="Times New Roman" w:hAnsi="Times New Roman" w:cs="Times New Roman"/>
          <w:sz w:val="18"/>
          <w:szCs w:val="18"/>
          <w:lang w:eastAsia="en-GB"/>
        </w:rPr>
        <w:t>(b) the defendant’s legal representative; </w:t>
      </w:r>
    </w:p>
    <w:p w14:paraId="369472FC" w14:textId="77777777" w:rsidR="0044081B" w:rsidRPr="0044081B" w:rsidRDefault="0044081B" w:rsidP="0044081B">
      <w:pPr>
        <w:spacing w:before="100" w:beforeAutospacing="1" w:after="100" w:afterAutospacing="1" w:line="240" w:lineRule="auto"/>
        <w:ind w:left="1440"/>
        <w:rPr>
          <w:rFonts w:ascii="Times New Roman" w:eastAsia="Times New Roman" w:hAnsi="Times New Roman" w:cs="Times New Roman"/>
          <w:sz w:val="18"/>
          <w:szCs w:val="18"/>
          <w:lang w:eastAsia="en-GB"/>
        </w:rPr>
      </w:pPr>
      <w:r w:rsidRPr="0044081B">
        <w:rPr>
          <w:rFonts w:ascii="Times New Roman" w:eastAsia="Times New Roman" w:hAnsi="Times New Roman" w:cs="Times New Roman"/>
          <w:sz w:val="18"/>
          <w:szCs w:val="18"/>
          <w:lang w:eastAsia="en-GB"/>
        </w:rPr>
        <w:t>(c) the Motor Insurers’ Bureau (‘MIB’); or</w:t>
      </w:r>
    </w:p>
    <w:p w14:paraId="780BFFD1" w14:textId="77777777" w:rsidR="0044081B" w:rsidRPr="0044081B" w:rsidRDefault="0044081B" w:rsidP="0044081B">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44081B">
        <w:rPr>
          <w:rFonts w:ascii="Times New Roman" w:eastAsia="Times New Roman" w:hAnsi="Times New Roman" w:cs="Times New Roman"/>
          <w:sz w:val="18"/>
          <w:szCs w:val="18"/>
          <w:lang w:eastAsia="en-GB"/>
        </w:rPr>
        <w:t>(d) a person falling within the exceptions in section 144 of the Road Traffic Act 1988 (a “self-insurer”);</w:t>
      </w:r>
    </w:p>
    <w:p w14:paraId="0CCA2E2C" w14:textId="77777777" w:rsidR="00E57D00" w:rsidRDefault="00E57D00"/>
    <w:p w14:paraId="6DEA2597" w14:textId="1F0699B5" w:rsidR="0044081B" w:rsidRPr="0039450E" w:rsidRDefault="0039450E">
      <w:pPr>
        <w:rPr>
          <w:rFonts w:ascii="Times New Roman" w:hAnsi="Times New Roman" w:cs="Times New Roman"/>
          <w:sz w:val="24"/>
          <w:szCs w:val="24"/>
        </w:rPr>
      </w:pPr>
      <w:r w:rsidRPr="0039450E">
        <w:rPr>
          <w:rFonts w:ascii="Times New Roman" w:hAnsi="Times New Roman" w:cs="Times New Roman"/>
          <w:sz w:val="24"/>
          <w:szCs w:val="24"/>
        </w:rPr>
        <w:t>20.</w:t>
      </w:r>
      <w:r w:rsidRPr="0039450E">
        <w:rPr>
          <w:rFonts w:ascii="Times New Roman" w:hAnsi="Times New Roman" w:cs="Times New Roman"/>
          <w:sz w:val="24"/>
          <w:szCs w:val="24"/>
        </w:rPr>
        <w:tab/>
      </w:r>
      <w:r w:rsidR="0044081B" w:rsidRPr="0039450E">
        <w:rPr>
          <w:rFonts w:ascii="Times New Roman" w:hAnsi="Times New Roman" w:cs="Times New Roman"/>
          <w:sz w:val="24"/>
          <w:szCs w:val="24"/>
        </w:rPr>
        <w:t>Also pertinent within the p</w:t>
      </w:r>
      <w:r w:rsidR="00E57D00" w:rsidRPr="0039450E">
        <w:rPr>
          <w:rFonts w:ascii="Times New Roman" w:hAnsi="Times New Roman" w:cs="Times New Roman"/>
          <w:sz w:val="24"/>
          <w:szCs w:val="24"/>
        </w:rPr>
        <w:t>rotocol</w:t>
      </w:r>
      <w:r w:rsidR="0044081B" w:rsidRPr="0039450E">
        <w:rPr>
          <w:rFonts w:ascii="Times New Roman" w:hAnsi="Times New Roman" w:cs="Times New Roman"/>
          <w:sz w:val="24"/>
          <w:szCs w:val="24"/>
        </w:rPr>
        <w:t>, and worthy of mention</w:t>
      </w:r>
      <w:r w:rsidR="00E57D00" w:rsidRPr="0039450E">
        <w:rPr>
          <w:rFonts w:ascii="Times New Roman" w:hAnsi="Times New Roman" w:cs="Times New Roman"/>
          <w:sz w:val="24"/>
          <w:szCs w:val="24"/>
        </w:rPr>
        <w:t>,</w:t>
      </w:r>
      <w:r w:rsidR="0044081B" w:rsidRPr="0039450E">
        <w:rPr>
          <w:rFonts w:ascii="Times New Roman" w:hAnsi="Times New Roman" w:cs="Times New Roman"/>
          <w:sz w:val="24"/>
          <w:szCs w:val="24"/>
        </w:rPr>
        <w:t xml:space="preserve"> is the process</w:t>
      </w:r>
      <w:r w:rsidR="00765E25" w:rsidRPr="0039450E">
        <w:rPr>
          <w:rFonts w:ascii="Times New Roman" w:hAnsi="Times New Roman" w:cs="Times New Roman"/>
          <w:sz w:val="24"/>
          <w:szCs w:val="24"/>
        </w:rPr>
        <w:t xml:space="preserve"> whereby the claim no longer continues under the protocol insofar as this is the situation which prevailed with Mr Mullen’s claim, whereas Mr Taimoree’s claim was the subject admission.</w:t>
      </w:r>
    </w:p>
    <w:p w14:paraId="6390E57E" w14:textId="77777777" w:rsidR="00765E25" w:rsidRPr="00765E25" w:rsidRDefault="00765E25" w:rsidP="00765E25">
      <w:pPr>
        <w:pStyle w:val="Heading3"/>
        <w:ind w:left="1440"/>
        <w:rPr>
          <w:sz w:val="18"/>
          <w:szCs w:val="18"/>
        </w:rPr>
      </w:pPr>
      <w:r w:rsidRPr="00765E25">
        <w:rPr>
          <w:sz w:val="18"/>
          <w:szCs w:val="18"/>
        </w:rPr>
        <w:t>Contributory negligence, liability not admitted or failure to respond</w:t>
      </w:r>
    </w:p>
    <w:p w14:paraId="48C11021" w14:textId="77777777" w:rsidR="00765E25" w:rsidRPr="00765E25" w:rsidRDefault="00765E25" w:rsidP="00765E25">
      <w:pPr>
        <w:pStyle w:val="NormalWeb"/>
        <w:ind w:left="1440"/>
        <w:rPr>
          <w:sz w:val="18"/>
          <w:szCs w:val="18"/>
        </w:rPr>
      </w:pPr>
      <w:r w:rsidRPr="00765E25">
        <w:rPr>
          <w:rStyle w:val="Strong"/>
          <w:sz w:val="18"/>
          <w:szCs w:val="18"/>
        </w:rPr>
        <w:t>6.15 </w:t>
      </w:r>
      <w:r w:rsidRPr="00765E25">
        <w:rPr>
          <w:sz w:val="18"/>
          <w:szCs w:val="18"/>
        </w:rPr>
        <w:t xml:space="preserve"> The claim will no longer continue under this Protocol where the defendant, within the period in paragraph 6.11 or 6.13—</w:t>
      </w:r>
    </w:p>
    <w:p w14:paraId="31949768" w14:textId="62CE36AC" w:rsidR="00765E25" w:rsidRPr="00765E25" w:rsidRDefault="00765E25" w:rsidP="00765E25">
      <w:pPr>
        <w:pStyle w:val="NormalWeb"/>
        <w:ind w:left="1440"/>
        <w:rPr>
          <w:sz w:val="18"/>
          <w:szCs w:val="18"/>
        </w:rPr>
      </w:pPr>
      <w:r w:rsidRPr="00765E25">
        <w:rPr>
          <w:sz w:val="18"/>
          <w:szCs w:val="18"/>
        </w:rPr>
        <w:t xml:space="preserve">(1) makes an admission of liability but alleges contributory negligence </w:t>
      </w:r>
      <w:r>
        <w:rPr>
          <w:sz w:val="18"/>
          <w:szCs w:val="18"/>
        </w:rPr>
        <w:t>……..</w:t>
      </w:r>
    </w:p>
    <w:p w14:paraId="2C814D52" w14:textId="1C145ED8" w:rsidR="00765E25" w:rsidRPr="00765E25" w:rsidRDefault="00765E25" w:rsidP="00765E25">
      <w:pPr>
        <w:pStyle w:val="NormalWeb"/>
        <w:ind w:left="1440"/>
        <w:rPr>
          <w:sz w:val="18"/>
          <w:szCs w:val="18"/>
        </w:rPr>
      </w:pPr>
      <w:r w:rsidRPr="00765E25">
        <w:rPr>
          <w:sz w:val="18"/>
          <w:szCs w:val="18"/>
        </w:rPr>
        <w:t xml:space="preserve">(2) </w:t>
      </w:r>
      <w:r w:rsidRPr="00765E25">
        <w:rPr>
          <w:sz w:val="18"/>
          <w:szCs w:val="18"/>
          <w:u w:val="single"/>
        </w:rPr>
        <w:t>does not complete and send the CNF response</w:t>
      </w:r>
      <w:r w:rsidRPr="00765E25">
        <w:rPr>
          <w:sz w:val="18"/>
          <w:szCs w:val="18"/>
        </w:rPr>
        <w:t>;</w:t>
      </w:r>
      <w:r>
        <w:rPr>
          <w:rStyle w:val="FootnoteReference"/>
          <w:sz w:val="18"/>
          <w:szCs w:val="18"/>
        </w:rPr>
        <w:footnoteReference w:id="6"/>
      </w:r>
    </w:p>
    <w:p w14:paraId="778002C6" w14:textId="77777777" w:rsidR="00765E25" w:rsidRPr="00765E25" w:rsidRDefault="00765E25" w:rsidP="00765E25">
      <w:pPr>
        <w:pStyle w:val="NormalWeb"/>
        <w:ind w:left="1440"/>
        <w:rPr>
          <w:sz w:val="18"/>
          <w:szCs w:val="18"/>
        </w:rPr>
      </w:pPr>
      <w:r w:rsidRPr="00765E25">
        <w:rPr>
          <w:sz w:val="18"/>
          <w:szCs w:val="18"/>
        </w:rPr>
        <w:t>(3) does not admit liability; or</w:t>
      </w:r>
    </w:p>
    <w:p w14:paraId="04F76AC8" w14:textId="77777777" w:rsidR="00765E25" w:rsidRPr="00765E25" w:rsidRDefault="00765E25" w:rsidP="00765E25">
      <w:pPr>
        <w:pStyle w:val="NormalWeb"/>
        <w:ind w:left="1440"/>
        <w:rPr>
          <w:sz w:val="18"/>
          <w:szCs w:val="18"/>
        </w:rPr>
      </w:pPr>
      <w:r w:rsidRPr="00765E25">
        <w:rPr>
          <w:sz w:val="18"/>
          <w:szCs w:val="18"/>
        </w:rPr>
        <w:t>(4) notifies the claimant that the defendant considers that—</w:t>
      </w:r>
    </w:p>
    <w:p w14:paraId="22C83015" w14:textId="77777777" w:rsidR="00765E25" w:rsidRPr="00765E25" w:rsidRDefault="00765E25" w:rsidP="00765E25">
      <w:pPr>
        <w:pStyle w:val="NormalWeb"/>
        <w:ind w:left="1440"/>
        <w:rPr>
          <w:sz w:val="18"/>
          <w:szCs w:val="18"/>
        </w:rPr>
      </w:pPr>
      <w:r w:rsidRPr="00765E25">
        <w:rPr>
          <w:sz w:val="18"/>
          <w:szCs w:val="18"/>
        </w:rPr>
        <w:t>(a) there is inadequate mandatory information in the CNF; or</w:t>
      </w:r>
    </w:p>
    <w:p w14:paraId="74E95CA8" w14:textId="77777777" w:rsidR="00765E25" w:rsidRDefault="00765E25" w:rsidP="00765E25">
      <w:pPr>
        <w:pStyle w:val="NormalWeb"/>
        <w:ind w:left="1440"/>
      </w:pPr>
      <w:r w:rsidRPr="00765E25">
        <w:rPr>
          <w:sz w:val="18"/>
          <w:szCs w:val="18"/>
        </w:rPr>
        <w:t>(b)  if proceedings were issued, the small claims track would be the normal track for that claim.</w:t>
      </w:r>
    </w:p>
    <w:p w14:paraId="7AA4A657" w14:textId="77777777" w:rsidR="00765E25" w:rsidRDefault="00765E25"/>
    <w:p w14:paraId="7BF2F435" w14:textId="73EE811A" w:rsidR="0044081B" w:rsidRPr="0039450E" w:rsidRDefault="0039450E">
      <w:pPr>
        <w:rPr>
          <w:rFonts w:ascii="Times New Roman" w:hAnsi="Times New Roman" w:cs="Times New Roman"/>
          <w:sz w:val="24"/>
          <w:szCs w:val="24"/>
        </w:rPr>
      </w:pPr>
      <w:r w:rsidRPr="0039450E">
        <w:rPr>
          <w:rFonts w:ascii="Times New Roman" w:hAnsi="Times New Roman" w:cs="Times New Roman"/>
          <w:sz w:val="24"/>
          <w:szCs w:val="24"/>
        </w:rPr>
        <w:t>21.</w:t>
      </w:r>
      <w:r w:rsidRPr="0039450E">
        <w:rPr>
          <w:rFonts w:ascii="Times New Roman" w:hAnsi="Times New Roman" w:cs="Times New Roman"/>
          <w:sz w:val="24"/>
          <w:szCs w:val="24"/>
        </w:rPr>
        <w:tab/>
      </w:r>
      <w:r w:rsidR="00765E25" w:rsidRPr="0039450E">
        <w:rPr>
          <w:rFonts w:ascii="Times New Roman" w:hAnsi="Times New Roman" w:cs="Times New Roman"/>
          <w:b/>
          <w:bCs/>
          <w:sz w:val="24"/>
          <w:szCs w:val="24"/>
        </w:rPr>
        <w:t>CPR 14</w:t>
      </w:r>
      <w:r w:rsidR="00765E25" w:rsidRPr="0039450E">
        <w:rPr>
          <w:rFonts w:ascii="Times New Roman" w:hAnsi="Times New Roman" w:cs="Times New Roman"/>
          <w:sz w:val="24"/>
          <w:szCs w:val="24"/>
        </w:rPr>
        <w:t xml:space="preserve"> deals with admissions, and in particular special provision has been made with an amendment to the rules in 2013 and the insertion of a specific rule relating to protocol admission (14.1B). This is the rule which enables </w:t>
      </w:r>
      <w:r w:rsidR="00E57D00" w:rsidRPr="0039450E">
        <w:rPr>
          <w:rFonts w:ascii="Times New Roman" w:hAnsi="Times New Roman" w:cs="Times New Roman"/>
          <w:sz w:val="24"/>
          <w:szCs w:val="24"/>
        </w:rPr>
        <w:t>a</w:t>
      </w:r>
      <w:r w:rsidR="00765E25" w:rsidRPr="0039450E">
        <w:rPr>
          <w:rFonts w:ascii="Times New Roman" w:hAnsi="Times New Roman" w:cs="Times New Roman"/>
          <w:sz w:val="24"/>
          <w:szCs w:val="24"/>
        </w:rPr>
        <w:t xml:space="preserve"> defendant</w:t>
      </w:r>
      <w:r w:rsidR="00E57D00" w:rsidRPr="0039450E">
        <w:rPr>
          <w:rFonts w:ascii="Times New Roman" w:hAnsi="Times New Roman" w:cs="Times New Roman"/>
          <w:sz w:val="24"/>
          <w:szCs w:val="24"/>
        </w:rPr>
        <w:t xml:space="preserve"> who</w:t>
      </w:r>
      <w:r w:rsidR="00765E25" w:rsidRPr="0039450E">
        <w:rPr>
          <w:rFonts w:ascii="Times New Roman" w:hAnsi="Times New Roman" w:cs="Times New Roman"/>
          <w:sz w:val="24"/>
          <w:szCs w:val="24"/>
        </w:rPr>
        <w:t xml:space="preserve"> was made admissions within the protocol subsequently withdraw them. It is relied upon by both counsel in support of their respective positions.</w:t>
      </w:r>
    </w:p>
    <w:p w14:paraId="7F962ED4" w14:textId="3F8F7872" w:rsidR="00765E25" w:rsidRDefault="00765E25"/>
    <w:p w14:paraId="1B62E7FA" w14:textId="77777777" w:rsidR="00765E25" w:rsidRPr="00765E25" w:rsidRDefault="00765E25" w:rsidP="00765E25">
      <w:pPr>
        <w:pStyle w:val="Heading3"/>
        <w:ind w:left="1440"/>
        <w:rPr>
          <w:sz w:val="18"/>
          <w:szCs w:val="18"/>
        </w:rPr>
      </w:pPr>
      <w:r w:rsidRPr="00765E25">
        <w:rPr>
          <w:sz w:val="18"/>
          <w:szCs w:val="18"/>
        </w:rPr>
        <w:t>Admissions made under the RTA Protocol or the EL/PL Protocol</w:t>
      </w:r>
    </w:p>
    <w:p w14:paraId="3C6A2388" w14:textId="77777777" w:rsidR="00765E25" w:rsidRPr="00765E25" w:rsidRDefault="00765E25" w:rsidP="00765E25">
      <w:pPr>
        <w:pStyle w:val="NormalWeb"/>
        <w:ind w:left="1440"/>
        <w:rPr>
          <w:sz w:val="18"/>
          <w:szCs w:val="18"/>
        </w:rPr>
      </w:pPr>
      <w:r w:rsidRPr="00765E25">
        <w:rPr>
          <w:rStyle w:val="Strong"/>
          <w:sz w:val="18"/>
          <w:szCs w:val="18"/>
        </w:rPr>
        <w:t>14.1B</w:t>
      </w:r>
    </w:p>
    <w:p w14:paraId="4EE1FDB5" w14:textId="77777777" w:rsidR="00765E25" w:rsidRPr="00765E25" w:rsidRDefault="00765E25" w:rsidP="00765E25">
      <w:pPr>
        <w:pStyle w:val="NormalWeb"/>
        <w:ind w:left="1440"/>
        <w:rPr>
          <w:sz w:val="18"/>
          <w:szCs w:val="18"/>
        </w:rPr>
      </w:pPr>
      <w:r w:rsidRPr="00765E25">
        <w:rPr>
          <w:sz w:val="18"/>
          <w:szCs w:val="18"/>
        </w:rPr>
        <w:t xml:space="preserve">(1) This rule applies to a pre-action admission made in a case to which the Pre-Action Protocol for Low Value Personal Injury Claims in Road Traffic Accidents (‘the RTA Protocol’) or the Pre-action Protocol </w:t>
      </w:r>
      <w:r w:rsidRPr="00765E25">
        <w:rPr>
          <w:sz w:val="18"/>
          <w:szCs w:val="18"/>
        </w:rPr>
        <w:lastRenderedPageBreak/>
        <w:t>for Low Value Personal Injury (Employers’ Liability and Public Liability) Claims (‘the EL/PL Protocol’) applies.</w:t>
      </w:r>
    </w:p>
    <w:p w14:paraId="4ECEF8C5" w14:textId="77777777" w:rsidR="00765E25" w:rsidRPr="00765E25" w:rsidRDefault="00765E25" w:rsidP="00765E25">
      <w:pPr>
        <w:pStyle w:val="NormalWeb"/>
        <w:ind w:left="1440"/>
        <w:rPr>
          <w:sz w:val="18"/>
          <w:szCs w:val="18"/>
        </w:rPr>
      </w:pPr>
      <w:r w:rsidRPr="00765E25">
        <w:rPr>
          <w:sz w:val="18"/>
          <w:szCs w:val="18"/>
        </w:rPr>
        <w:t>(2) The defendant may, by giving notice in writing withdraw an admission of causation –</w:t>
      </w:r>
    </w:p>
    <w:p w14:paraId="752A8C9B" w14:textId="77777777" w:rsidR="00765E25" w:rsidRPr="00765E25" w:rsidRDefault="00765E25" w:rsidP="00765E25">
      <w:pPr>
        <w:pStyle w:val="NormalWeb"/>
        <w:ind w:left="1440"/>
        <w:rPr>
          <w:sz w:val="18"/>
          <w:szCs w:val="18"/>
        </w:rPr>
      </w:pPr>
      <w:r w:rsidRPr="00765E25">
        <w:rPr>
          <w:sz w:val="18"/>
          <w:szCs w:val="18"/>
        </w:rPr>
        <w:t>(a) before commencement of proceedings –</w:t>
      </w:r>
    </w:p>
    <w:p w14:paraId="7C611DDA" w14:textId="77777777" w:rsidR="00765E25" w:rsidRPr="00765E25" w:rsidRDefault="00765E25" w:rsidP="00765E25">
      <w:pPr>
        <w:pStyle w:val="NormalWeb"/>
        <w:ind w:left="1440"/>
        <w:rPr>
          <w:sz w:val="18"/>
          <w:szCs w:val="18"/>
        </w:rPr>
      </w:pPr>
      <w:r w:rsidRPr="00765E25">
        <w:rPr>
          <w:sz w:val="18"/>
          <w:szCs w:val="18"/>
        </w:rPr>
        <w:t>(</w:t>
      </w:r>
      <w:proofErr w:type="spellStart"/>
      <w:r w:rsidRPr="00765E25">
        <w:rPr>
          <w:sz w:val="18"/>
          <w:szCs w:val="18"/>
        </w:rPr>
        <w:t>i</w:t>
      </w:r>
      <w:proofErr w:type="spellEnd"/>
      <w:r w:rsidRPr="00765E25">
        <w:rPr>
          <w:sz w:val="18"/>
          <w:szCs w:val="18"/>
        </w:rPr>
        <w:t>) during the initial consideration period (or any extension to that period) as defined in the relevant Protocol; or</w:t>
      </w:r>
    </w:p>
    <w:p w14:paraId="34C324AA" w14:textId="77777777" w:rsidR="00765E25" w:rsidRPr="00765E25" w:rsidRDefault="00765E25" w:rsidP="00765E25">
      <w:pPr>
        <w:pStyle w:val="NormalWeb"/>
        <w:ind w:left="1440"/>
        <w:rPr>
          <w:sz w:val="18"/>
          <w:szCs w:val="18"/>
        </w:rPr>
      </w:pPr>
      <w:r w:rsidRPr="00765E25">
        <w:rPr>
          <w:sz w:val="18"/>
          <w:szCs w:val="18"/>
        </w:rPr>
        <w:t>(ii) at any time if the person to whom the admission was made agrees; or</w:t>
      </w:r>
    </w:p>
    <w:p w14:paraId="3D6259F6" w14:textId="77777777" w:rsidR="00765E25" w:rsidRPr="00765E25" w:rsidRDefault="00765E25" w:rsidP="00765E25">
      <w:pPr>
        <w:pStyle w:val="NormalWeb"/>
        <w:ind w:left="1440"/>
        <w:rPr>
          <w:sz w:val="18"/>
          <w:szCs w:val="18"/>
        </w:rPr>
      </w:pPr>
      <w:r w:rsidRPr="00765E25">
        <w:rPr>
          <w:sz w:val="18"/>
          <w:szCs w:val="18"/>
        </w:rPr>
        <w:t>(b) after commencement of proceedings –</w:t>
      </w:r>
    </w:p>
    <w:p w14:paraId="012201CC" w14:textId="77777777" w:rsidR="00765E25" w:rsidRPr="00765E25" w:rsidRDefault="00765E25" w:rsidP="00765E25">
      <w:pPr>
        <w:pStyle w:val="NormalWeb"/>
        <w:ind w:left="1440"/>
        <w:rPr>
          <w:sz w:val="18"/>
          <w:szCs w:val="18"/>
        </w:rPr>
      </w:pPr>
      <w:r w:rsidRPr="00765E25">
        <w:rPr>
          <w:sz w:val="18"/>
          <w:szCs w:val="18"/>
        </w:rPr>
        <w:t>(</w:t>
      </w:r>
      <w:proofErr w:type="spellStart"/>
      <w:r w:rsidRPr="00765E25">
        <w:rPr>
          <w:sz w:val="18"/>
          <w:szCs w:val="18"/>
        </w:rPr>
        <w:t>i</w:t>
      </w:r>
      <w:proofErr w:type="spellEnd"/>
      <w:r w:rsidRPr="00765E25">
        <w:rPr>
          <w:sz w:val="18"/>
          <w:szCs w:val="18"/>
        </w:rPr>
        <w:t>) if all the parties to the proceedings consent; or</w:t>
      </w:r>
    </w:p>
    <w:p w14:paraId="10AB90E8" w14:textId="77777777" w:rsidR="00765E25" w:rsidRPr="00765E25" w:rsidRDefault="00765E25" w:rsidP="00765E25">
      <w:pPr>
        <w:pStyle w:val="NormalWeb"/>
        <w:ind w:left="1440"/>
        <w:rPr>
          <w:sz w:val="18"/>
          <w:szCs w:val="18"/>
        </w:rPr>
      </w:pPr>
      <w:r w:rsidRPr="00765E25">
        <w:rPr>
          <w:sz w:val="18"/>
          <w:szCs w:val="18"/>
        </w:rPr>
        <w:t>(ii) with the permission of the court.</w:t>
      </w:r>
    </w:p>
    <w:p w14:paraId="20E2C4B0" w14:textId="77777777" w:rsidR="00765E25" w:rsidRPr="00765E25" w:rsidRDefault="00765E25" w:rsidP="00765E25">
      <w:pPr>
        <w:pStyle w:val="NormalWeb"/>
        <w:ind w:left="1440"/>
        <w:rPr>
          <w:sz w:val="18"/>
          <w:szCs w:val="18"/>
        </w:rPr>
      </w:pPr>
      <w:r w:rsidRPr="00765E25">
        <w:rPr>
          <w:sz w:val="18"/>
          <w:szCs w:val="18"/>
        </w:rPr>
        <w:t>(3) The defendant may, by giving notice in writing withdraw any other pre-action admission after commencement of proceedings –</w:t>
      </w:r>
    </w:p>
    <w:p w14:paraId="36A05FF4" w14:textId="77777777" w:rsidR="00765E25" w:rsidRPr="00765E25" w:rsidRDefault="00765E25" w:rsidP="00765E25">
      <w:pPr>
        <w:pStyle w:val="NormalWeb"/>
        <w:ind w:left="1440"/>
        <w:rPr>
          <w:sz w:val="18"/>
          <w:szCs w:val="18"/>
        </w:rPr>
      </w:pPr>
      <w:r w:rsidRPr="00765E25">
        <w:rPr>
          <w:sz w:val="18"/>
          <w:szCs w:val="18"/>
        </w:rPr>
        <w:t>(a) if all the parties to the proceedings consent; or</w:t>
      </w:r>
    </w:p>
    <w:p w14:paraId="418DE4D3" w14:textId="77777777" w:rsidR="00765E25" w:rsidRPr="00765E25" w:rsidRDefault="00765E25" w:rsidP="00765E25">
      <w:pPr>
        <w:pStyle w:val="NormalWeb"/>
        <w:ind w:left="1440"/>
        <w:rPr>
          <w:sz w:val="18"/>
          <w:szCs w:val="18"/>
        </w:rPr>
      </w:pPr>
      <w:r w:rsidRPr="00765E25">
        <w:rPr>
          <w:sz w:val="18"/>
          <w:szCs w:val="18"/>
        </w:rPr>
        <w:t>(b) with the permission of the court.</w:t>
      </w:r>
    </w:p>
    <w:p w14:paraId="7B905840" w14:textId="77777777" w:rsidR="00765E25" w:rsidRDefault="00765E25" w:rsidP="00765E25">
      <w:pPr>
        <w:pStyle w:val="NormalWeb"/>
        <w:ind w:left="1440"/>
      </w:pPr>
      <w:r w:rsidRPr="00765E25">
        <w:rPr>
          <w:sz w:val="18"/>
          <w:szCs w:val="18"/>
        </w:rPr>
        <w:t>(4) An application under rule 14.1B(2)(b)(ii) or (3)(b) to withdraw a pre-action admission must be made in accordance with Part 23.</w:t>
      </w:r>
    </w:p>
    <w:p w14:paraId="3EFDEBE4" w14:textId="77777777" w:rsidR="0039450E" w:rsidRDefault="0039450E">
      <w:pPr>
        <w:rPr>
          <w:rFonts w:ascii="Times New Roman" w:hAnsi="Times New Roman" w:cs="Times New Roman"/>
          <w:sz w:val="24"/>
          <w:szCs w:val="24"/>
        </w:rPr>
      </w:pPr>
    </w:p>
    <w:p w14:paraId="7E0C89F2" w14:textId="40A96E6C" w:rsidR="00765E25" w:rsidRPr="0039450E" w:rsidRDefault="0039450E">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765E25" w:rsidRPr="0039450E">
        <w:rPr>
          <w:rFonts w:ascii="Times New Roman" w:hAnsi="Times New Roman" w:cs="Times New Roman"/>
          <w:sz w:val="24"/>
          <w:szCs w:val="24"/>
        </w:rPr>
        <w:t>Although CPR 3.4 is a provision well</w:t>
      </w:r>
      <w:r w:rsidR="00E57D00" w:rsidRPr="0039450E">
        <w:rPr>
          <w:rFonts w:ascii="Times New Roman" w:hAnsi="Times New Roman" w:cs="Times New Roman"/>
          <w:sz w:val="24"/>
          <w:szCs w:val="24"/>
        </w:rPr>
        <w:t xml:space="preserve"> </w:t>
      </w:r>
      <w:r w:rsidR="00765E25" w:rsidRPr="0039450E">
        <w:rPr>
          <w:rFonts w:ascii="Times New Roman" w:hAnsi="Times New Roman" w:cs="Times New Roman"/>
          <w:sz w:val="24"/>
          <w:szCs w:val="24"/>
        </w:rPr>
        <w:t>known to the court and the parties, it is helpful to set out the salient parts:</w:t>
      </w:r>
    </w:p>
    <w:p w14:paraId="3855F5C8" w14:textId="77777777" w:rsidR="0039450E" w:rsidRDefault="0039450E" w:rsidP="00765E25">
      <w:pPr>
        <w:pStyle w:val="Heading3"/>
        <w:ind w:left="1440"/>
        <w:rPr>
          <w:sz w:val="18"/>
          <w:szCs w:val="18"/>
        </w:rPr>
      </w:pPr>
    </w:p>
    <w:p w14:paraId="02F55F46" w14:textId="2E4F6EAF" w:rsidR="00765E25" w:rsidRPr="00765E25" w:rsidRDefault="00765E25" w:rsidP="00765E25">
      <w:pPr>
        <w:pStyle w:val="Heading3"/>
        <w:ind w:left="1440"/>
        <w:rPr>
          <w:sz w:val="18"/>
          <w:szCs w:val="18"/>
        </w:rPr>
      </w:pPr>
      <w:r w:rsidRPr="00765E25">
        <w:rPr>
          <w:sz w:val="18"/>
          <w:szCs w:val="18"/>
        </w:rPr>
        <w:t>Power to strike out a statement of case</w:t>
      </w:r>
    </w:p>
    <w:p w14:paraId="1A54B901" w14:textId="77777777" w:rsidR="00765E25" w:rsidRPr="00765E25" w:rsidRDefault="00765E25" w:rsidP="00765E25">
      <w:pPr>
        <w:pStyle w:val="NormalWeb"/>
        <w:ind w:left="1440"/>
        <w:rPr>
          <w:sz w:val="18"/>
          <w:szCs w:val="18"/>
        </w:rPr>
      </w:pPr>
      <w:r w:rsidRPr="00765E25">
        <w:rPr>
          <w:rStyle w:val="Strong"/>
          <w:sz w:val="18"/>
          <w:szCs w:val="18"/>
        </w:rPr>
        <w:t>3.4</w:t>
      </w:r>
    </w:p>
    <w:p w14:paraId="3F4A1429" w14:textId="77777777" w:rsidR="00765E25" w:rsidRPr="00765E25" w:rsidRDefault="00765E25" w:rsidP="00765E25">
      <w:pPr>
        <w:pStyle w:val="NormalWeb"/>
        <w:ind w:left="1440"/>
        <w:rPr>
          <w:sz w:val="18"/>
          <w:szCs w:val="18"/>
        </w:rPr>
      </w:pPr>
      <w:r w:rsidRPr="00765E25">
        <w:rPr>
          <w:sz w:val="18"/>
          <w:szCs w:val="18"/>
        </w:rPr>
        <w:t>(1) In this rule and rule 3.5, reference to a statement of case includes reference to part of a statement of case.</w:t>
      </w:r>
    </w:p>
    <w:p w14:paraId="17F44D9A" w14:textId="1584C648" w:rsidR="00765E25" w:rsidRPr="00765E25" w:rsidRDefault="00765E25" w:rsidP="00765E25">
      <w:pPr>
        <w:pStyle w:val="NormalWeb"/>
        <w:ind w:left="1440"/>
        <w:rPr>
          <w:sz w:val="18"/>
          <w:szCs w:val="18"/>
        </w:rPr>
      </w:pPr>
      <w:r w:rsidRPr="00765E25">
        <w:rPr>
          <w:sz w:val="18"/>
          <w:szCs w:val="18"/>
        </w:rPr>
        <w:t>(2) The court may strike out a statement of case if it appears to the court –</w:t>
      </w:r>
    </w:p>
    <w:p w14:paraId="1251C538" w14:textId="77777777" w:rsidR="00765E25" w:rsidRPr="00765E25" w:rsidRDefault="00765E25" w:rsidP="00765E25">
      <w:pPr>
        <w:pStyle w:val="NormalWeb"/>
        <w:ind w:left="1440"/>
        <w:rPr>
          <w:sz w:val="18"/>
          <w:szCs w:val="18"/>
        </w:rPr>
      </w:pPr>
      <w:r w:rsidRPr="00765E25">
        <w:rPr>
          <w:sz w:val="18"/>
          <w:szCs w:val="18"/>
        </w:rPr>
        <w:t>(a) that the statement of case discloses no reasonable grounds for bringing or defending the claim;</w:t>
      </w:r>
    </w:p>
    <w:p w14:paraId="6607B8A1" w14:textId="77777777" w:rsidR="00765E25" w:rsidRPr="00765E25" w:rsidRDefault="00765E25" w:rsidP="00765E25">
      <w:pPr>
        <w:pStyle w:val="NormalWeb"/>
        <w:ind w:left="1440"/>
        <w:rPr>
          <w:sz w:val="18"/>
          <w:szCs w:val="18"/>
        </w:rPr>
      </w:pPr>
      <w:r w:rsidRPr="00765E25">
        <w:rPr>
          <w:sz w:val="18"/>
          <w:szCs w:val="18"/>
        </w:rPr>
        <w:t>(b) that the statement of case is an abuse of the court’s process or is otherwise likely to obstruct the just disposal of the proceedings; or</w:t>
      </w:r>
    </w:p>
    <w:p w14:paraId="5142D6AC" w14:textId="77777777" w:rsidR="00765E25" w:rsidRPr="00765E25" w:rsidRDefault="00765E25" w:rsidP="00765E25">
      <w:pPr>
        <w:pStyle w:val="NormalWeb"/>
        <w:ind w:left="1440"/>
        <w:rPr>
          <w:sz w:val="18"/>
          <w:szCs w:val="18"/>
        </w:rPr>
      </w:pPr>
      <w:r w:rsidRPr="00765E25">
        <w:rPr>
          <w:sz w:val="18"/>
          <w:szCs w:val="18"/>
        </w:rPr>
        <w:t>(c) that there has been a failure to comply with a rule, practice direction or court order.</w:t>
      </w:r>
    </w:p>
    <w:p w14:paraId="52A75667" w14:textId="78AA895A" w:rsidR="00826D67" w:rsidRDefault="00826D67"/>
    <w:p w14:paraId="01AE5D01" w14:textId="78B57697" w:rsidR="00765E25" w:rsidRPr="0039450E" w:rsidRDefault="0039450E">
      <w:pPr>
        <w:rPr>
          <w:rFonts w:ascii="Times New Roman" w:hAnsi="Times New Roman" w:cs="Times New Roman"/>
          <w:sz w:val="24"/>
          <w:szCs w:val="24"/>
        </w:rPr>
      </w:pPr>
      <w:r w:rsidRPr="0039450E">
        <w:rPr>
          <w:rFonts w:ascii="Times New Roman" w:hAnsi="Times New Roman" w:cs="Times New Roman"/>
          <w:sz w:val="24"/>
          <w:szCs w:val="24"/>
        </w:rPr>
        <w:t>23.</w:t>
      </w:r>
      <w:r w:rsidRPr="0039450E">
        <w:rPr>
          <w:rFonts w:ascii="Times New Roman" w:hAnsi="Times New Roman" w:cs="Times New Roman"/>
          <w:sz w:val="24"/>
          <w:szCs w:val="24"/>
        </w:rPr>
        <w:tab/>
      </w:r>
      <w:r w:rsidR="00765E25" w:rsidRPr="0039450E">
        <w:rPr>
          <w:rFonts w:ascii="Times New Roman" w:hAnsi="Times New Roman" w:cs="Times New Roman"/>
          <w:sz w:val="24"/>
          <w:szCs w:val="24"/>
        </w:rPr>
        <w:t>Finally, in terms of</w:t>
      </w:r>
      <w:r w:rsidR="001350B9" w:rsidRPr="0039450E">
        <w:rPr>
          <w:rFonts w:ascii="Times New Roman" w:hAnsi="Times New Roman" w:cs="Times New Roman"/>
          <w:sz w:val="24"/>
          <w:szCs w:val="24"/>
        </w:rPr>
        <w:t xml:space="preserve"> the rules and the protocols, reference should be made to CPR 44.15 which is relevant to cross appeal and the disapplication of QOCs.</w:t>
      </w:r>
    </w:p>
    <w:p w14:paraId="525AD3BF" w14:textId="77777777" w:rsidR="0039450E" w:rsidRDefault="0039450E" w:rsidP="001350B9">
      <w:pPr>
        <w:pStyle w:val="Heading3"/>
        <w:ind w:left="720" w:firstLine="720"/>
        <w:rPr>
          <w:sz w:val="18"/>
          <w:szCs w:val="18"/>
        </w:rPr>
      </w:pPr>
    </w:p>
    <w:p w14:paraId="38DD2246" w14:textId="54C2DB10" w:rsidR="001350B9" w:rsidRPr="001350B9" w:rsidRDefault="001350B9" w:rsidP="001350B9">
      <w:pPr>
        <w:pStyle w:val="Heading3"/>
        <w:ind w:left="720" w:firstLine="720"/>
        <w:rPr>
          <w:sz w:val="18"/>
          <w:szCs w:val="18"/>
        </w:rPr>
      </w:pPr>
      <w:r w:rsidRPr="001350B9">
        <w:rPr>
          <w:sz w:val="18"/>
          <w:szCs w:val="18"/>
        </w:rPr>
        <w:lastRenderedPageBreak/>
        <w:t>Exceptions to qualified one-way costs shifting where permission not required</w:t>
      </w:r>
    </w:p>
    <w:p w14:paraId="1678A189" w14:textId="77777777" w:rsidR="001350B9" w:rsidRPr="001350B9" w:rsidRDefault="001350B9" w:rsidP="001350B9">
      <w:pPr>
        <w:pStyle w:val="NormalWeb"/>
        <w:ind w:left="1440"/>
        <w:rPr>
          <w:sz w:val="18"/>
          <w:szCs w:val="18"/>
        </w:rPr>
      </w:pPr>
      <w:r w:rsidRPr="001350B9">
        <w:rPr>
          <w:rStyle w:val="Strong"/>
          <w:sz w:val="18"/>
          <w:szCs w:val="18"/>
        </w:rPr>
        <w:t>44.15 </w:t>
      </w:r>
      <w:r w:rsidRPr="001350B9">
        <w:rPr>
          <w:sz w:val="18"/>
          <w:szCs w:val="18"/>
        </w:rPr>
        <w:t xml:space="preserve"> Orders for costs made against the claimant may be enforced to the full extent of such orders without the permission of the court where the proceedings have been struck out on the grounds that –</w:t>
      </w:r>
    </w:p>
    <w:p w14:paraId="2CD9D0E6" w14:textId="77777777" w:rsidR="001350B9" w:rsidRPr="001350B9" w:rsidRDefault="001350B9" w:rsidP="001350B9">
      <w:pPr>
        <w:pStyle w:val="NormalWeb"/>
        <w:ind w:left="1440"/>
        <w:rPr>
          <w:sz w:val="18"/>
          <w:szCs w:val="18"/>
        </w:rPr>
      </w:pPr>
      <w:r w:rsidRPr="001350B9">
        <w:rPr>
          <w:sz w:val="18"/>
          <w:szCs w:val="18"/>
        </w:rPr>
        <w:t>(a) the claimant has disclosed no reasonable grounds for bringing the proceedings;</w:t>
      </w:r>
    </w:p>
    <w:p w14:paraId="3B2FD003" w14:textId="77777777" w:rsidR="001350B9" w:rsidRPr="001350B9" w:rsidRDefault="001350B9" w:rsidP="001350B9">
      <w:pPr>
        <w:pStyle w:val="NormalWeb"/>
        <w:ind w:left="1440"/>
        <w:rPr>
          <w:sz w:val="18"/>
          <w:szCs w:val="18"/>
        </w:rPr>
      </w:pPr>
      <w:r w:rsidRPr="001350B9">
        <w:rPr>
          <w:sz w:val="18"/>
          <w:szCs w:val="18"/>
        </w:rPr>
        <w:t>(b) the proceedings are an abuse of the court’s process; or</w:t>
      </w:r>
    </w:p>
    <w:p w14:paraId="344BCF5E" w14:textId="4779A86E" w:rsidR="001350B9" w:rsidRPr="001350B9" w:rsidRDefault="001350B9" w:rsidP="001350B9">
      <w:pPr>
        <w:pStyle w:val="NormalWeb"/>
        <w:ind w:left="1440"/>
        <w:rPr>
          <w:sz w:val="18"/>
          <w:szCs w:val="18"/>
        </w:rPr>
      </w:pPr>
      <w:r w:rsidRPr="001350B9">
        <w:rPr>
          <w:sz w:val="18"/>
          <w:szCs w:val="18"/>
        </w:rPr>
        <w:t xml:space="preserve">(c) </w:t>
      </w:r>
      <w:r>
        <w:rPr>
          <w:sz w:val="18"/>
          <w:szCs w:val="18"/>
        </w:rPr>
        <w:t>………………….</w:t>
      </w:r>
    </w:p>
    <w:p w14:paraId="1B3E6A8C" w14:textId="77777777" w:rsidR="001350B9" w:rsidRDefault="001350B9"/>
    <w:p w14:paraId="61E3A9B6" w14:textId="76302E69" w:rsidR="00203C90" w:rsidRPr="0039450E" w:rsidRDefault="0039450E">
      <w:pPr>
        <w:rPr>
          <w:rFonts w:ascii="Times New Roman" w:hAnsi="Times New Roman" w:cs="Times New Roman"/>
          <w:sz w:val="24"/>
          <w:szCs w:val="24"/>
        </w:rPr>
      </w:pPr>
      <w:r w:rsidRPr="0039450E">
        <w:rPr>
          <w:rFonts w:ascii="Times New Roman" w:hAnsi="Times New Roman" w:cs="Times New Roman"/>
          <w:sz w:val="24"/>
          <w:szCs w:val="24"/>
        </w:rPr>
        <w:t>24.</w:t>
      </w:r>
      <w:r w:rsidRPr="0039450E">
        <w:rPr>
          <w:rFonts w:ascii="Times New Roman" w:hAnsi="Times New Roman" w:cs="Times New Roman"/>
          <w:sz w:val="24"/>
          <w:szCs w:val="24"/>
        </w:rPr>
        <w:tab/>
      </w:r>
      <w:r w:rsidR="00203C90" w:rsidRPr="0039450E">
        <w:rPr>
          <w:rFonts w:ascii="Times New Roman" w:hAnsi="Times New Roman" w:cs="Times New Roman"/>
          <w:sz w:val="24"/>
          <w:szCs w:val="24"/>
        </w:rPr>
        <w:t xml:space="preserve">I have mentioned above other first instance decisions. I indicated to counsel that I would not be seeking to make comparisons or delve deeply into the processes involved in those cases, but it is worth mentioning each case and summarising the issues which the court dealt with. No first instance decision, particularly </w:t>
      </w:r>
      <w:r w:rsidR="00E57D00" w:rsidRPr="0039450E">
        <w:rPr>
          <w:rFonts w:ascii="Times New Roman" w:hAnsi="Times New Roman" w:cs="Times New Roman"/>
          <w:sz w:val="24"/>
          <w:szCs w:val="24"/>
        </w:rPr>
        <w:t xml:space="preserve">at </w:t>
      </w:r>
      <w:r w:rsidR="00203C90" w:rsidRPr="0039450E">
        <w:rPr>
          <w:rFonts w:ascii="Times New Roman" w:hAnsi="Times New Roman" w:cs="Times New Roman"/>
          <w:sz w:val="24"/>
          <w:szCs w:val="24"/>
        </w:rPr>
        <w:t xml:space="preserve">district judge level, is binding on me, although I agree that I am enjoined </w:t>
      </w:r>
      <w:r w:rsidR="00E57D00" w:rsidRPr="0039450E">
        <w:rPr>
          <w:rFonts w:ascii="Times New Roman" w:hAnsi="Times New Roman" w:cs="Times New Roman"/>
          <w:sz w:val="24"/>
          <w:szCs w:val="24"/>
        </w:rPr>
        <w:t xml:space="preserve">by </w:t>
      </w:r>
      <w:r w:rsidR="00203C90" w:rsidRPr="0039450E">
        <w:rPr>
          <w:rFonts w:ascii="Times New Roman" w:hAnsi="Times New Roman" w:cs="Times New Roman"/>
          <w:sz w:val="24"/>
          <w:szCs w:val="24"/>
        </w:rPr>
        <w:t>appellate authority to take into account decisions of circuit judges</w:t>
      </w:r>
      <w:r w:rsidR="00842CC8">
        <w:rPr>
          <w:rFonts w:ascii="Times New Roman" w:hAnsi="Times New Roman" w:cs="Times New Roman"/>
          <w:sz w:val="24"/>
          <w:szCs w:val="24"/>
        </w:rPr>
        <w:t xml:space="preserve"> </w:t>
      </w:r>
      <w:r w:rsidR="00203C90" w:rsidRPr="0039450E">
        <w:rPr>
          <w:rFonts w:ascii="Times New Roman" w:hAnsi="Times New Roman" w:cs="Times New Roman"/>
          <w:sz w:val="24"/>
          <w:szCs w:val="24"/>
        </w:rPr>
        <w:t xml:space="preserve">which have </w:t>
      </w:r>
      <w:r w:rsidR="00E57D00" w:rsidRPr="0039450E">
        <w:rPr>
          <w:rFonts w:ascii="Times New Roman" w:hAnsi="Times New Roman" w:cs="Times New Roman"/>
          <w:sz w:val="24"/>
          <w:szCs w:val="24"/>
        </w:rPr>
        <w:t>dealt</w:t>
      </w:r>
      <w:r w:rsidR="00203C90" w:rsidRPr="0039450E">
        <w:rPr>
          <w:rFonts w:ascii="Times New Roman" w:hAnsi="Times New Roman" w:cs="Times New Roman"/>
          <w:sz w:val="24"/>
          <w:szCs w:val="24"/>
        </w:rPr>
        <w:t xml:space="preserve"> with the same points</w:t>
      </w:r>
      <w:r w:rsidR="00E57D00" w:rsidRPr="0039450E">
        <w:rPr>
          <w:rFonts w:ascii="Times New Roman" w:hAnsi="Times New Roman" w:cs="Times New Roman"/>
          <w:sz w:val="24"/>
          <w:szCs w:val="24"/>
        </w:rPr>
        <w:t>,</w:t>
      </w:r>
      <w:r w:rsidR="00203C90" w:rsidRPr="0039450E">
        <w:rPr>
          <w:rFonts w:ascii="Times New Roman" w:hAnsi="Times New Roman" w:cs="Times New Roman"/>
          <w:sz w:val="24"/>
          <w:szCs w:val="24"/>
        </w:rPr>
        <w:t xml:space="preserve"> as persuasive</w:t>
      </w:r>
      <w:r w:rsidR="00842CC8">
        <w:rPr>
          <w:rFonts w:ascii="Times New Roman" w:hAnsi="Times New Roman" w:cs="Times New Roman"/>
          <w:sz w:val="24"/>
          <w:szCs w:val="24"/>
        </w:rPr>
        <w:t>,</w:t>
      </w:r>
      <w:r w:rsidR="00203C90" w:rsidRPr="0039450E">
        <w:rPr>
          <w:rFonts w:ascii="Times New Roman" w:hAnsi="Times New Roman" w:cs="Times New Roman"/>
          <w:sz w:val="24"/>
          <w:szCs w:val="24"/>
        </w:rPr>
        <w:t xml:space="preserve"> and to depart from such decisions only where there is good reason. Understandably this avoids significant discrepancy at first instance level.</w:t>
      </w:r>
      <w:r w:rsidR="009051AD" w:rsidRPr="0039450E">
        <w:rPr>
          <w:rFonts w:ascii="Times New Roman" w:hAnsi="Times New Roman" w:cs="Times New Roman"/>
          <w:sz w:val="24"/>
          <w:szCs w:val="24"/>
        </w:rPr>
        <w:t xml:space="preserve"> All these cases involved very similar situations </w:t>
      </w:r>
      <w:r w:rsidR="00E57D00" w:rsidRPr="0039450E">
        <w:rPr>
          <w:rFonts w:ascii="Times New Roman" w:hAnsi="Times New Roman" w:cs="Times New Roman"/>
          <w:sz w:val="24"/>
          <w:szCs w:val="24"/>
        </w:rPr>
        <w:t xml:space="preserve">to </w:t>
      </w:r>
      <w:r w:rsidR="009051AD" w:rsidRPr="0039450E">
        <w:rPr>
          <w:rFonts w:ascii="Times New Roman" w:hAnsi="Times New Roman" w:cs="Times New Roman"/>
          <w:sz w:val="24"/>
          <w:szCs w:val="24"/>
        </w:rPr>
        <w:t>that which has arisen in the present appeal.</w:t>
      </w:r>
    </w:p>
    <w:p w14:paraId="6D388ACD" w14:textId="2D31D62E" w:rsidR="00203C90" w:rsidRDefault="00203C90"/>
    <w:p w14:paraId="6BF2785A" w14:textId="5FBB2D1D" w:rsidR="00203C90" w:rsidRPr="0039450E" w:rsidRDefault="0039450E">
      <w:pP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203C90" w:rsidRPr="0039450E">
        <w:rPr>
          <w:rFonts w:ascii="Times New Roman" w:hAnsi="Times New Roman" w:cs="Times New Roman"/>
          <w:sz w:val="24"/>
          <w:szCs w:val="24"/>
        </w:rPr>
        <w:t xml:space="preserve">In </w:t>
      </w:r>
      <w:r w:rsidR="00203C90" w:rsidRPr="0039450E">
        <w:rPr>
          <w:rFonts w:ascii="Times New Roman" w:hAnsi="Times New Roman" w:cs="Times New Roman"/>
          <w:b/>
          <w:bCs/>
          <w:sz w:val="24"/>
          <w:szCs w:val="24"/>
        </w:rPr>
        <w:t>Ullah v Jon</w:t>
      </w:r>
      <w:r w:rsidR="0043739F">
        <w:rPr>
          <w:rFonts w:ascii="Times New Roman" w:hAnsi="Times New Roman" w:cs="Times New Roman"/>
          <w:b/>
          <w:bCs/>
          <w:sz w:val="24"/>
          <w:szCs w:val="24"/>
        </w:rPr>
        <w:t xml:space="preserve"> (</w:t>
      </w:r>
      <w:r w:rsidR="0043739F" w:rsidRPr="0043739F">
        <w:rPr>
          <w:rFonts w:ascii="Times New Roman" w:hAnsi="Times New Roman" w:cs="Times New Roman"/>
          <w:b/>
          <w:bCs/>
          <w:i/>
          <w:iCs/>
          <w:sz w:val="24"/>
          <w:szCs w:val="24"/>
        </w:rPr>
        <w:t>Croydon CC 20.3.13</w:t>
      </w:r>
      <w:r w:rsidR="0043739F">
        <w:rPr>
          <w:rFonts w:ascii="Times New Roman" w:hAnsi="Times New Roman" w:cs="Times New Roman"/>
          <w:b/>
          <w:bCs/>
          <w:sz w:val="24"/>
          <w:szCs w:val="24"/>
        </w:rPr>
        <w:t>)</w:t>
      </w:r>
      <w:r w:rsidR="009B067A" w:rsidRPr="0039450E">
        <w:rPr>
          <w:rFonts w:ascii="Times New Roman" w:hAnsi="Times New Roman" w:cs="Times New Roman"/>
          <w:sz w:val="24"/>
          <w:szCs w:val="24"/>
        </w:rPr>
        <w:t>,</w:t>
      </w:r>
      <w:r w:rsidR="00203C90" w:rsidRPr="0039450E">
        <w:rPr>
          <w:rFonts w:ascii="Times New Roman" w:hAnsi="Times New Roman" w:cs="Times New Roman"/>
          <w:sz w:val="24"/>
          <w:szCs w:val="24"/>
        </w:rPr>
        <w:t xml:space="preserve"> DJ </w:t>
      </w:r>
      <w:r w:rsidR="009B067A" w:rsidRPr="0039450E">
        <w:rPr>
          <w:rFonts w:ascii="Times New Roman" w:hAnsi="Times New Roman" w:cs="Times New Roman"/>
          <w:sz w:val="24"/>
          <w:szCs w:val="24"/>
        </w:rPr>
        <w:t xml:space="preserve">Parker was dealing with an application for summary </w:t>
      </w:r>
      <w:r w:rsidR="002F7333" w:rsidRPr="0039450E">
        <w:rPr>
          <w:rFonts w:ascii="Times New Roman" w:hAnsi="Times New Roman" w:cs="Times New Roman"/>
          <w:sz w:val="24"/>
          <w:szCs w:val="24"/>
        </w:rPr>
        <w:t>judgment</w:t>
      </w:r>
      <w:r w:rsidR="009B067A" w:rsidRPr="0039450E">
        <w:rPr>
          <w:rFonts w:ascii="Times New Roman" w:hAnsi="Times New Roman" w:cs="Times New Roman"/>
          <w:sz w:val="24"/>
          <w:szCs w:val="24"/>
        </w:rPr>
        <w:t xml:space="preserve"> by the defendant, and where a question of the terms of the insurance policy which was before the court, and agency arose, he found that the insurers had both actual and ostensible authority to bind the insured to admissions made in a CNF form.</w:t>
      </w:r>
      <w:r w:rsidR="00E6790E" w:rsidRPr="0039450E">
        <w:rPr>
          <w:rFonts w:ascii="Times New Roman" w:hAnsi="Times New Roman" w:cs="Times New Roman"/>
          <w:sz w:val="24"/>
          <w:szCs w:val="24"/>
        </w:rPr>
        <w:t xml:space="preserve"> This I will describe as the “authority” issue.</w:t>
      </w:r>
    </w:p>
    <w:p w14:paraId="61505644" w14:textId="620A51C2" w:rsidR="009051AD" w:rsidRDefault="009051AD"/>
    <w:p w14:paraId="40EF5E43" w14:textId="2030AEAA" w:rsidR="009051AD" w:rsidRPr="00842CC8" w:rsidRDefault="00842CC8">
      <w:pPr>
        <w:rPr>
          <w:rFonts w:ascii="Times New Roman" w:hAnsi="Times New Roman" w:cs="Times New Roman"/>
          <w:sz w:val="24"/>
          <w:szCs w:val="24"/>
        </w:rPr>
      </w:pPr>
      <w:r w:rsidRPr="00842CC8">
        <w:rPr>
          <w:rFonts w:ascii="Times New Roman" w:hAnsi="Times New Roman" w:cs="Times New Roman"/>
          <w:sz w:val="24"/>
          <w:szCs w:val="24"/>
        </w:rPr>
        <w:t>26.</w:t>
      </w:r>
      <w:r w:rsidRPr="00842CC8">
        <w:rPr>
          <w:rFonts w:ascii="Times New Roman" w:hAnsi="Times New Roman" w:cs="Times New Roman"/>
          <w:sz w:val="24"/>
          <w:szCs w:val="24"/>
        </w:rPr>
        <w:tab/>
      </w:r>
      <w:r w:rsidR="009051AD" w:rsidRPr="00842CC8">
        <w:rPr>
          <w:rFonts w:ascii="Times New Roman" w:hAnsi="Times New Roman" w:cs="Times New Roman"/>
          <w:sz w:val="24"/>
          <w:szCs w:val="24"/>
        </w:rPr>
        <w:t xml:space="preserve">In </w:t>
      </w:r>
      <w:r w:rsidR="009051AD" w:rsidRPr="00842CC8">
        <w:rPr>
          <w:rFonts w:ascii="Times New Roman" w:hAnsi="Times New Roman" w:cs="Times New Roman"/>
          <w:b/>
          <w:bCs/>
          <w:sz w:val="24"/>
          <w:szCs w:val="24"/>
        </w:rPr>
        <w:t>Malak v Nasim</w:t>
      </w:r>
      <w:r w:rsidR="0043739F">
        <w:rPr>
          <w:rFonts w:ascii="Times New Roman" w:hAnsi="Times New Roman" w:cs="Times New Roman"/>
          <w:b/>
          <w:bCs/>
          <w:sz w:val="24"/>
          <w:szCs w:val="24"/>
        </w:rPr>
        <w:t xml:space="preserve"> (</w:t>
      </w:r>
      <w:r w:rsidR="0043739F" w:rsidRPr="0043739F">
        <w:rPr>
          <w:rFonts w:ascii="Times New Roman" w:hAnsi="Times New Roman" w:cs="Times New Roman"/>
          <w:b/>
          <w:bCs/>
          <w:i/>
          <w:iCs/>
          <w:sz w:val="24"/>
          <w:szCs w:val="24"/>
        </w:rPr>
        <w:t>Watford CC 11.11.14</w:t>
      </w:r>
      <w:r w:rsidR="0043739F">
        <w:rPr>
          <w:rFonts w:ascii="Times New Roman" w:hAnsi="Times New Roman" w:cs="Times New Roman"/>
          <w:b/>
          <w:bCs/>
          <w:sz w:val="24"/>
          <w:szCs w:val="24"/>
        </w:rPr>
        <w:t>)</w:t>
      </w:r>
      <w:r w:rsidR="009B067A" w:rsidRPr="00842CC8">
        <w:rPr>
          <w:rFonts w:ascii="Times New Roman" w:hAnsi="Times New Roman" w:cs="Times New Roman"/>
          <w:sz w:val="24"/>
          <w:szCs w:val="24"/>
        </w:rPr>
        <w:t xml:space="preserve">, </w:t>
      </w:r>
      <w:r w:rsidR="007C43B5" w:rsidRPr="00842CC8">
        <w:rPr>
          <w:rFonts w:ascii="Times New Roman" w:hAnsi="Times New Roman" w:cs="Times New Roman"/>
          <w:sz w:val="24"/>
          <w:szCs w:val="24"/>
        </w:rPr>
        <w:t>no such question of actual or apparent authority arose because it was accepted that for the purposes of the protocol the insurer was able to bind the insured by reason of the admissions. However</w:t>
      </w:r>
      <w:r w:rsidR="009051AD" w:rsidRPr="00842CC8">
        <w:rPr>
          <w:rFonts w:ascii="Times New Roman" w:hAnsi="Times New Roman" w:cs="Times New Roman"/>
          <w:sz w:val="24"/>
          <w:szCs w:val="24"/>
        </w:rPr>
        <w:t xml:space="preserve"> DJ Lana Wood</w:t>
      </w:r>
      <w:r w:rsidR="007C43B5" w:rsidRPr="00842CC8">
        <w:rPr>
          <w:rFonts w:ascii="Times New Roman" w:hAnsi="Times New Roman" w:cs="Times New Roman"/>
          <w:sz w:val="24"/>
          <w:szCs w:val="24"/>
        </w:rPr>
        <w:t xml:space="preserve"> agreed with the subsequent claimant’s submission that it was only binding within the claim within which it was made, contemplating that a counterclaim by the insured would be sustainable.</w:t>
      </w:r>
      <w:r w:rsidR="00E6790E" w:rsidRPr="00842CC8">
        <w:rPr>
          <w:rFonts w:ascii="Times New Roman" w:hAnsi="Times New Roman" w:cs="Times New Roman"/>
          <w:sz w:val="24"/>
          <w:szCs w:val="24"/>
        </w:rPr>
        <w:t xml:space="preserve"> This I will describe as the “limited admission” issue</w:t>
      </w:r>
      <w:r w:rsidR="007C43B5" w:rsidRPr="00842CC8">
        <w:rPr>
          <w:rFonts w:ascii="Times New Roman" w:hAnsi="Times New Roman" w:cs="Times New Roman"/>
          <w:sz w:val="24"/>
          <w:szCs w:val="24"/>
        </w:rPr>
        <w:t xml:space="preserve"> Essentially there was nothing to prevent that person bringing a separate claim in relation to his own uninsured losses, although it was noted that it would not have been open to him, once he became a claimant in part seven proceedings, to utilise CPR 14.1 B to withdraw the admission, because he was no longer the defendant.</w:t>
      </w:r>
    </w:p>
    <w:p w14:paraId="4D6D027E" w14:textId="6A056DD1" w:rsidR="007C43B5" w:rsidRDefault="007C43B5"/>
    <w:p w14:paraId="501BAC23" w14:textId="15033088" w:rsidR="009051AD" w:rsidRPr="00842CC8" w:rsidRDefault="00842CC8">
      <w:pPr>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9051AD" w:rsidRPr="00842CC8">
        <w:rPr>
          <w:rFonts w:ascii="Times New Roman" w:hAnsi="Times New Roman" w:cs="Times New Roman"/>
          <w:sz w:val="24"/>
          <w:szCs w:val="24"/>
        </w:rPr>
        <w:t xml:space="preserve">In </w:t>
      </w:r>
      <w:r w:rsidR="009051AD" w:rsidRPr="00842CC8">
        <w:rPr>
          <w:rFonts w:ascii="Times New Roman" w:hAnsi="Times New Roman" w:cs="Times New Roman"/>
          <w:b/>
          <w:bCs/>
          <w:sz w:val="24"/>
          <w:szCs w:val="24"/>
        </w:rPr>
        <w:t xml:space="preserve">Chimel v </w:t>
      </w:r>
      <w:proofErr w:type="spellStart"/>
      <w:r w:rsidR="007C43B5" w:rsidRPr="00842CC8">
        <w:rPr>
          <w:rFonts w:ascii="Times New Roman" w:hAnsi="Times New Roman" w:cs="Times New Roman"/>
          <w:b/>
          <w:bCs/>
          <w:sz w:val="24"/>
          <w:szCs w:val="24"/>
        </w:rPr>
        <w:t>Chibwana</w:t>
      </w:r>
      <w:proofErr w:type="spellEnd"/>
      <w:r w:rsidR="007C43B5" w:rsidRPr="00842CC8">
        <w:rPr>
          <w:rFonts w:ascii="Times New Roman" w:hAnsi="Times New Roman" w:cs="Times New Roman"/>
          <w:sz w:val="24"/>
          <w:szCs w:val="24"/>
        </w:rPr>
        <w:t xml:space="preserve"> </w:t>
      </w:r>
      <w:r w:rsidR="007C43B5" w:rsidRPr="00842CC8">
        <w:rPr>
          <w:rFonts w:ascii="Times New Roman" w:hAnsi="Times New Roman" w:cs="Times New Roman"/>
          <w:b/>
          <w:bCs/>
          <w:sz w:val="24"/>
          <w:szCs w:val="24"/>
        </w:rPr>
        <w:t xml:space="preserve">&amp; </w:t>
      </w:r>
      <w:r w:rsidR="009051AD" w:rsidRPr="00842CC8">
        <w:rPr>
          <w:rFonts w:ascii="Times New Roman" w:hAnsi="Times New Roman" w:cs="Times New Roman"/>
          <w:b/>
          <w:bCs/>
          <w:sz w:val="24"/>
          <w:szCs w:val="24"/>
        </w:rPr>
        <w:t>Williams</w:t>
      </w:r>
      <w:r w:rsidR="009051AD" w:rsidRPr="00842CC8">
        <w:rPr>
          <w:rFonts w:ascii="Times New Roman" w:hAnsi="Times New Roman" w:cs="Times New Roman"/>
          <w:sz w:val="24"/>
          <w:szCs w:val="24"/>
        </w:rPr>
        <w:t>,</w:t>
      </w:r>
      <w:r>
        <w:rPr>
          <w:rFonts w:ascii="Times New Roman" w:hAnsi="Times New Roman" w:cs="Times New Roman"/>
          <w:sz w:val="24"/>
          <w:szCs w:val="24"/>
        </w:rPr>
        <w:t>[</w:t>
      </w:r>
      <w:r w:rsidR="0043739F" w:rsidRPr="0043739F">
        <w:rPr>
          <w:rFonts w:ascii="Times New Roman" w:hAnsi="Times New Roman" w:cs="Times New Roman"/>
          <w:b/>
          <w:bCs/>
          <w:i/>
          <w:iCs/>
          <w:sz w:val="24"/>
          <w:szCs w:val="24"/>
        </w:rPr>
        <w:t>supra</w:t>
      </w:r>
      <w:r w:rsidR="0043739F">
        <w:rPr>
          <w:rFonts w:ascii="Times New Roman" w:hAnsi="Times New Roman" w:cs="Times New Roman"/>
          <w:b/>
          <w:bCs/>
          <w:sz w:val="24"/>
          <w:szCs w:val="24"/>
        </w:rPr>
        <w:t xml:space="preserve"> </w:t>
      </w:r>
      <w:r w:rsidR="009051AD" w:rsidRPr="00842CC8">
        <w:rPr>
          <w:rFonts w:ascii="Times New Roman" w:hAnsi="Times New Roman" w:cs="Times New Roman"/>
          <w:sz w:val="24"/>
          <w:szCs w:val="24"/>
        </w:rPr>
        <w:t xml:space="preserve">HHJ </w:t>
      </w:r>
      <w:proofErr w:type="spellStart"/>
      <w:r w:rsidR="009051AD" w:rsidRPr="00842CC8">
        <w:rPr>
          <w:rFonts w:ascii="Times New Roman" w:hAnsi="Times New Roman" w:cs="Times New Roman"/>
          <w:sz w:val="24"/>
          <w:szCs w:val="24"/>
        </w:rPr>
        <w:t>Simpkiss</w:t>
      </w:r>
      <w:proofErr w:type="spellEnd"/>
      <w:r>
        <w:rPr>
          <w:rFonts w:ascii="Times New Roman" w:hAnsi="Times New Roman" w:cs="Times New Roman"/>
          <w:sz w:val="24"/>
          <w:szCs w:val="24"/>
        </w:rPr>
        <w:t>]</w:t>
      </w:r>
      <w:r w:rsidR="007C43B5" w:rsidRPr="00842CC8">
        <w:rPr>
          <w:rFonts w:ascii="Times New Roman" w:hAnsi="Times New Roman" w:cs="Times New Roman"/>
          <w:sz w:val="24"/>
          <w:szCs w:val="24"/>
        </w:rPr>
        <w:t xml:space="preserve">, </w:t>
      </w:r>
      <w:r w:rsidR="00E6790E" w:rsidRPr="00842CC8">
        <w:rPr>
          <w:rFonts w:ascii="Times New Roman" w:hAnsi="Times New Roman" w:cs="Times New Roman"/>
          <w:sz w:val="24"/>
          <w:szCs w:val="24"/>
        </w:rPr>
        <w:t xml:space="preserve">the </w:t>
      </w:r>
      <w:r w:rsidR="007C43B5" w:rsidRPr="00842CC8">
        <w:rPr>
          <w:rFonts w:ascii="Times New Roman" w:hAnsi="Times New Roman" w:cs="Times New Roman"/>
          <w:sz w:val="24"/>
          <w:szCs w:val="24"/>
        </w:rPr>
        <w:t xml:space="preserve">principal case upon which the </w:t>
      </w:r>
      <w:r w:rsidR="00E6790E" w:rsidRPr="00842CC8">
        <w:rPr>
          <w:rFonts w:ascii="Times New Roman" w:hAnsi="Times New Roman" w:cs="Times New Roman"/>
          <w:sz w:val="24"/>
          <w:szCs w:val="24"/>
        </w:rPr>
        <w:t>R</w:t>
      </w:r>
      <w:r w:rsidR="007C43B5" w:rsidRPr="00842CC8">
        <w:rPr>
          <w:rFonts w:ascii="Times New Roman" w:hAnsi="Times New Roman" w:cs="Times New Roman"/>
          <w:sz w:val="24"/>
          <w:szCs w:val="24"/>
        </w:rPr>
        <w:t>espondent relies in this case, the judge dealt with both issues which had arisen in the district judge decisions, namely</w:t>
      </w:r>
      <w:r w:rsidR="00E6790E" w:rsidRPr="00842CC8">
        <w:rPr>
          <w:rFonts w:ascii="Times New Roman" w:hAnsi="Times New Roman" w:cs="Times New Roman"/>
          <w:sz w:val="24"/>
          <w:szCs w:val="24"/>
        </w:rPr>
        <w:t xml:space="preserve"> the agency and the limited admission issues</w:t>
      </w:r>
      <w:r w:rsidR="00AA2BBD" w:rsidRPr="00842CC8">
        <w:rPr>
          <w:rFonts w:ascii="Times New Roman" w:hAnsi="Times New Roman" w:cs="Times New Roman"/>
          <w:sz w:val="24"/>
          <w:szCs w:val="24"/>
        </w:rPr>
        <w:t xml:space="preserve">. In fact the judge was faced with the same situation as in the present case on the agency question, because there was an absence of any material evidence before him, and in relation to the effect of an admission, he concluded that it was binding between the parties in the same way </w:t>
      </w:r>
      <w:r w:rsidR="00AA2BBD" w:rsidRPr="00842CC8">
        <w:rPr>
          <w:rFonts w:ascii="Times New Roman" w:hAnsi="Times New Roman" w:cs="Times New Roman"/>
          <w:sz w:val="24"/>
          <w:szCs w:val="24"/>
        </w:rPr>
        <w:lastRenderedPageBreak/>
        <w:t xml:space="preserve">as any other settlement, and therefore would preclude subsequent proceedings by a portal defendant </w:t>
      </w:r>
      <w:r w:rsidR="00E6790E" w:rsidRPr="00842CC8">
        <w:rPr>
          <w:rFonts w:ascii="Times New Roman" w:hAnsi="Times New Roman" w:cs="Times New Roman"/>
          <w:sz w:val="24"/>
          <w:szCs w:val="24"/>
        </w:rPr>
        <w:t>f</w:t>
      </w:r>
      <w:r w:rsidR="00AA2BBD" w:rsidRPr="00842CC8">
        <w:rPr>
          <w:rFonts w:ascii="Times New Roman" w:hAnsi="Times New Roman" w:cs="Times New Roman"/>
          <w:sz w:val="24"/>
          <w:szCs w:val="24"/>
        </w:rPr>
        <w:t xml:space="preserve">or his own uninsured losses. The core </w:t>
      </w:r>
      <w:r w:rsidR="00E6790E" w:rsidRPr="00842CC8">
        <w:rPr>
          <w:rFonts w:ascii="Times New Roman" w:hAnsi="Times New Roman" w:cs="Times New Roman"/>
          <w:sz w:val="24"/>
          <w:szCs w:val="24"/>
        </w:rPr>
        <w:t xml:space="preserve">of </w:t>
      </w:r>
      <w:r w:rsidR="00AA2BBD" w:rsidRPr="00842CC8">
        <w:rPr>
          <w:rFonts w:ascii="Times New Roman" w:hAnsi="Times New Roman" w:cs="Times New Roman"/>
          <w:sz w:val="24"/>
          <w:szCs w:val="24"/>
        </w:rPr>
        <w:t>this decision is at paragraph 65.</w:t>
      </w:r>
    </w:p>
    <w:p w14:paraId="4FDA57CE" w14:textId="066757BA" w:rsidR="00AA2BBD" w:rsidRPr="00842CC8" w:rsidRDefault="00AA2BBD">
      <w:pPr>
        <w:rPr>
          <w:rFonts w:ascii="Times New Roman" w:hAnsi="Times New Roman" w:cs="Times New Roman"/>
          <w:sz w:val="24"/>
          <w:szCs w:val="24"/>
        </w:rPr>
      </w:pPr>
    </w:p>
    <w:p w14:paraId="459D1E89" w14:textId="3CB88C1F" w:rsidR="00AA2BBD" w:rsidRPr="00842CC8" w:rsidRDefault="00842CC8">
      <w:pPr>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AA2BBD" w:rsidRPr="00842CC8">
        <w:rPr>
          <w:rFonts w:ascii="Times New Roman" w:hAnsi="Times New Roman" w:cs="Times New Roman"/>
          <w:sz w:val="24"/>
          <w:szCs w:val="24"/>
        </w:rPr>
        <w:t>He also addressed two other matters. First, the question of CPR 14</w:t>
      </w:r>
      <w:r>
        <w:rPr>
          <w:rFonts w:ascii="Times New Roman" w:hAnsi="Times New Roman" w:cs="Times New Roman"/>
          <w:sz w:val="24"/>
          <w:szCs w:val="24"/>
        </w:rPr>
        <w:t>.</w:t>
      </w:r>
      <w:r w:rsidR="00AA2BBD" w:rsidRPr="00842CC8">
        <w:rPr>
          <w:rFonts w:ascii="Times New Roman" w:hAnsi="Times New Roman" w:cs="Times New Roman"/>
          <w:sz w:val="24"/>
          <w:szCs w:val="24"/>
        </w:rPr>
        <w:t xml:space="preserve">1B and its applicability, identifying that it would be impossible for a previous portal defendant who had now become the claimant seeking to recover his uninsured losses to utilise that provision to withdraw the admission. </w:t>
      </w:r>
      <w:r w:rsidR="00E6790E" w:rsidRPr="00842CC8">
        <w:rPr>
          <w:rFonts w:ascii="Times New Roman" w:hAnsi="Times New Roman" w:cs="Times New Roman"/>
          <w:sz w:val="24"/>
          <w:szCs w:val="24"/>
        </w:rPr>
        <w:t xml:space="preserve">(the </w:t>
      </w:r>
      <w:r w:rsidR="0043739F">
        <w:rPr>
          <w:rFonts w:ascii="Times New Roman" w:hAnsi="Times New Roman" w:cs="Times New Roman"/>
          <w:sz w:val="24"/>
          <w:szCs w:val="24"/>
        </w:rPr>
        <w:t>“</w:t>
      </w:r>
      <w:r w:rsidR="00E6790E" w:rsidRPr="00842CC8">
        <w:rPr>
          <w:rFonts w:ascii="Times New Roman" w:hAnsi="Times New Roman" w:cs="Times New Roman"/>
          <w:sz w:val="24"/>
          <w:szCs w:val="24"/>
        </w:rPr>
        <w:t>portal admission withdrawal</w:t>
      </w:r>
      <w:r w:rsidR="0043739F">
        <w:rPr>
          <w:rFonts w:ascii="Times New Roman" w:hAnsi="Times New Roman" w:cs="Times New Roman"/>
          <w:sz w:val="24"/>
          <w:szCs w:val="24"/>
        </w:rPr>
        <w:t xml:space="preserve"> </w:t>
      </w:r>
      <w:r w:rsidR="00E6790E" w:rsidRPr="00842CC8">
        <w:rPr>
          <w:rFonts w:ascii="Times New Roman" w:hAnsi="Times New Roman" w:cs="Times New Roman"/>
          <w:sz w:val="24"/>
          <w:szCs w:val="24"/>
        </w:rPr>
        <w:t>issue</w:t>
      </w:r>
      <w:r w:rsidR="0043739F">
        <w:rPr>
          <w:rFonts w:ascii="Times New Roman" w:hAnsi="Times New Roman" w:cs="Times New Roman"/>
          <w:sz w:val="24"/>
          <w:szCs w:val="24"/>
        </w:rPr>
        <w:t>”</w:t>
      </w:r>
      <w:r w:rsidR="00E6790E" w:rsidRPr="00842CC8">
        <w:rPr>
          <w:rFonts w:ascii="Times New Roman" w:hAnsi="Times New Roman" w:cs="Times New Roman"/>
          <w:sz w:val="24"/>
          <w:szCs w:val="24"/>
        </w:rPr>
        <w:t xml:space="preserve">). </w:t>
      </w:r>
      <w:r w:rsidR="00AA2BBD" w:rsidRPr="00842CC8">
        <w:rPr>
          <w:rFonts w:ascii="Times New Roman" w:hAnsi="Times New Roman" w:cs="Times New Roman"/>
          <w:sz w:val="24"/>
          <w:szCs w:val="24"/>
        </w:rPr>
        <w:t>Second, the meaning of “defendant” within the protocol definitions, and whether this was essentially the insurer as opposed to the individual.</w:t>
      </w:r>
      <w:r w:rsidR="00E6790E" w:rsidRPr="00842CC8">
        <w:rPr>
          <w:rFonts w:ascii="Times New Roman" w:hAnsi="Times New Roman" w:cs="Times New Roman"/>
          <w:sz w:val="24"/>
          <w:szCs w:val="24"/>
        </w:rPr>
        <w:t xml:space="preserve"> (The “portal defendant issue</w:t>
      </w:r>
      <w:r w:rsidR="0043739F">
        <w:rPr>
          <w:rFonts w:ascii="Times New Roman" w:hAnsi="Times New Roman" w:cs="Times New Roman"/>
          <w:sz w:val="24"/>
          <w:szCs w:val="24"/>
        </w:rPr>
        <w:t>”</w:t>
      </w:r>
      <w:r w:rsidR="00E6790E" w:rsidRPr="00842CC8">
        <w:rPr>
          <w:rFonts w:ascii="Times New Roman" w:hAnsi="Times New Roman" w:cs="Times New Roman"/>
          <w:sz w:val="24"/>
          <w:szCs w:val="24"/>
        </w:rPr>
        <w:t>).</w:t>
      </w:r>
      <w:r w:rsidR="00AA2BBD" w:rsidRPr="00842CC8">
        <w:rPr>
          <w:rFonts w:ascii="Times New Roman" w:hAnsi="Times New Roman" w:cs="Times New Roman"/>
          <w:sz w:val="24"/>
          <w:szCs w:val="24"/>
        </w:rPr>
        <w:t xml:space="preserve"> He arrived at a conclusion which is challenged by counsel in the present claim, as will be seen.</w:t>
      </w:r>
      <w:r w:rsidR="007575B9" w:rsidRPr="00842CC8">
        <w:rPr>
          <w:rFonts w:ascii="Times New Roman" w:hAnsi="Times New Roman" w:cs="Times New Roman"/>
          <w:sz w:val="24"/>
          <w:szCs w:val="24"/>
        </w:rPr>
        <w:t xml:space="preserve"> There are relevant findings at paragraphs 65 and 70.</w:t>
      </w:r>
    </w:p>
    <w:p w14:paraId="29735351" w14:textId="77777777" w:rsidR="006E7ADB" w:rsidRDefault="006E7ADB"/>
    <w:p w14:paraId="387B050D" w14:textId="5030363D" w:rsidR="007575B9" w:rsidRPr="007575B9" w:rsidRDefault="007575B9" w:rsidP="007575B9">
      <w:pPr>
        <w:ind w:left="1440"/>
        <w:rPr>
          <w:rFonts w:ascii="Times New Roman" w:hAnsi="Times New Roman" w:cs="Times New Roman"/>
          <w:sz w:val="18"/>
          <w:szCs w:val="18"/>
        </w:rPr>
      </w:pPr>
      <w:r>
        <w:rPr>
          <w:rFonts w:ascii="Times New Roman" w:hAnsi="Times New Roman" w:cs="Times New Roman"/>
          <w:sz w:val="18"/>
          <w:szCs w:val="18"/>
        </w:rPr>
        <w:t>“65.</w:t>
      </w:r>
      <w:r>
        <w:rPr>
          <w:rFonts w:ascii="Times New Roman" w:hAnsi="Times New Roman" w:cs="Times New Roman"/>
          <w:sz w:val="18"/>
          <w:szCs w:val="18"/>
        </w:rPr>
        <w:tab/>
      </w:r>
      <w:r w:rsidRPr="007575B9">
        <w:rPr>
          <w:rFonts w:ascii="Times New Roman" w:hAnsi="Times New Roman" w:cs="Times New Roman"/>
          <w:sz w:val="18"/>
          <w:szCs w:val="18"/>
        </w:rPr>
        <w:t xml:space="preserve">If an admission is made by a portal defendant that should be treated as any other admission, although on the facts of this case it cannot now be withdrawn because the portal claim was settled and there is no claim to which the claimant </w:t>
      </w:r>
      <w:r w:rsidR="00EA3F27">
        <w:rPr>
          <w:rFonts w:ascii="Times New Roman" w:hAnsi="Times New Roman" w:cs="Times New Roman"/>
          <w:sz w:val="18"/>
          <w:szCs w:val="18"/>
        </w:rPr>
        <w:t>in these</w:t>
      </w:r>
      <w:r w:rsidRPr="007575B9">
        <w:rPr>
          <w:rFonts w:ascii="Times New Roman" w:hAnsi="Times New Roman" w:cs="Times New Roman"/>
          <w:sz w:val="18"/>
          <w:szCs w:val="18"/>
        </w:rPr>
        <w:t xml:space="preserve"> proceedings is a defendant</w:t>
      </w:r>
      <w:r>
        <w:rPr>
          <w:rFonts w:ascii="Times New Roman" w:hAnsi="Times New Roman" w:cs="Times New Roman"/>
          <w:sz w:val="18"/>
          <w:szCs w:val="18"/>
        </w:rPr>
        <w:t>………</w:t>
      </w:r>
      <w:r w:rsidR="00EA3F27">
        <w:rPr>
          <w:rFonts w:ascii="Times New Roman" w:hAnsi="Times New Roman" w:cs="Times New Roman"/>
          <w:sz w:val="18"/>
          <w:szCs w:val="18"/>
        </w:rPr>
        <w:t>”</w:t>
      </w:r>
    </w:p>
    <w:p w14:paraId="43EDF2C3" w14:textId="1A87042D" w:rsidR="007575B9" w:rsidRPr="007575B9" w:rsidRDefault="007575B9" w:rsidP="007575B9">
      <w:pPr>
        <w:ind w:left="1440"/>
        <w:rPr>
          <w:rFonts w:ascii="Times New Roman" w:hAnsi="Times New Roman" w:cs="Times New Roman"/>
          <w:sz w:val="18"/>
          <w:szCs w:val="18"/>
        </w:rPr>
      </w:pPr>
    </w:p>
    <w:p w14:paraId="48B7E3F3" w14:textId="07F35801" w:rsidR="007575B9" w:rsidRDefault="007575B9" w:rsidP="007575B9">
      <w:pPr>
        <w:ind w:left="1440"/>
      </w:pPr>
      <w:r>
        <w:rPr>
          <w:rFonts w:ascii="Times New Roman" w:hAnsi="Times New Roman" w:cs="Times New Roman"/>
          <w:sz w:val="18"/>
          <w:szCs w:val="18"/>
        </w:rPr>
        <w:t>“70.</w:t>
      </w:r>
      <w:r>
        <w:rPr>
          <w:rFonts w:ascii="Times New Roman" w:hAnsi="Times New Roman" w:cs="Times New Roman"/>
          <w:sz w:val="18"/>
          <w:szCs w:val="18"/>
        </w:rPr>
        <w:tab/>
      </w:r>
      <w:r w:rsidRPr="007575B9">
        <w:rPr>
          <w:rFonts w:ascii="Times New Roman" w:hAnsi="Times New Roman" w:cs="Times New Roman"/>
          <w:sz w:val="18"/>
          <w:szCs w:val="18"/>
        </w:rPr>
        <w:t>The portal however, requires an admission to be made before it can proceed to the next stage. This must also be treated in the same way as any other admission. As between the parties to the admission (the portal claimant and the portal defendant) the defendant is admitting that the accident was caused by a breach of duty on her part and the parties proceed to settlement on that basis. This means that unless the admission it withdrawn, a party who has admitted liability under the portal (albeit through the agency of his insurer) cannot then bring a claim against the portal claimant which is inconsistent with that admission…</w:t>
      </w:r>
      <w:r w:rsidR="00EA3F27">
        <w:rPr>
          <w:rFonts w:ascii="Times New Roman" w:hAnsi="Times New Roman" w:cs="Times New Roman"/>
          <w:sz w:val="18"/>
          <w:szCs w:val="18"/>
        </w:rPr>
        <w:t>”</w:t>
      </w:r>
    </w:p>
    <w:p w14:paraId="78B5EC9E" w14:textId="0E76F66A" w:rsidR="009051AD" w:rsidRDefault="009051AD"/>
    <w:p w14:paraId="105CEB8B" w14:textId="7EA87AC9" w:rsidR="009051AD" w:rsidRPr="00842CC8" w:rsidRDefault="00842CC8">
      <w:pPr>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9051AD" w:rsidRPr="00842CC8">
        <w:rPr>
          <w:rFonts w:ascii="Times New Roman" w:hAnsi="Times New Roman" w:cs="Times New Roman"/>
          <w:sz w:val="24"/>
          <w:szCs w:val="24"/>
        </w:rPr>
        <w:t xml:space="preserve">Finally in </w:t>
      </w:r>
      <w:r w:rsidR="007575B9" w:rsidRPr="00842CC8">
        <w:rPr>
          <w:rFonts w:ascii="Times New Roman" w:hAnsi="Times New Roman" w:cs="Times New Roman"/>
          <w:sz w:val="24"/>
          <w:szCs w:val="24"/>
        </w:rPr>
        <w:t xml:space="preserve">the most recent of the cases heard in the County Court at Preston in May of this year, </w:t>
      </w:r>
      <w:proofErr w:type="spellStart"/>
      <w:r w:rsidR="007575B9" w:rsidRPr="00842CC8">
        <w:rPr>
          <w:rFonts w:ascii="Times New Roman" w:hAnsi="Times New Roman" w:cs="Times New Roman"/>
          <w:b/>
          <w:bCs/>
          <w:sz w:val="24"/>
          <w:szCs w:val="24"/>
        </w:rPr>
        <w:t>Mukadam</w:t>
      </w:r>
      <w:proofErr w:type="spellEnd"/>
      <w:r w:rsidR="007575B9" w:rsidRPr="00842CC8">
        <w:rPr>
          <w:rFonts w:ascii="Times New Roman" w:hAnsi="Times New Roman" w:cs="Times New Roman"/>
          <w:b/>
          <w:bCs/>
          <w:sz w:val="24"/>
          <w:szCs w:val="24"/>
        </w:rPr>
        <w:t xml:space="preserve"> v Nazir</w:t>
      </w:r>
      <w:r w:rsidR="00615AC0">
        <w:rPr>
          <w:rFonts w:ascii="Times New Roman" w:hAnsi="Times New Roman" w:cs="Times New Roman"/>
          <w:b/>
          <w:bCs/>
          <w:sz w:val="24"/>
          <w:szCs w:val="24"/>
        </w:rPr>
        <w:t xml:space="preserve"> (</w:t>
      </w:r>
      <w:r w:rsidR="00615AC0" w:rsidRPr="00615AC0">
        <w:rPr>
          <w:rFonts w:ascii="Times New Roman" w:hAnsi="Times New Roman" w:cs="Times New Roman"/>
          <w:b/>
          <w:bCs/>
          <w:i/>
          <w:iCs/>
          <w:sz w:val="24"/>
          <w:szCs w:val="24"/>
        </w:rPr>
        <w:t>Preston CC 14.05.20</w:t>
      </w:r>
      <w:r w:rsidR="00615AC0" w:rsidRPr="00615AC0">
        <w:rPr>
          <w:rFonts w:ascii="Times New Roman" w:hAnsi="Times New Roman" w:cs="Times New Roman"/>
          <w:b/>
          <w:bCs/>
          <w:sz w:val="24"/>
          <w:szCs w:val="24"/>
        </w:rPr>
        <w:t>)</w:t>
      </w:r>
      <w:r w:rsidR="007575B9" w:rsidRPr="00615AC0">
        <w:rPr>
          <w:rFonts w:ascii="Times New Roman" w:hAnsi="Times New Roman" w:cs="Times New Roman"/>
          <w:i/>
          <w:iCs/>
          <w:sz w:val="24"/>
          <w:szCs w:val="24"/>
        </w:rPr>
        <w:t>,</w:t>
      </w:r>
      <w:r w:rsidR="007575B9" w:rsidRPr="00842CC8">
        <w:rPr>
          <w:rFonts w:ascii="Times New Roman" w:hAnsi="Times New Roman" w:cs="Times New Roman"/>
          <w:sz w:val="24"/>
          <w:szCs w:val="24"/>
        </w:rPr>
        <w:t xml:space="preserve"> His Honour Judge Khan </w:t>
      </w:r>
      <w:r w:rsidR="006E7ADB" w:rsidRPr="00842CC8">
        <w:rPr>
          <w:rFonts w:ascii="Times New Roman" w:hAnsi="Times New Roman" w:cs="Times New Roman"/>
          <w:sz w:val="24"/>
          <w:szCs w:val="24"/>
        </w:rPr>
        <w:t>also dealt with an almost identical situation, following the decision of Judge Simpkiss, but additionally disregarding a sidenote in the portal response provided by the insurance company acting for the portal defendant which purportedly made the admission that it “was without admission of liability from the insured”. The learned circuit judge held that this was of no effect.</w:t>
      </w:r>
    </w:p>
    <w:p w14:paraId="10ECEBCE" w14:textId="6C1F0A1C" w:rsidR="006E7ADB" w:rsidRPr="00842CC8" w:rsidRDefault="006E7ADB">
      <w:pPr>
        <w:rPr>
          <w:rFonts w:ascii="Times New Roman" w:hAnsi="Times New Roman" w:cs="Times New Roman"/>
          <w:sz w:val="24"/>
          <w:szCs w:val="24"/>
        </w:rPr>
      </w:pPr>
    </w:p>
    <w:p w14:paraId="7DD3D0ED" w14:textId="4B0B8EA7" w:rsidR="006E7ADB" w:rsidRPr="00842CC8" w:rsidRDefault="00842CC8">
      <w:pPr>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6E7ADB" w:rsidRPr="00842CC8">
        <w:rPr>
          <w:rFonts w:ascii="Times New Roman" w:hAnsi="Times New Roman" w:cs="Times New Roman"/>
          <w:sz w:val="24"/>
          <w:szCs w:val="24"/>
        </w:rPr>
        <w:t xml:space="preserve">The significance of the </w:t>
      </w:r>
      <w:proofErr w:type="spellStart"/>
      <w:r w:rsidR="006E7ADB" w:rsidRPr="00842CC8">
        <w:rPr>
          <w:rFonts w:ascii="Times New Roman" w:hAnsi="Times New Roman" w:cs="Times New Roman"/>
          <w:b/>
          <w:bCs/>
          <w:sz w:val="24"/>
          <w:szCs w:val="24"/>
        </w:rPr>
        <w:t>Mukadam</w:t>
      </w:r>
      <w:proofErr w:type="spellEnd"/>
      <w:r w:rsidR="006E7ADB" w:rsidRPr="00842CC8">
        <w:rPr>
          <w:rFonts w:ascii="Times New Roman" w:hAnsi="Times New Roman" w:cs="Times New Roman"/>
          <w:sz w:val="24"/>
          <w:szCs w:val="24"/>
        </w:rPr>
        <w:t xml:space="preserve"> case is that there are now two decisions of circuit judges</w:t>
      </w:r>
      <w:r w:rsidR="00615AC0">
        <w:rPr>
          <w:rFonts w:ascii="Times New Roman" w:hAnsi="Times New Roman" w:cs="Times New Roman"/>
          <w:sz w:val="24"/>
          <w:szCs w:val="24"/>
        </w:rPr>
        <w:t>, one first instance, one on appeal,</w:t>
      </w:r>
      <w:r w:rsidR="006E7ADB" w:rsidRPr="00842CC8">
        <w:rPr>
          <w:rFonts w:ascii="Times New Roman" w:hAnsi="Times New Roman" w:cs="Times New Roman"/>
          <w:sz w:val="24"/>
          <w:szCs w:val="24"/>
        </w:rPr>
        <w:t xml:space="preserve"> which would appear to support the stance taken by the deputy district judge in the present case.</w:t>
      </w:r>
    </w:p>
    <w:p w14:paraId="746A9698" w14:textId="77777777" w:rsidR="00203C90" w:rsidRDefault="00203C90"/>
    <w:p w14:paraId="47A657E2" w14:textId="75F2887A" w:rsidR="00765E25" w:rsidRPr="00842CC8" w:rsidRDefault="001350B9">
      <w:pPr>
        <w:rPr>
          <w:rFonts w:ascii="Times New Roman" w:hAnsi="Times New Roman" w:cs="Times New Roman"/>
          <w:b/>
          <w:bCs/>
          <w:sz w:val="24"/>
          <w:szCs w:val="24"/>
          <w:u w:val="single"/>
        </w:rPr>
      </w:pPr>
      <w:r w:rsidRPr="00842CC8">
        <w:rPr>
          <w:rFonts w:ascii="Times New Roman" w:hAnsi="Times New Roman" w:cs="Times New Roman"/>
          <w:b/>
          <w:bCs/>
          <w:sz w:val="24"/>
          <w:szCs w:val="24"/>
          <w:u w:val="single"/>
        </w:rPr>
        <w:t>Respective submissions</w:t>
      </w:r>
    </w:p>
    <w:p w14:paraId="40C8711F" w14:textId="64A896F7" w:rsidR="001350B9" w:rsidRPr="00842CC8" w:rsidRDefault="001350B9">
      <w:pPr>
        <w:rPr>
          <w:rFonts w:ascii="Times New Roman" w:hAnsi="Times New Roman" w:cs="Times New Roman"/>
          <w:sz w:val="24"/>
          <w:szCs w:val="24"/>
        </w:rPr>
      </w:pPr>
    </w:p>
    <w:p w14:paraId="0BF6B03A" w14:textId="2B2A2367" w:rsidR="006E7ADB" w:rsidRPr="00842CC8" w:rsidRDefault="00842CC8">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1350B9" w:rsidRPr="00842CC8">
        <w:rPr>
          <w:rFonts w:ascii="Times New Roman" w:hAnsi="Times New Roman" w:cs="Times New Roman"/>
          <w:sz w:val="24"/>
          <w:szCs w:val="24"/>
        </w:rPr>
        <w:t xml:space="preserve">On behalf of the </w:t>
      </w:r>
      <w:r w:rsidR="00FF1AC5" w:rsidRPr="00842CC8">
        <w:rPr>
          <w:rFonts w:ascii="Times New Roman" w:hAnsi="Times New Roman" w:cs="Times New Roman"/>
          <w:sz w:val="24"/>
          <w:szCs w:val="24"/>
        </w:rPr>
        <w:t>A</w:t>
      </w:r>
      <w:r w:rsidR="001350B9" w:rsidRPr="00842CC8">
        <w:rPr>
          <w:rFonts w:ascii="Times New Roman" w:hAnsi="Times New Roman" w:cs="Times New Roman"/>
          <w:sz w:val="24"/>
          <w:szCs w:val="24"/>
        </w:rPr>
        <w:t xml:space="preserve">ppellant, Mr Simon Dawes of counsel supplemented his skeleton argument with brief oral submissions. It was, he contended, a straightforward matter, with his principal argument being advanced in the first ground </w:t>
      </w:r>
      <w:r w:rsidR="006E7ADB" w:rsidRPr="00842CC8">
        <w:rPr>
          <w:rFonts w:ascii="Times New Roman" w:hAnsi="Times New Roman" w:cs="Times New Roman"/>
          <w:sz w:val="24"/>
          <w:szCs w:val="24"/>
        </w:rPr>
        <w:t xml:space="preserve">of appeal </w:t>
      </w:r>
      <w:r w:rsidR="001350B9" w:rsidRPr="00842CC8">
        <w:rPr>
          <w:rFonts w:ascii="Times New Roman" w:hAnsi="Times New Roman" w:cs="Times New Roman"/>
          <w:sz w:val="24"/>
          <w:szCs w:val="24"/>
        </w:rPr>
        <w:t xml:space="preserve">that Mr Mullen had never personally been the defendant </w:t>
      </w:r>
      <w:r w:rsidR="006E7ADB" w:rsidRPr="00842CC8">
        <w:rPr>
          <w:rFonts w:ascii="Times New Roman" w:hAnsi="Times New Roman" w:cs="Times New Roman"/>
          <w:sz w:val="24"/>
          <w:szCs w:val="24"/>
        </w:rPr>
        <w:t xml:space="preserve">who </w:t>
      </w:r>
      <w:r w:rsidR="001350B9" w:rsidRPr="00842CC8">
        <w:rPr>
          <w:rFonts w:ascii="Times New Roman" w:hAnsi="Times New Roman" w:cs="Times New Roman"/>
          <w:sz w:val="24"/>
          <w:szCs w:val="24"/>
        </w:rPr>
        <w:t xml:space="preserve">could either be bound by an admission made by his insurance company, or able to withdraw such an admission. </w:t>
      </w:r>
    </w:p>
    <w:p w14:paraId="4DC07D7E" w14:textId="77777777" w:rsidR="00FF1AC5" w:rsidRPr="00842CC8" w:rsidRDefault="00FF1AC5">
      <w:pPr>
        <w:rPr>
          <w:rFonts w:ascii="Times New Roman" w:hAnsi="Times New Roman" w:cs="Times New Roman"/>
          <w:sz w:val="24"/>
          <w:szCs w:val="24"/>
        </w:rPr>
      </w:pPr>
    </w:p>
    <w:p w14:paraId="735990C9" w14:textId="2A0302A0" w:rsidR="006E7ADB" w:rsidRPr="00842CC8" w:rsidRDefault="00842CC8">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6E7ADB" w:rsidRPr="00842CC8">
        <w:rPr>
          <w:rFonts w:ascii="Times New Roman" w:hAnsi="Times New Roman" w:cs="Times New Roman"/>
          <w:sz w:val="24"/>
          <w:szCs w:val="24"/>
        </w:rPr>
        <w:t>In this regard</w:t>
      </w:r>
      <w:r w:rsidR="00E55DF6" w:rsidRPr="00842CC8">
        <w:rPr>
          <w:rFonts w:ascii="Times New Roman" w:hAnsi="Times New Roman" w:cs="Times New Roman"/>
          <w:sz w:val="24"/>
          <w:szCs w:val="24"/>
        </w:rPr>
        <w:t xml:space="preserve"> he places very heavy reliance on the definition of the </w:t>
      </w:r>
      <w:r w:rsidR="00E55DF6" w:rsidRPr="00524D2C">
        <w:rPr>
          <w:rFonts w:ascii="Times New Roman" w:hAnsi="Times New Roman" w:cs="Times New Roman"/>
          <w:i/>
          <w:iCs/>
          <w:sz w:val="24"/>
          <w:szCs w:val="24"/>
        </w:rPr>
        <w:t>defendant</w:t>
      </w:r>
      <w:r w:rsidR="00E55DF6" w:rsidRPr="00842CC8">
        <w:rPr>
          <w:rFonts w:ascii="Times New Roman" w:hAnsi="Times New Roman" w:cs="Times New Roman"/>
          <w:sz w:val="24"/>
          <w:szCs w:val="24"/>
        </w:rPr>
        <w:t xml:space="preserve"> within the protocol at paragraph 10, as the “insurer”. Mr Mullen is several steps removed from the </w:t>
      </w:r>
      <w:r w:rsidR="00E55DF6" w:rsidRPr="00524D2C">
        <w:rPr>
          <w:rFonts w:ascii="Times New Roman" w:hAnsi="Times New Roman" w:cs="Times New Roman"/>
          <w:i/>
          <w:iCs/>
          <w:sz w:val="24"/>
          <w:szCs w:val="24"/>
        </w:rPr>
        <w:t>defendant</w:t>
      </w:r>
      <w:r w:rsidR="00E55DF6" w:rsidRPr="00842CC8">
        <w:rPr>
          <w:rFonts w:ascii="Times New Roman" w:hAnsi="Times New Roman" w:cs="Times New Roman"/>
          <w:sz w:val="24"/>
          <w:szCs w:val="24"/>
        </w:rPr>
        <w:t xml:space="preserve">, and would have had little input in the process by which the insurer of his employer (with a policy which he agreed covered him as the driver of the bus) was able to make admissions without any reference to him. Mr Dawes accepted that the court was not in possession of the insurance documentation which may have been disclosable material, but he submitted that an assumption </w:t>
      </w:r>
      <w:r w:rsidR="00524D2C">
        <w:rPr>
          <w:rFonts w:ascii="Times New Roman" w:hAnsi="Times New Roman" w:cs="Times New Roman"/>
          <w:sz w:val="24"/>
          <w:szCs w:val="24"/>
        </w:rPr>
        <w:t xml:space="preserve">could </w:t>
      </w:r>
      <w:r w:rsidR="00E55DF6" w:rsidRPr="00842CC8">
        <w:rPr>
          <w:rFonts w:ascii="Times New Roman" w:hAnsi="Times New Roman" w:cs="Times New Roman"/>
          <w:sz w:val="24"/>
          <w:szCs w:val="24"/>
        </w:rPr>
        <w:t>not made that authority</w:t>
      </w:r>
      <w:r w:rsidR="00524D2C">
        <w:rPr>
          <w:rFonts w:ascii="Times New Roman" w:hAnsi="Times New Roman" w:cs="Times New Roman"/>
          <w:sz w:val="24"/>
          <w:szCs w:val="24"/>
        </w:rPr>
        <w:t>,</w:t>
      </w:r>
      <w:r w:rsidR="00E55DF6" w:rsidRPr="00842CC8">
        <w:rPr>
          <w:rFonts w:ascii="Times New Roman" w:hAnsi="Times New Roman" w:cs="Times New Roman"/>
          <w:sz w:val="24"/>
          <w:szCs w:val="24"/>
        </w:rPr>
        <w:t xml:space="preserve"> whether actual or ostensible</w:t>
      </w:r>
      <w:r w:rsidR="00524D2C">
        <w:rPr>
          <w:rFonts w:ascii="Times New Roman" w:hAnsi="Times New Roman" w:cs="Times New Roman"/>
          <w:sz w:val="24"/>
          <w:szCs w:val="24"/>
        </w:rPr>
        <w:t>,</w:t>
      </w:r>
      <w:r w:rsidR="00E55DF6" w:rsidRPr="00842CC8">
        <w:rPr>
          <w:rFonts w:ascii="Times New Roman" w:hAnsi="Times New Roman" w:cs="Times New Roman"/>
          <w:sz w:val="24"/>
          <w:szCs w:val="24"/>
        </w:rPr>
        <w:t xml:space="preserve"> was given to the insurer to make admissions on behalf of Mr Mullen which might have binding on any claim relation to his uninsured losses. This was not based upon any analysis of agency or insurance law (</w:t>
      </w:r>
      <w:r w:rsidR="00FF1AC5" w:rsidRPr="00842CC8">
        <w:rPr>
          <w:rFonts w:ascii="Times New Roman" w:hAnsi="Times New Roman" w:cs="Times New Roman"/>
          <w:sz w:val="24"/>
          <w:szCs w:val="24"/>
        </w:rPr>
        <w:t>with Mr Dawes confessing that he had carefully researched the point and could find no obvious answer) but because Mr Mullen would not have been a party to the insurance contract.</w:t>
      </w:r>
    </w:p>
    <w:p w14:paraId="105EE4DA" w14:textId="77777777" w:rsidR="00FF1AC5" w:rsidRPr="00842CC8" w:rsidRDefault="00FF1AC5">
      <w:pPr>
        <w:rPr>
          <w:rFonts w:ascii="Times New Roman" w:hAnsi="Times New Roman" w:cs="Times New Roman"/>
          <w:sz w:val="24"/>
          <w:szCs w:val="24"/>
        </w:rPr>
      </w:pPr>
    </w:p>
    <w:p w14:paraId="32B4605E" w14:textId="0F792E78" w:rsidR="001350B9" w:rsidRPr="00842CC8" w:rsidRDefault="001B0BA5">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1350B9" w:rsidRPr="00842CC8">
        <w:rPr>
          <w:rFonts w:ascii="Times New Roman" w:hAnsi="Times New Roman" w:cs="Times New Roman"/>
          <w:sz w:val="24"/>
          <w:szCs w:val="24"/>
        </w:rPr>
        <w:t>The second ground represented his fallback position which was essentially that the protocol provided a self</w:t>
      </w:r>
      <w:r w:rsidR="00FF1AC5" w:rsidRPr="00842CC8">
        <w:rPr>
          <w:rFonts w:ascii="Times New Roman" w:hAnsi="Times New Roman" w:cs="Times New Roman"/>
          <w:sz w:val="24"/>
          <w:szCs w:val="24"/>
        </w:rPr>
        <w:t>-</w:t>
      </w:r>
      <w:r w:rsidR="001350B9" w:rsidRPr="00842CC8">
        <w:rPr>
          <w:rFonts w:ascii="Times New Roman" w:hAnsi="Times New Roman" w:cs="Times New Roman"/>
          <w:sz w:val="24"/>
          <w:szCs w:val="24"/>
        </w:rPr>
        <w:t>contained code, whereby what happened within the portal should stay within the portal and have no bearing on subsequent processes. Insofar as H</w:t>
      </w:r>
      <w:r w:rsidR="006E7ADB" w:rsidRPr="00842CC8">
        <w:rPr>
          <w:rFonts w:ascii="Times New Roman" w:hAnsi="Times New Roman" w:cs="Times New Roman"/>
          <w:sz w:val="24"/>
          <w:szCs w:val="24"/>
        </w:rPr>
        <w:t>is Honour</w:t>
      </w:r>
      <w:r w:rsidR="001350B9" w:rsidRPr="00842CC8">
        <w:rPr>
          <w:rFonts w:ascii="Times New Roman" w:hAnsi="Times New Roman" w:cs="Times New Roman"/>
          <w:sz w:val="24"/>
          <w:szCs w:val="24"/>
        </w:rPr>
        <w:t xml:space="preserve"> </w:t>
      </w:r>
      <w:r w:rsidR="006E7ADB" w:rsidRPr="00842CC8">
        <w:rPr>
          <w:rFonts w:ascii="Times New Roman" w:hAnsi="Times New Roman" w:cs="Times New Roman"/>
          <w:sz w:val="24"/>
          <w:szCs w:val="24"/>
        </w:rPr>
        <w:t>J</w:t>
      </w:r>
      <w:r w:rsidR="001350B9" w:rsidRPr="00842CC8">
        <w:rPr>
          <w:rFonts w:ascii="Times New Roman" w:hAnsi="Times New Roman" w:cs="Times New Roman"/>
          <w:sz w:val="24"/>
          <w:szCs w:val="24"/>
        </w:rPr>
        <w:t xml:space="preserve">udge </w:t>
      </w:r>
      <w:proofErr w:type="spellStart"/>
      <w:r w:rsidR="001350B9" w:rsidRPr="00842CC8">
        <w:rPr>
          <w:rFonts w:ascii="Times New Roman" w:hAnsi="Times New Roman" w:cs="Times New Roman"/>
          <w:sz w:val="24"/>
          <w:szCs w:val="24"/>
        </w:rPr>
        <w:t>Simpkiss</w:t>
      </w:r>
      <w:proofErr w:type="spellEnd"/>
      <w:r w:rsidR="001350B9" w:rsidRPr="00842CC8">
        <w:rPr>
          <w:rFonts w:ascii="Times New Roman" w:hAnsi="Times New Roman" w:cs="Times New Roman"/>
          <w:sz w:val="24"/>
          <w:szCs w:val="24"/>
        </w:rPr>
        <w:t xml:space="preserve"> </w:t>
      </w:r>
      <w:r w:rsidR="006E7ADB" w:rsidRPr="00842CC8">
        <w:rPr>
          <w:rFonts w:ascii="Times New Roman" w:hAnsi="Times New Roman" w:cs="Times New Roman"/>
          <w:sz w:val="24"/>
          <w:szCs w:val="24"/>
        </w:rPr>
        <w:t>purported</w:t>
      </w:r>
      <w:r w:rsidR="001350B9" w:rsidRPr="00842CC8">
        <w:rPr>
          <w:rFonts w:ascii="Times New Roman" w:hAnsi="Times New Roman" w:cs="Times New Roman"/>
          <w:sz w:val="24"/>
          <w:szCs w:val="24"/>
        </w:rPr>
        <w:t xml:space="preserve"> to apply the common law to the portal procedure in relation to admissions said to be binding, he was wrong to do so, and other judges have approached this concept in a different way, not least His Honour Judge Parker in Liverpool, in the case o</w:t>
      </w:r>
      <w:r w:rsidR="006E7ADB" w:rsidRPr="00842CC8">
        <w:rPr>
          <w:rFonts w:ascii="Times New Roman" w:hAnsi="Times New Roman" w:cs="Times New Roman"/>
          <w:sz w:val="24"/>
          <w:szCs w:val="24"/>
        </w:rPr>
        <w:t xml:space="preserve">f </w:t>
      </w:r>
      <w:r w:rsidR="006E7ADB" w:rsidRPr="00842CC8">
        <w:rPr>
          <w:rFonts w:ascii="Times New Roman" w:hAnsi="Times New Roman" w:cs="Times New Roman"/>
          <w:b/>
          <w:bCs/>
          <w:sz w:val="24"/>
          <w:szCs w:val="24"/>
        </w:rPr>
        <w:t xml:space="preserve">Fitton v </w:t>
      </w:r>
      <w:proofErr w:type="spellStart"/>
      <w:r w:rsidR="006E7ADB" w:rsidRPr="00842CC8">
        <w:rPr>
          <w:rFonts w:ascii="Times New Roman" w:hAnsi="Times New Roman" w:cs="Times New Roman"/>
          <w:b/>
          <w:bCs/>
          <w:sz w:val="24"/>
          <w:szCs w:val="24"/>
        </w:rPr>
        <w:t>Aegeas</w:t>
      </w:r>
      <w:proofErr w:type="spellEnd"/>
      <w:r w:rsidR="00615AC0">
        <w:rPr>
          <w:rFonts w:ascii="Times New Roman" w:hAnsi="Times New Roman" w:cs="Times New Roman"/>
          <w:b/>
          <w:bCs/>
          <w:sz w:val="24"/>
          <w:szCs w:val="24"/>
        </w:rPr>
        <w:t xml:space="preserve"> (</w:t>
      </w:r>
      <w:r w:rsidR="00615AC0" w:rsidRPr="00615AC0">
        <w:rPr>
          <w:rFonts w:ascii="Times New Roman" w:hAnsi="Times New Roman" w:cs="Times New Roman"/>
          <w:b/>
          <w:bCs/>
          <w:i/>
          <w:iCs/>
          <w:sz w:val="24"/>
          <w:szCs w:val="24"/>
        </w:rPr>
        <w:t>Liverpool CC 08.11.18</w:t>
      </w:r>
      <w:r w:rsidR="00615AC0">
        <w:rPr>
          <w:rFonts w:ascii="Times New Roman" w:hAnsi="Times New Roman" w:cs="Times New Roman"/>
          <w:b/>
          <w:bCs/>
          <w:sz w:val="24"/>
          <w:szCs w:val="24"/>
        </w:rPr>
        <w:t>)</w:t>
      </w:r>
      <w:r w:rsidR="001350B9" w:rsidRPr="00842CC8">
        <w:rPr>
          <w:rFonts w:ascii="Times New Roman" w:hAnsi="Times New Roman" w:cs="Times New Roman"/>
          <w:sz w:val="24"/>
          <w:szCs w:val="24"/>
        </w:rPr>
        <w:t xml:space="preserve"> who found that common law mistake </w:t>
      </w:r>
      <w:r w:rsidR="006E7ADB" w:rsidRPr="00842CC8">
        <w:rPr>
          <w:rFonts w:ascii="Times New Roman" w:hAnsi="Times New Roman" w:cs="Times New Roman"/>
          <w:sz w:val="24"/>
          <w:szCs w:val="24"/>
        </w:rPr>
        <w:t xml:space="preserve">had </w:t>
      </w:r>
      <w:r w:rsidR="001350B9" w:rsidRPr="00842CC8">
        <w:rPr>
          <w:rFonts w:ascii="Times New Roman" w:hAnsi="Times New Roman" w:cs="Times New Roman"/>
          <w:sz w:val="24"/>
          <w:szCs w:val="24"/>
        </w:rPr>
        <w:t>no application in the context of the portal.</w:t>
      </w:r>
    </w:p>
    <w:p w14:paraId="72D62D45" w14:textId="1D939659" w:rsidR="001350B9" w:rsidRPr="00842CC8" w:rsidRDefault="001350B9">
      <w:pPr>
        <w:rPr>
          <w:rFonts w:ascii="Times New Roman" w:hAnsi="Times New Roman" w:cs="Times New Roman"/>
          <w:sz w:val="24"/>
          <w:szCs w:val="24"/>
        </w:rPr>
      </w:pPr>
    </w:p>
    <w:p w14:paraId="41FB858F" w14:textId="006D4C3A" w:rsidR="001350B9" w:rsidRPr="00842CC8" w:rsidRDefault="001B0BA5">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1350B9" w:rsidRPr="00842CC8">
        <w:rPr>
          <w:rFonts w:ascii="Times New Roman" w:hAnsi="Times New Roman" w:cs="Times New Roman"/>
          <w:sz w:val="24"/>
          <w:szCs w:val="24"/>
        </w:rPr>
        <w:t>Otherwise he acknowledged that first instance decisions, particularly from district judges</w:t>
      </w:r>
      <w:r>
        <w:rPr>
          <w:rFonts w:ascii="Times New Roman" w:hAnsi="Times New Roman" w:cs="Times New Roman"/>
          <w:sz w:val="24"/>
          <w:szCs w:val="24"/>
        </w:rPr>
        <w:t>,</w:t>
      </w:r>
      <w:r w:rsidR="006E7ADB" w:rsidRPr="00842CC8">
        <w:rPr>
          <w:rFonts w:ascii="Times New Roman" w:hAnsi="Times New Roman" w:cs="Times New Roman"/>
          <w:sz w:val="24"/>
          <w:szCs w:val="24"/>
        </w:rPr>
        <w:t xml:space="preserve"> had</w:t>
      </w:r>
      <w:r w:rsidR="001350B9" w:rsidRPr="00842CC8">
        <w:rPr>
          <w:rFonts w:ascii="Times New Roman" w:hAnsi="Times New Roman" w:cs="Times New Roman"/>
          <w:sz w:val="24"/>
          <w:szCs w:val="24"/>
        </w:rPr>
        <w:t xml:space="preserve"> arrived at different conclusions, and that this was generally an unsettled area of law. He demonstrated the difficulty which a claimant faced where his insurer, unbeknown to him, had made an admission in a protocol claim brought by the third party</w:t>
      </w:r>
      <w:r w:rsidR="00AA4442" w:rsidRPr="00842CC8">
        <w:rPr>
          <w:rFonts w:ascii="Times New Roman" w:hAnsi="Times New Roman" w:cs="Times New Roman"/>
          <w:sz w:val="24"/>
          <w:szCs w:val="24"/>
        </w:rPr>
        <w:t xml:space="preserve"> if when pursuing his own claim he subsequently sought to resile from the same, by reference to the wording in CPR 14.1B. This did not provide a vehicle for such an application because he was not a defendant but a claimant seeking to resile from an admission purportedly made on his behalf.</w:t>
      </w:r>
      <w:r w:rsidR="006E7ADB" w:rsidRPr="00842CC8">
        <w:rPr>
          <w:rFonts w:ascii="Times New Roman" w:hAnsi="Times New Roman" w:cs="Times New Roman"/>
          <w:sz w:val="24"/>
          <w:szCs w:val="24"/>
        </w:rPr>
        <w:t xml:space="preserve"> It did not appear to be an issue </w:t>
      </w:r>
      <w:r>
        <w:rPr>
          <w:rFonts w:ascii="Times New Roman" w:hAnsi="Times New Roman" w:cs="Times New Roman"/>
          <w:sz w:val="24"/>
          <w:szCs w:val="24"/>
        </w:rPr>
        <w:t xml:space="preserve">that </w:t>
      </w:r>
      <w:r w:rsidR="006E7ADB" w:rsidRPr="00842CC8">
        <w:rPr>
          <w:rFonts w:ascii="Times New Roman" w:hAnsi="Times New Roman" w:cs="Times New Roman"/>
          <w:sz w:val="24"/>
          <w:szCs w:val="24"/>
        </w:rPr>
        <w:t>Mr Mullen was not in a position to withdraw the admission.</w:t>
      </w:r>
    </w:p>
    <w:p w14:paraId="45C2A7C9" w14:textId="57ABAAAD" w:rsidR="00AA4442" w:rsidRPr="00842CC8" w:rsidRDefault="00AA4442">
      <w:pPr>
        <w:rPr>
          <w:rFonts w:ascii="Times New Roman" w:hAnsi="Times New Roman" w:cs="Times New Roman"/>
          <w:sz w:val="24"/>
          <w:szCs w:val="24"/>
        </w:rPr>
      </w:pPr>
    </w:p>
    <w:p w14:paraId="6FBF94D3" w14:textId="3396CD5A" w:rsidR="00AA4442" w:rsidRPr="00842CC8" w:rsidRDefault="001B0BA5">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AA4442" w:rsidRPr="00842CC8">
        <w:rPr>
          <w:rFonts w:ascii="Times New Roman" w:hAnsi="Times New Roman" w:cs="Times New Roman"/>
          <w:sz w:val="24"/>
          <w:szCs w:val="24"/>
        </w:rPr>
        <w:t xml:space="preserve">Mr Dawes accepted that the insurance documentation </w:t>
      </w:r>
      <w:r>
        <w:rPr>
          <w:rFonts w:ascii="Times New Roman" w:hAnsi="Times New Roman" w:cs="Times New Roman"/>
          <w:sz w:val="24"/>
          <w:szCs w:val="24"/>
        </w:rPr>
        <w:t xml:space="preserve">was </w:t>
      </w:r>
      <w:r w:rsidR="00AA4442" w:rsidRPr="00842CC8">
        <w:rPr>
          <w:rFonts w:ascii="Times New Roman" w:hAnsi="Times New Roman" w:cs="Times New Roman"/>
          <w:sz w:val="24"/>
          <w:szCs w:val="24"/>
        </w:rPr>
        <w:t>not disclosed by his instructing solicitors, and therefore it was not possible to drill down into the detail of the contractual arrangements, but this court, he submitted, could not infer whether by judicial notice or otherwise</w:t>
      </w:r>
      <w:r>
        <w:rPr>
          <w:rFonts w:ascii="Times New Roman" w:hAnsi="Times New Roman" w:cs="Times New Roman"/>
          <w:sz w:val="24"/>
          <w:szCs w:val="24"/>
        </w:rPr>
        <w:t xml:space="preserve"> what might have bene the position in relation to authority.</w:t>
      </w:r>
    </w:p>
    <w:p w14:paraId="6176ACC0" w14:textId="77777777" w:rsidR="00765E25" w:rsidRPr="00842CC8" w:rsidRDefault="00765E25">
      <w:pPr>
        <w:rPr>
          <w:rFonts w:ascii="Times New Roman" w:hAnsi="Times New Roman" w:cs="Times New Roman"/>
          <w:sz w:val="24"/>
          <w:szCs w:val="24"/>
        </w:rPr>
      </w:pPr>
    </w:p>
    <w:p w14:paraId="1F38D3B1" w14:textId="72E68F20" w:rsidR="00765E25" w:rsidRPr="00842CC8" w:rsidRDefault="001B0BA5">
      <w:pPr>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FF1AC5" w:rsidRPr="00842CC8">
        <w:rPr>
          <w:rFonts w:ascii="Times New Roman" w:hAnsi="Times New Roman" w:cs="Times New Roman"/>
          <w:sz w:val="24"/>
          <w:szCs w:val="24"/>
        </w:rPr>
        <w:t xml:space="preserve">On behalf of the </w:t>
      </w:r>
      <w:r>
        <w:rPr>
          <w:rFonts w:ascii="Times New Roman" w:hAnsi="Times New Roman" w:cs="Times New Roman"/>
          <w:sz w:val="24"/>
          <w:szCs w:val="24"/>
        </w:rPr>
        <w:t>R</w:t>
      </w:r>
      <w:r w:rsidR="00FF1AC5" w:rsidRPr="00842CC8">
        <w:rPr>
          <w:rFonts w:ascii="Times New Roman" w:hAnsi="Times New Roman" w:cs="Times New Roman"/>
          <w:sz w:val="24"/>
          <w:szCs w:val="24"/>
        </w:rPr>
        <w:t xml:space="preserve">espondent, Ms Sarah Robson of counsel provided both oral and written submissions. She invited the court to consider not only the admission within the portal made by Mr Mullen’s insurance company, but also the </w:t>
      </w:r>
      <w:r w:rsidR="00D47CFC" w:rsidRPr="00842CC8">
        <w:rPr>
          <w:rFonts w:ascii="Times New Roman" w:hAnsi="Times New Roman" w:cs="Times New Roman"/>
          <w:sz w:val="24"/>
          <w:szCs w:val="24"/>
        </w:rPr>
        <w:t xml:space="preserve">earlier indication in correspondence that liability would not </w:t>
      </w:r>
      <w:r w:rsidR="00615AC0">
        <w:rPr>
          <w:rFonts w:ascii="Times New Roman" w:hAnsi="Times New Roman" w:cs="Times New Roman"/>
          <w:sz w:val="24"/>
          <w:szCs w:val="24"/>
        </w:rPr>
        <w:t xml:space="preserve">be </w:t>
      </w:r>
      <w:r w:rsidR="00D47CFC" w:rsidRPr="00842CC8">
        <w:rPr>
          <w:rFonts w:ascii="Times New Roman" w:hAnsi="Times New Roman" w:cs="Times New Roman"/>
          <w:sz w:val="24"/>
          <w:szCs w:val="24"/>
        </w:rPr>
        <w:t xml:space="preserve">disputed, although it was accepted that this was </w:t>
      </w:r>
      <w:r w:rsidR="00D47CFC" w:rsidRPr="00842CC8">
        <w:rPr>
          <w:rFonts w:ascii="Times New Roman" w:hAnsi="Times New Roman" w:cs="Times New Roman"/>
          <w:sz w:val="24"/>
          <w:szCs w:val="24"/>
        </w:rPr>
        <w:lastRenderedPageBreak/>
        <w:t>not referred to by the deputy judge. Either would have provided a basis for striking out the claim, but notably practice direction PD8B</w:t>
      </w:r>
      <w:r>
        <w:rPr>
          <w:rFonts w:ascii="Times New Roman" w:hAnsi="Times New Roman" w:cs="Times New Roman"/>
          <w:sz w:val="24"/>
          <w:szCs w:val="24"/>
        </w:rPr>
        <w:t xml:space="preserve"> </w:t>
      </w:r>
      <w:r w:rsidR="00D47CFC" w:rsidRPr="00842CC8">
        <w:rPr>
          <w:rFonts w:ascii="Times New Roman" w:hAnsi="Times New Roman" w:cs="Times New Roman"/>
          <w:sz w:val="24"/>
          <w:szCs w:val="24"/>
        </w:rPr>
        <w:t>0 specifically identified protocol admissions as pre-action admissions for the purposes of CPR part 14, and the regime which applied therein. She accepted, however, that it would not have been open to the claimant Mr Mullen to utilise 14.1B to withdraw the admission, because he was not the defendant within the present proceedings.</w:t>
      </w:r>
    </w:p>
    <w:p w14:paraId="6F2D013A" w14:textId="2C94FE2A" w:rsidR="00D47CFC" w:rsidRPr="00842CC8" w:rsidRDefault="00D47CFC">
      <w:pPr>
        <w:rPr>
          <w:rFonts w:ascii="Times New Roman" w:hAnsi="Times New Roman" w:cs="Times New Roman"/>
          <w:sz w:val="24"/>
          <w:szCs w:val="24"/>
        </w:rPr>
      </w:pPr>
    </w:p>
    <w:p w14:paraId="6AE760E7" w14:textId="514EF25C" w:rsidR="00D47CFC" w:rsidRPr="00842CC8" w:rsidRDefault="001B0BA5">
      <w:pPr>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D47CFC" w:rsidRPr="00842CC8">
        <w:rPr>
          <w:rFonts w:ascii="Times New Roman" w:hAnsi="Times New Roman" w:cs="Times New Roman"/>
          <w:sz w:val="24"/>
          <w:szCs w:val="24"/>
        </w:rPr>
        <w:t>Otherwise, in relation to the first ground of appeal, she emphasised that the definition of defendant within the protocol was not limited to the insurer, but specified “</w:t>
      </w:r>
      <w:r w:rsidR="00D47CFC" w:rsidRPr="00842CC8">
        <w:rPr>
          <w:rFonts w:ascii="Times New Roman" w:hAnsi="Times New Roman" w:cs="Times New Roman"/>
          <w:i/>
          <w:iCs/>
          <w:sz w:val="24"/>
          <w:szCs w:val="24"/>
        </w:rPr>
        <w:t xml:space="preserve">the insurer of the </w:t>
      </w:r>
      <w:r w:rsidR="00D47CFC" w:rsidRPr="00842CC8">
        <w:rPr>
          <w:rFonts w:ascii="Times New Roman" w:hAnsi="Times New Roman" w:cs="Times New Roman"/>
          <w:i/>
          <w:iCs/>
          <w:sz w:val="24"/>
          <w:szCs w:val="24"/>
          <w:u w:val="single"/>
        </w:rPr>
        <w:t>person subject to the claim</w:t>
      </w:r>
      <w:r w:rsidR="00D47CFC" w:rsidRPr="00842CC8">
        <w:rPr>
          <w:rFonts w:ascii="Times New Roman" w:hAnsi="Times New Roman" w:cs="Times New Roman"/>
          <w:sz w:val="24"/>
          <w:szCs w:val="24"/>
        </w:rPr>
        <w:t xml:space="preserve">” and it was manifest that this could refer to no person other than Mr Mullen. Further, an insurer did not owe a duty of care in relation to the use of the vehicle and this was personal to the claimant, who was the road user. This provided a complete answer, submitted counsel, to the </w:t>
      </w:r>
      <w:r>
        <w:rPr>
          <w:rFonts w:ascii="Times New Roman" w:hAnsi="Times New Roman" w:cs="Times New Roman"/>
          <w:sz w:val="24"/>
          <w:szCs w:val="24"/>
        </w:rPr>
        <w:t>C</w:t>
      </w:r>
      <w:r w:rsidR="00D47CFC" w:rsidRPr="00842CC8">
        <w:rPr>
          <w:rFonts w:ascii="Times New Roman" w:hAnsi="Times New Roman" w:cs="Times New Roman"/>
          <w:sz w:val="24"/>
          <w:szCs w:val="24"/>
        </w:rPr>
        <w:t xml:space="preserve">laimant’s argument that the defendant should be considered a person other than Mr Mullen within the protocol claim brought by Mr </w:t>
      </w:r>
      <w:proofErr w:type="spellStart"/>
      <w:r w:rsidR="00D47CFC" w:rsidRPr="00842CC8">
        <w:rPr>
          <w:rFonts w:ascii="Times New Roman" w:hAnsi="Times New Roman" w:cs="Times New Roman"/>
          <w:sz w:val="24"/>
          <w:szCs w:val="24"/>
        </w:rPr>
        <w:t>Taimoree</w:t>
      </w:r>
      <w:proofErr w:type="spellEnd"/>
      <w:r w:rsidR="00D47CFC" w:rsidRPr="00842CC8">
        <w:rPr>
          <w:rFonts w:ascii="Times New Roman" w:hAnsi="Times New Roman" w:cs="Times New Roman"/>
          <w:sz w:val="24"/>
          <w:szCs w:val="24"/>
        </w:rPr>
        <w:t>.</w:t>
      </w:r>
    </w:p>
    <w:p w14:paraId="04F772D0" w14:textId="23FC576D" w:rsidR="00D47CFC" w:rsidRPr="00842CC8" w:rsidRDefault="00D47CFC">
      <w:pPr>
        <w:rPr>
          <w:rFonts w:ascii="Times New Roman" w:hAnsi="Times New Roman" w:cs="Times New Roman"/>
          <w:sz w:val="24"/>
          <w:szCs w:val="24"/>
        </w:rPr>
      </w:pPr>
    </w:p>
    <w:p w14:paraId="22B2BD7A" w14:textId="031677D8" w:rsidR="00D47CFC" w:rsidRPr="00842CC8" w:rsidRDefault="001B0BA5">
      <w:pPr>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D47CFC" w:rsidRPr="00842CC8">
        <w:rPr>
          <w:rFonts w:ascii="Times New Roman" w:hAnsi="Times New Roman" w:cs="Times New Roman"/>
          <w:sz w:val="24"/>
          <w:szCs w:val="24"/>
        </w:rPr>
        <w:t xml:space="preserve">In respect of the second limb of the appeal, </w:t>
      </w:r>
      <w:r w:rsidR="00615AC0">
        <w:rPr>
          <w:rFonts w:ascii="Times New Roman" w:hAnsi="Times New Roman" w:cs="Times New Roman"/>
          <w:sz w:val="24"/>
          <w:szCs w:val="24"/>
        </w:rPr>
        <w:t xml:space="preserve">Ms Robson </w:t>
      </w:r>
      <w:r w:rsidR="00D47CFC" w:rsidRPr="00842CC8">
        <w:rPr>
          <w:rFonts w:ascii="Times New Roman" w:hAnsi="Times New Roman" w:cs="Times New Roman"/>
          <w:sz w:val="24"/>
          <w:szCs w:val="24"/>
        </w:rPr>
        <w:t>placed significant reliance upon</w:t>
      </w:r>
      <w:r w:rsidR="00560B4B" w:rsidRPr="00842CC8">
        <w:rPr>
          <w:rFonts w:ascii="Times New Roman" w:hAnsi="Times New Roman" w:cs="Times New Roman"/>
          <w:sz w:val="24"/>
          <w:szCs w:val="24"/>
        </w:rPr>
        <w:t xml:space="preserve"> the decision of His Honour Judge </w:t>
      </w:r>
      <w:proofErr w:type="spellStart"/>
      <w:r w:rsidR="00560B4B" w:rsidRPr="00842CC8">
        <w:rPr>
          <w:rFonts w:ascii="Times New Roman" w:hAnsi="Times New Roman" w:cs="Times New Roman"/>
          <w:sz w:val="24"/>
          <w:szCs w:val="24"/>
        </w:rPr>
        <w:t>Simpkiss</w:t>
      </w:r>
      <w:proofErr w:type="spellEnd"/>
      <w:r w:rsidR="00560B4B" w:rsidRPr="00842CC8">
        <w:rPr>
          <w:rFonts w:ascii="Times New Roman" w:hAnsi="Times New Roman" w:cs="Times New Roman"/>
          <w:sz w:val="24"/>
          <w:szCs w:val="24"/>
        </w:rPr>
        <w:t xml:space="preserve"> in </w:t>
      </w:r>
      <w:proofErr w:type="spellStart"/>
      <w:r w:rsidR="00560B4B" w:rsidRPr="001B0BA5">
        <w:rPr>
          <w:rFonts w:ascii="Times New Roman" w:hAnsi="Times New Roman" w:cs="Times New Roman"/>
          <w:b/>
          <w:bCs/>
          <w:sz w:val="24"/>
          <w:szCs w:val="24"/>
        </w:rPr>
        <w:t>Chibwana</w:t>
      </w:r>
      <w:proofErr w:type="spellEnd"/>
      <w:r w:rsidR="00560B4B" w:rsidRPr="00842CC8">
        <w:rPr>
          <w:rFonts w:ascii="Times New Roman" w:hAnsi="Times New Roman" w:cs="Times New Roman"/>
          <w:sz w:val="24"/>
          <w:szCs w:val="24"/>
        </w:rPr>
        <w:t xml:space="preserve">, though she accepted this court was not bound to follow it, but to find it of persuasive force, in that the facts were virtually identical, and the same issues arose even to the point </w:t>
      </w:r>
      <w:r>
        <w:rPr>
          <w:rFonts w:ascii="Times New Roman" w:hAnsi="Times New Roman" w:cs="Times New Roman"/>
          <w:sz w:val="24"/>
          <w:szCs w:val="24"/>
        </w:rPr>
        <w:t xml:space="preserve">that </w:t>
      </w:r>
      <w:r w:rsidR="00560B4B" w:rsidRPr="00842CC8">
        <w:rPr>
          <w:rFonts w:ascii="Times New Roman" w:hAnsi="Times New Roman" w:cs="Times New Roman"/>
          <w:sz w:val="24"/>
          <w:szCs w:val="24"/>
        </w:rPr>
        <w:t>the judge in that case did not have any evidence of the insurance position, and properly concluded on an agency point (which did not specifically arise here) that there was no error in the first instance decision of the district judge that the insurer had authority to bind the insured defendant within the portal claim. Ms Robson sought to demonstrate that the approach taken by HHJ Simpkiss was a sound one and his conclusion was clearly followed by DDJ C</w:t>
      </w:r>
      <w:r>
        <w:rPr>
          <w:rFonts w:ascii="Times New Roman" w:hAnsi="Times New Roman" w:cs="Times New Roman"/>
          <w:sz w:val="24"/>
          <w:szCs w:val="24"/>
        </w:rPr>
        <w:t>aus</w:t>
      </w:r>
      <w:r w:rsidR="00560B4B" w:rsidRPr="00842CC8">
        <w:rPr>
          <w:rFonts w:ascii="Times New Roman" w:hAnsi="Times New Roman" w:cs="Times New Roman"/>
          <w:sz w:val="24"/>
          <w:szCs w:val="24"/>
        </w:rPr>
        <w:t xml:space="preserve">ton </w:t>
      </w:r>
      <w:r>
        <w:rPr>
          <w:rFonts w:ascii="Times New Roman" w:hAnsi="Times New Roman" w:cs="Times New Roman"/>
          <w:sz w:val="24"/>
          <w:szCs w:val="24"/>
        </w:rPr>
        <w:t xml:space="preserve">in </w:t>
      </w:r>
      <w:r w:rsidR="00560B4B" w:rsidRPr="00842CC8">
        <w:rPr>
          <w:rFonts w:ascii="Times New Roman" w:hAnsi="Times New Roman" w:cs="Times New Roman"/>
          <w:sz w:val="24"/>
          <w:szCs w:val="24"/>
        </w:rPr>
        <w:t xml:space="preserve">the present case. Insofar as a discretion was exercised by </w:t>
      </w:r>
      <w:r>
        <w:rPr>
          <w:rFonts w:ascii="Times New Roman" w:hAnsi="Times New Roman" w:cs="Times New Roman"/>
          <w:sz w:val="24"/>
          <w:szCs w:val="24"/>
        </w:rPr>
        <w:t xml:space="preserve">the </w:t>
      </w:r>
      <w:r w:rsidR="00560B4B" w:rsidRPr="00842CC8">
        <w:rPr>
          <w:rFonts w:ascii="Times New Roman" w:hAnsi="Times New Roman" w:cs="Times New Roman"/>
          <w:sz w:val="24"/>
          <w:szCs w:val="24"/>
        </w:rPr>
        <w:t>deputy district judge, it was a within the reasonable ambit of that discretion to preclude any interference by an appellate court.</w:t>
      </w:r>
    </w:p>
    <w:p w14:paraId="4CDBA7D6" w14:textId="21C2A3D8" w:rsidR="00560B4B" w:rsidRPr="00842CC8" w:rsidRDefault="00560B4B">
      <w:pPr>
        <w:rPr>
          <w:rFonts w:ascii="Times New Roman" w:hAnsi="Times New Roman" w:cs="Times New Roman"/>
          <w:sz w:val="24"/>
          <w:szCs w:val="24"/>
        </w:rPr>
      </w:pPr>
    </w:p>
    <w:p w14:paraId="43146CE9" w14:textId="03B17843" w:rsidR="00560B4B" w:rsidRPr="00842CC8" w:rsidRDefault="001B0BA5">
      <w:pPr>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560B4B" w:rsidRPr="00842CC8">
        <w:rPr>
          <w:rFonts w:ascii="Times New Roman" w:hAnsi="Times New Roman" w:cs="Times New Roman"/>
          <w:sz w:val="24"/>
          <w:szCs w:val="24"/>
        </w:rPr>
        <w:t>In respect of wider policy considerations, Ms Robson made reference to the difficulties which would arise in the event that an insured defendant was not bound by an admission, so as to bring a subsequent claim for his own uninsured losses. These were twofold. First, the efficacy of the RTA protocol would be seriously undermined, because following an admission of liability within 15 days (the period allowed for the response) a portal claimant would no longer investigate the circumstances of an accident, including the gathering of witnesses, and the retaining of contemporaneous evidence in the light of the implied assurance that this was unnecessary, which could cause serious prejudice</w:t>
      </w:r>
      <w:r w:rsidR="007D262E" w:rsidRPr="00842CC8">
        <w:rPr>
          <w:rFonts w:ascii="Times New Roman" w:hAnsi="Times New Roman" w:cs="Times New Roman"/>
          <w:sz w:val="24"/>
          <w:szCs w:val="24"/>
        </w:rPr>
        <w:t xml:space="preserve"> in the event that the question of liability was subsequently reopened. Second, it would lead to the inconsistency of decisions, even if the settlement of a portal claim would not classify as a judicial decision as such. The insured defendant could subsequently pursue his claim through part </w:t>
      </w:r>
      <w:r>
        <w:rPr>
          <w:rFonts w:ascii="Times New Roman" w:hAnsi="Times New Roman" w:cs="Times New Roman"/>
          <w:sz w:val="24"/>
          <w:szCs w:val="24"/>
        </w:rPr>
        <w:t>7</w:t>
      </w:r>
      <w:r w:rsidR="007D262E" w:rsidRPr="00842CC8">
        <w:rPr>
          <w:rFonts w:ascii="Times New Roman" w:hAnsi="Times New Roman" w:cs="Times New Roman"/>
          <w:sz w:val="24"/>
          <w:szCs w:val="24"/>
        </w:rPr>
        <w:t xml:space="preserve"> proceedings and obtain a result which was at odds with the portal settlement, thus giving rise to great uncertainty for the purposes of the claims history for any insured person. This could not have been intended by either the protocol, the purpose of which was to provide almost comprehensive resolution of claims on admissions of liability, or the CPR, and in particular the overriding objective.</w:t>
      </w:r>
    </w:p>
    <w:p w14:paraId="7A4FF719" w14:textId="77777777" w:rsidR="00FF1AC5" w:rsidRPr="00842CC8" w:rsidRDefault="00FF1AC5">
      <w:pPr>
        <w:rPr>
          <w:rFonts w:ascii="Times New Roman" w:hAnsi="Times New Roman" w:cs="Times New Roman"/>
          <w:sz w:val="24"/>
          <w:szCs w:val="24"/>
        </w:rPr>
      </w:pPr>
    </w:p>
    <w:p w14:paraId="41643D07" w14:textId="5C564818" w:rsidR="00826D67" w:rsidRPr="00842CC8" w:rsidRDefault="00826D67">
      <w:pPr>
        <w:rPr>
          <w:rFonts w:ascii="Times New Roman" w:hAnsi="Times New Roman" w:cs="Times New Roman"/>
          <w:b/>
          <w:bCs/>
          <w:sz w:val="24"/>
          <w:szCs w:val="24"/>
          <w:u w:val="single"/>
        </w:rPr>
      </w:pPr>
      <w:r w:rsidRPr="00842CC8">
        <w:rPr>
          <w:rFonts w:ascii="Times New Roman" w:hAnsi="Times New Roman" w:cs="Times New Roman"/>
          <w:b/>
          <w:bCs/>
          <w:sz w:val="24"/>
          <w:szCs w:val="24"/>
          <w:u w:val="single"/>
        </w:rPr>
        <w:t>Di</w:t>
      </w:r>
      <w:r w:rsidR="00FF1AC5" w:rsidRPr="00842CC8">
        <w:rPr>
          <w:rFonts w:ascii="Times New Roman" w:hAnsi="Times New Roman" w:cs="Times New Roman"/>
          <w:b/>
          <w:bCs/>
          <w:sz w:val="24"/>
          <w:szCs w:val="24"/>
          <w:u w:val="single"/>
        </w:rPr>
        <w:t>scussion</w:t>
      </w:r>
    </w:p>
    <w:p w14:paraId="65A5FC6C" w14:textId="0B147863" w:rsidR="00961785" w:rsidRPr="00842CC8" w:rsidRDefault="00961785">
      <w:pPr>
        <w:rPr>
          <w:rFonts w:ascii="Times New Roman" w:hAnsi="Times New Roman" w:cs="Times New Roman"/>
          <w:sz w:val="24"/>
          <w:szCs w:val="24"/>
        </w:rPr>
      </w:pPr>
    </w:p>
    <w:p w14:paraId="2B5B24F7" w14:textId="69149DB2" w:rsidR="007D262E" w:rsidRPr="00842CC8" w:rsidRDefault="001B0BA5">
      <w:pPr>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7D262E" w:rsidRPr="00842CC8">
        <w:rPr>
          <w:rFonts w:ascii="Times New Roman" w:hAnsi="Times New Roman" w:cs="Times New Roman"/>
          <w:sz w:val="24"/>
          <w:szCs w:val="24"/>
        </w:rPr>
        <w:t xml:space="preserve">I start by acknowledging that there is an apparent unfairness if the procedures that are put in place to allow for the swift and efficient resolution of personal injury claims and uninsured losses (it being noted that </w:t>
      </w:r>
      <w:r w:rsidR="00A366B2" w:rsidRPr="00842CC8">
        <w:rPr>
          <w:rFonts w:ascii="Times New Roman" w:hAnsi="Times New Roman" w:cs="Times New Roman"/>
          <w:sz w:val="24"/>
          <w:szCs w:val="24"/>
        </w:rPr>
        <w:t xml:space="preserve">the </w:t>
      </w:r>
      <w:r w:rsidR="007D262E" w:rsidRPr="00842CC8">
        <w:rPr>
          <w:rFonts w:ascii="Times New Roman" w:hAnsi="Times New Roman" w:cs="Times New Roman"/>
          <w:sz w:val="24"/>
          <w:szCs w:val="24"/>
        </w:rPr>
        <w:t>protocol is not intended to enable opposing insurance companies to resolve the incidence of insured loss) could result in two apparently injured drivers making separate claims against each other within the portal with no knowledge of the other, and leaving their insurers to make admissions contrary to their interests. It is clear that in such circumstances the use of the portal would not be appropriate, because liability is not accepted by either driver if they have a perceived claim for damages for personal injury. The</w:t>
      </w:r>
      <w:r w:rsidR="0090006B" w:rsidRPr="00842CC8">
        <w:rPr>
          <w:rFonts w:ascii="Times New Roman" w:hAnsi="Times New Roman" w:cs="Times New Roman"/>
          <w:sz w:val="24"/>
          <w:szCs w:val="24"/>
        </w:rPr>
        <w:t>re is an argument that the</w:t>
      </w:r>
      <w:r w:rsidR="007D262E" w:rsidRPr="00842CC8">
        <w:rPr>
          <w:rFonts w:ascii="Times New Roman" w:hAnsi="Times New Roman" w:cs="Times New Roman"/>
          <w:sz w:val="24"/>
          <w:szCs w:val="24"/>
        </w:rPr>
        <w:t xml:space="preserve"> unfairness is further compounded if the rules (in this case CPR 14</w:t>
      </w:r>
      <w:r w:rsidR="005C6D4D">
        <w:rPr>
          <w:rFonts w:ascii="Times New Roman" w:hAnsi="Times New Roman" w:cs="Times New Roman"/>
          <w:sz w:val="24"/>
          <w:szCs w:val="24"/>
        </w:rPr>
        <w:t>.</w:t>
      </w:r>
      <w:r w:rsidR="007D262E" w:rsidRPr="00842CC8">
        <w:rPr>
          <w:rFonts w:ascii="Times New Roman" w:hAnsi="Times New Roman" w:cs="Times New Roman"/>
          <w:sz w:val="24"/>
          <w:szCs w:val="24"/>
        </w:rPr>
        <w:t>1B)</w:t>
      </w:r>
      <w:r w:rsidR="0090006B" w:rsidRPr="00842CC8">
        <w:rPr>
          <w:rFonts w:ascii="Times New Roman" w:hAnsi="Times New Roman" w:cs="Times New Roman"/>
          <w:sz w:val="24"/>
          <w:szCs w:val="24"/>
        </w:rPr>
        <w:t xml:space="preserve"> do not allow a claimant who wishes to bring subsequent </w:t>
      </w:r>
      <w:r w:rsidR="00A560FA" w:rsidRPr="00842CC8">
        <w:rPr>
          <w:rFonts w:ascii="Times New Roman" w:hAnsi="Times New Roman" w:cs="Times New Roman"/>
          <w:sz w:val="24"/>
          <w:szCs w:val="24"/>
        </w:rPr>
        <w:t>cl</w:t>
      </w:r>
      <w:r w:rsidR="0090006B" w:rsidRPr="00842CC8">
        <w:rPr>
          <w:rFonts w:ascii="Times New Roman" w:hAnsi="Times New Roman" w:cs="Times New Roman"/>
          <w:sz w:val="24"/>
          <w:szCs w:val="24"/>
        </w:rPr>
        <w:t>aim for his own injuries to withdraw an admission made on his behalf, because he is not the defendant within the new claim.</w:t>
      </w:r>
    </w:p>
    <w:p w14:paraId="5A4FA38B" w14:textId="3C41EEED" w:rsidR="0090006B" w:rsidRPr="00842CC8" w:rsidRDefault="0090006B">
      <w:pPr>
        <w:rPr>
          <w:rFonts w:ascii="Times New Roman" w:hAnsi="Times New Roman" w:cs="Times New Roman"/>
          <w:sz w:val="24"/>
          <w:szCs w:val="24"/>
        </w:rPr>
      </w:pPr>
    </w:p>
    <w:p w14:paraId="592BE548" w14:textId="4658D6DA" w:rsidR="00DA1207" w:rsidRPr="00842CC8" w:rsidRDefault="005C6D4D">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90006B" w:rsidRPr="00842CC8">
        <w:rPr>
          <w:rFonts w:ascii="Times New Roman" w:hAnsi="Times New Roman" w:cs="Times New Roman"/>
          <w:sz w:val="24"/>
          <w:szCs w:val="24"/>
        </w:rPr>
        <w:t>However, such is the nature of motor insuranc</w:t>
      </w:r>
      <w:r w:rsidR="00A366B2" w:rsidRPr="00842CC8">
        <w:rPr>
          <w:rFonts w:ascii="Times New Roman" w:hAnsi="Times New Roman" w:cs="Times New Roman"/>
          <w:sz w:val="24"/>
          <w:szCs w:val="24"/>
        </w:rPr>
        <w:t xml:space="preserve">e, and the context in which the protocol was established was to allow the efficient and cost-effective resolution of millions of low value injury claims in RTAs where there are identified insurers who can respond without facing the risk of expensive and drawn out litigation. </w:t>
      </w:r>
    </w:p>
    <w:p w14:paraId="3C496363" w14:textId="77777777" w:rsidR="00DA1207" w:rsidRPr="00842CC8" w:rsidRDefault="00DA1207">
      <w:pPr>
        <w:rPr>
          <w:rFonts w:ascii="Times New Roman" w:hAnsi="Times New Roman" w:cs="Times New Roman"/>
          <w:sz w:val="24"/>
          <w:szCs w:val="24"/>
        </w:rPr>
      </w:pPr>
    </w:p>
    <w:p w14:paraId="4877D55C" w14:textId="1E7668EF" w:rsidR="0090006B" w:rsidRPr="00842CC8" w:rsidRDefault="005C6D4D">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A366B2" w:rsidRPr="00842CC8">
        <w:rPr>
          <w:rFonts w:ascii="Times New Roman" w:hAnsi="Times New Roman" w:cs="Times New Roman"/>
          <w:sz w:val="24"/>
          <w:szCs w:val="24"/>
        </w:rPr>
        <w:t xml:space="preserve">Whilst no question of agency law has been raised specifically in this case, where there is the same absence of material to allow scrutiny as existed in the </w:t>
      </w:r>
      <w:proofErr w:type="spellStart"/>
      <w:r w:rsidR="00A366B2" w:rsidRPr="00842CC8">
        <w:rPr>
          <w:rFonts w:ascii="Times New Roman" w:hAnsi="Times New Roman" w:cs="Times New Roman"/>
          <w:b/>
          <w:bCs/>
          <w:sz w:val="24"/>
          <w:szCs w:val="24"/>
        </w:rPr>
        <w:t>Chibwana</w:t>
      </w:r>
      <w:proofErr w:type="spellEnd"/>
      <w:r w:rsidR="00A366B2" w:rsidRPr="00842CC8">
        <w:rPr>
          <w:rFonts w:ascii="Times New Roman" w:hAnsi="Times New Roman" w:cs="Times New Roman"/>
          <w:sz w:val="24"/>
          <w:szCs w:val="24"/>
        </w:rPr>
        <w:t xml:space="preserve"> case</w:t>
      </w:r>
      <w:r w:rsidR="00DA1207" w:rsidRPr="00842CC8">
        <w:rPr>
          <w:rFonts w:ascii="Times New Roman" w:hAnsi="Times New Roman" w:cs="Times New Roman"/>
          <w:sz w:val="24"/>
          <w:szCs w:val="24"/>
        </w:rPr>
        <w:t>,</w:t>
      </w:r>
      <w:r w:rsidR="00A366B2" w:rsidRPr="00842CC8">
        <w:rPr>
          <w:rFonts w:ascii="Times New Roman" w:hAnsi="Times New Roman" w:cs="Times New Roman"/>
          <w:sz w:val="24"/>
          <w:szCs w:val="24"/>
        </w:rPr>
        <w:t xml:space="preserve"> it seems to me inconceivable that an insurance policy would not give the insurer the authority to make an admission where it is considered appropriate without reserving to the policyholder a right to object. In Mr Mullen’s case, of course, it would have been his employers who were insured, with either him as a named driver, or on a more general description for third-party liability as any driver authorised by Arriva. Therefore, </w:t>
      </w:r>
      <w:r w:rsidR="00DA1207" w:rsidRPr="00842CC8">
        <w:rPr>
          <w:rFonts w:ascii="Times New Roman" w:hAnsi="Times New Roman" w:cs="Times New Roman"/>
          <w:sz w:val="24"/>
          <w:szCs w:val="24"/>
        </w:rPr>
        <w:t xml:space="preserve">it </w:t>
      </w:r>
      <w:r w:rsidR="00A366B2" w:rsidRPr="00842CC8">
        <w:rPr>
          <w:rFonts w:ascii="Times New Roman" w:hAnsi="Times New Roman" w:cs="Times New Roman"/>
          <w:sz w:val="24"/>
          <w:szCs w:val="24"/>
        </w:rPr>
        <w:t>is difficult understand any circumstances in which Mr Mullen might have been entitled to override an admission. This court does not have to investigate the tripartite relationship between insurer, employer and insured</w:t>
      </w:r>
      <w:r w:rsidR="00DA1207" w:rsidRPr="00842CC8">
        <w:rPr>
          <w:rFonts w:ascii="Times New Roman" w:hAnsi="Times New Roman" w:cs="Times New Roman"/>
          <w:sz w:val="24"/>
          <w:szCs w:val="24"/>
        </w:rPr>
        <w:t>,</w:t>
      </w:r>
      <w:r w:rsidR="002C6E3B" w:rsidRPr="00842CC8">
        <w:rPr>
          <w:rFonts w:ascii="Times New Roman" w:hAnsi="Times New Roman" w:cs="Times New Roman"/>
          <w:sz w:val="24"/>
          <w:szCs w:val="24"/>
        </w:rPr>
        <w:t xml:space="preserve"> but if a situation had arisen w</w:t>
      </w:r>
      <w:r w:rsidR="00DA1207" w:rsidRPr="00842CC8">
        <w:rPr>
          <w:rFonts w:ascii="Times New Roman" w:hAnsi="Times New Roman" w:cs="Times New Roman"/>
          <w:sz w:val="24"/>
          <w:szCs w:val="24"/>
        </w:rPr>
        <w:t>h</w:t>
      </w:r>
      <w:r w:rsidR="002C6E3B" w:rsidRPr="00842CC8">
        <w:rPr>
          <w:rFonts w:ascii="Times New Roman" w:hAnsi="Times New Roman" w:cs="Times New Roman"/>
          <w:sz w:val="24"/>
          <w:szCs w:val="24"/>
        </w:rPr>
        <w:t xml:space="preserve">ere either the employer or the insured had not acted in the driver’s best interests, or had prejudiced his position, it may have been open to him to rely upon an actionable breach of any term. As I say, that is not a matter which falls </w:t>
      </w:r>
      <w:r>
        <w:rPr>
          <w:rFonts w:ascii="Times New Roman" w:hAnsi="Times New Roman" w:cs="Times New Roman"/>
          <w:sz w:val="24"/>
          <w:szCs w:val="24"/>
        </w:rPr>
        <w:t xml:space="preserve">for </w:t>
      </w:r>
      <w:r w:rsidR="002C6E3B" w:rsidRPr="00842CC8">
        <w:rPr>
          <w:rFonts w:ascii="Times New Roman" w:hAnsi="Times New Roman" w:cs="Times New Roman"/>
          <w:sz w:val="24"/>
          <w:szCs w:val="24"/>
        </w:rPr>
        <w:t xml:space="preserve">consideration by this court, because the only question which arises on the first ground of appeal is whether or not the insurer was a separate entity to the claimant Mr Mullen, and was therefore properly described as </w:t>
      </w:r>
      <w:r w:rsidR="002C6E3B" w:rsidRPr="005C6D4D">
        <w:rPr>
          <w:rFonts w:ascii="Times New Roman" w:hAnsi="Times New Roman" w:cs="Times New Roman"/>
          <w:i/>
          <w:iCs/>
          <w:sz w:val="24"/>
          <w:szCs w:val="24"/>
        </w:rPr>
        <w:t>the defendant</w:t>
      </w:r>
      <w:r w:rsidR="002C6E3B" w:rsidRPr="00842CC8">
        <w:rPr>
          <w:rFonts w:ascii="Times New Roman" w:hAnsi="Times New Roman" w:cs="Times New Roman"/>
          <w:sz w:val="24"/>
          <w:szCs w:val="24"/>
        </w:rPr>
        <w:t xml:space="preserve"> within the protocol, </w:t>
      </w:r>
      <w:r w:rsidR="00DA1207" w:rsidRPr="00842CC8">
        <w:rPr>
          <w:rFonts w:ascii="Times New Roman" w:hAnsi="Times New Roman" w:cs="Times New Roman"/>
          <w:sz w:val="24"/>
          <w:szCs w:val="24"/>
        </w:rPr>
        <w:t xml:space="preserve">and </w:t>
      </w:r>
      <w:r w:rsidR="002C6E3B" w:rsidRPr="00842CC8">
        <w:rPr>
          <w:rFonts w:ascii="Times New Roman" w:hAnsi="Times New Roman" w:cs="Times New Roman"/>
          <w:sz w:val="24"/>
          <w:szCs w:val="24"/>
        </w:rPr>
        <w:t>whose admission could not be visited on Mr Mullen in a separate claim.</w:t>
      </w:r>
    </w:p>
    <w:p w14:paraId="64B129D4" w14:textId="7B9E8B58" w:rsidR="002C6E3B" w:rsidRPr="00842CC8" w:rsidRDefault="002C6E3B">
      <w:pPr>
        <w:rPr>
          <w:rFonts w:ascii="Times New Roman" w:hAnsi="Times New Roman" w:cs="Times New Roman"/>
          <w:sz w:val="24"/>
          <w:szCs w:val="24"/>
        </w:rPr>
      </w:pPr>
    </w:p>
    <w:p w14:paraId="0C54AD4D" w14:textId="60A56050" w:rsidR="002C6E3B" w:rsidRPr="00842CC8" w:rsidRDefault="005C6D4D">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2C6E3B" w:rsidRPr="00842CC8">
        <w:rPr>
          <w:rFonts w:ascii="Times New Roman" w:hAnsi="Times New Roman" w:cs="Times New Roman"/>
          <w:sz w:val="24"/>
          <w:szCs w:val="24"/>
        </w:rPr>
        <w:t>Insofar as the deputy district judge found that</w:t>
      </w:r>
      <w:r w:rsidR="00DA1207" w:rsidRPr="00842CC8">
        <w:rPr>
          <w:rFonts w:ascii="Times New Roman" w:hAnsi="Times New Roman" w:cs="Times New Roman"/>
          <w:sz w:val="24"/>
          <w:szCs w:val="24"/>
        </w:rPr>
        <w:t xml:space="preserve"> Mr Mullen was the defendant for the purposes of the protocol and not the insurance company, it seems to me that this did not involve the exercise of any discretionary consideration by him, but was a matter of black letter law. I raised this in the course of counsel’s submissions with Ms Robson</w:t>
      </w:r>
      <w:r>
        <w:rPr>
          <w:rFonts w:ascii="Times New Roman" w:hAnsi="Times New Roman" w:cs="Times New Roman"/>
          <w:sz w:val="24"/>
          <w:szCs w:val="24"/>
        </w:rPr>
        <w:t xml:space="preserve"> who</w:t>
      </w:r>
      <w:r w:rsidR="00DA1207" w:rsidRPr="00842CC8">
        <w:rPr>
          <w:rFonts w:ascii="Times New Roman" w:hAnsi="Times New Roman" w:cs="Times New Roman"/>
          <w:sz w:val="24"/>
          <w:szCs w:val="24"/>
        </w:rPr>
        <w:t xml:space="preserve"> </w:t>
      </w:r>
      <w:r w:rsidR="00DA1207" w:rsidRPr="00842CC8">
        <w:rPr>
          <w:rFonts w:ascii="Times New Roman" w:hAnsi="Times New Roman" w:cs="Times New Roman"/>
          <w:sz w:val="24"/>
          <w:szCs w:val="24"/>
        </w:rPr>
        <w:lastRenderedPageBreak/>
        <w:t xml:space="preserve">maintained that whilst </w:t>
      </w:r>
      <w:r>
        <w:rPr>
          <w:rFonts w:ascii="Times New Roman" w:hAnsi="Times New Roman" w:cs="Times New Roman"/>
          <w:sz w:val="24"/>
          <w:szCs w:val="24"/>
        </w:rPr>
        <w:t xml:space="preserve">it </w:t>
      </w:r>
      <w:r w:rsidR="00DA1207" w:rsidRPr="00842CC8">
        <w:rPr>
          <w:rFonts w:ascii="Times New Roman" w:hAnsi="Times New Roman" w:cs="Times New Roman"/>
          <w:sz w:val="24"/>
          <w:szCs w:val="24"/>
        </w:rPr>
        <w:t>was a question of interpretation, there was nevertheless a discretionary exercise. I respectfully disagree save to the limited extent that an application to strike out under CPR 3.4 involves by virtue of sub-rule (2) a discretionary decision, but in the specific context of this case I have no doubt that if Mr Mullen was properly identified as the defendant and not the insurance company there would have been no alternative open to the learned judge but to strike out the claim.</w:t>
      </w:r>
    </w:p>
    <w:p w14:paraId="79BF65E2" w14:textId="3EB4960C" w:rsidR="00DA1207" w:rsidRPr="00842CC8" w:rsidRDefault="00DA1207">
      <w:pPr>
        <w:rPr>
          <w:rFonts w:ascii="Times New Roman" w:hAnsi="Times New Roman" w:cs="Times New Roman"/>
          <w:sz w:val="24"/>
          <w:szCs w:val="24"/>
        </w:rPr>
      </w:pPr>
    </w:p>
    <w:p w14:paraId="30ED2972" w14:textId="72F64CE4" w:rsidR="00DA1207" w:rsidRPr="00842CC8" w:rsidRDefault="005C6D4D">
      <w:pPr>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DA1207" w:rsidRPr="00842CC8">
        <w:rPr>
          <w:rFonts w:ascii="Times New Roman" w:hAnsi="Times New Roman" w:cs="Times New Roman"/>
          <w:sz w:val="24"/>
          <w:szCs w:val="24"/>
        </w:rPr>
        <w:t xml:space="preserve">On the first ground of appeal, therefore, I have no difficulty in coming to the conclusion that whilst for the purposes of the definition the insurer steps into the shoes of the defendant within the protocol in order to deal with a claim, this does not mean that Mr Mullen was not otherwise the defendant for the purposes of the portal settlement. There is no sense in any other interpretation, in my </w:t>
      </w:r>
      <w:r w:rsidR="002F7333" w:rsidRPr="00842CC8">
        <w:rPr>
          <w:rFonts w:ascii="Times New Roman" w:hAnsi="Times New Roman" w:cs="Times New Roman"/>
          <w:sz w:val="24"/>
          <w:szCs w:val="24"/>
        </w:rPr>
        <w:t>judgment</w:t>
      </w:r>
      <w:r w:rsidR="00DA1207" w:rsidRPr="00842CC8">
        <w:rPr>
          <w:rFonts w:ascii="Times New Roman" w:hAnsi="Times New Roman" w:cs="Times New Roman"/>
          <w:sz w:val="24"/>
          <w:szCs w:val="24"/>
        </w:rPr>
        <w:t>, for the most obvious reason</w:t>
      </w:r>
      <w:r w:rsidR="005E3997" w:rsidRPr="00842CC8">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5E3997" w:rsidRPr="00842CC8">
        <w:rPr>
          <w:rFonts w:ascii="Times New Roman" w:hAnsi="Times New Roman" w:cs="Times New Roman"/>
          <w:sz w:val="24"/>
          <w:szCs w:val="24"/>
        </w:rPr>
        <w:t xml:space="preserve">it was </w:t>
      </w:r>
      <w:r w:rsidR="005E3997" w:rsidRPr="005C6D4D">
        <w:rPr>
          <w:rFonts w:ascii="Times New Roman" w:hAnsi="Times New Roman" w:cs="Times New Roman"/>
          <w:sz w:val="24"/>
          <w:szCs w:val="24"/>
          <w:u w:val="single"/>
        </w:rPr>
        <w:t xml:space="preserve">his </w:t>
      </w:r>
      <w:r w:rsidR="005E3997" w:rsidRPr="00842CC8">
        <w:rPr>
          <w:rFonts w:ascii="Times New Roman" w:hAnsi="Times New Roman" w:cs="Times New Roman"/>
          <w:sz w:val="24"/>
          <w:szCs w:val="24"/>
        </w:rPr>
        <w:t xml:space="preserve">breach of duty as a road user which entitled the portal claimant to bring the protocol claim. It was not the breach of duty of the insurer, and accordingly when the insurer admits “the accident was </w:t>
      </w:r>
      <w:r w:rsidR="005E3997" w:rsidRPr="005C6D4D">
        <w:rPr>
          <w:rFonts w:ascii="Times New Roman" w:hAnsi="Times New Roman" w:cs="Times New Roman"/>
          <w:i/>
          <w:iCs/>
          <w:sz w:val="24"/>
          <w:szCs w:val="24"/>
        </w:rPr>
        <w:t>caused by the defendant</w:t>
      </w:r>
      <w:r w:rsidRPr="005C6D4D">
        <w:rPr>
          <w:rFonts w:ascii="Times New Roman" w:hAnsi="Times New Roman" w:cs="Times New Roman"/>
          <w:i/>
          <w:iCs/>
          <w:sz w:val="24"/>
          <w:szCs w:val="24"/>
        </w:rPr>
        <w:t>’</w:t>
      </w:r>
      <w:r w:rsidR="005E3997" w:rsidRPr="005C6D4D">
        <w:rPr>
          <w:rFonts w:ascii="Times New Roman" w:hAnsi="Times New Roman" w:cs="Times New Roman"/>
          <w:i/>
          <w:iCs/>
          <w:sz w:val="24"/>
          <w:szCs w:val="24"/>
        </w:rPr>
        <w:t>s breach of duty</w:t>
      </w:r>
      <w:r w:rsidR="005E3997" w:rsidRPr="00842CC8">
        <w:rPr>
          <w:rFonts w:ascii="Times New Roman" w:hAnsi="Times New Roman" w:cs="Times New Roman"/>
          <w:sz w:val="24"/>
          <w:szCs w:val="24"/>
        </w:rPr>
        <w:t xml:space="preserve">” it can be referring to no other breach than that of Mr Mullen the driver. I agree with the reasoning provided by HHJ </w:t>
      </w:r>
      <w:proofErr w:type="spellStart"/>
      <w:r w:rsidR="005E3997" w:rsidRPr="00842CC8">
        <w:rPr>
          <w:rFonts w:ascii="Times New Roman" w:hAnsi="Times New Roman" w:cs="Times New Roman"/>
          <w:sz w:val="24"/>
          <w:szCs w:val="24"/>
        </w:rPr>
        <w:t>Simpkiss</w:t>
      </w:r>
      <w:proofErr w:type="spellEnd"/>
      <w:r w:rsidR="005E3997" w:rsidRPr="00842CC8">
        <w:rPr>
          <w:rFonts w:ascii="Times New Roman" w:hAnsi="Times New Roman" w:cs="Times New Roman"/>
          <w:sz w:val="24"/>
          <w:szCs w:val="24"/>
        </w:rPr>
        <w:t xml:space="preserve"> in </w:t>
      </w:r>
      <w:proofErr w:type="spellStart"/>
      <w:r w:rsidR="005E3997" w:rsidRPr="005C6D4D">
        <w:rPr>
          <w:rFonts w:ascii="Times New Roman" w:hAnsi="Times New Roman" w:cs="Times New Roman"/>
          <w:b/>
          <w:bCs/>
          <w:sz w:val="24"/>
          <w:szCs w:val="24"/>
        </w:rPr>
        <w:t>Chibwana</w:t>
      </w:r>
      <w:proofErr w:type="spellEnd"/>
      <w:r w:rsidR="005E3997" w:rsidRPr="00842CC8">
        <w:rPr>
          <w:rFonts w:ascii="Times New Roman" w:hAnsi="Times New Roman" w:cs="Times New Roman"/>
          <w:sz w:val="24"/>
          <w:szCs w:val="24"/>
        </w:rPr>
        <w:t xml:space="preserve">, that an interpretation of the protocol </w:t>
      </w:r>
      <w:r>
        <w:rPr>
          <w:rFonts w:ascii="Times New Roman" w:hAnsi="Times New Roman" w:cs="Times New Roman"/>
          <w:sz w:val="24"/>
          <w:szCs w:val="24"/>
        </w:rPr>
        <w:t xml:space="preserve">does </w:t>
      </w:r>
      <w:r w:rsidR="005E3997" w:rsidRPr="00842CC8">
        <w:rPr>
          <w:rFonts w:ascii="Times New Roman" w:hAnsi="Times New Roman" w:cs="Times New Roman"/>
          <w:sz w:val="24"/>
          <w:szCs w:val="24"/>
        </w:rPr>
        <w:t xml:space="preserve">not allow any other conclusion, in that whilst some sections of the </w:t>
      </w:r>
      <w:r w:rsidR="00615AC0">
        <w:rPr>
          <w:rFonts w:ascii="Times New Roman" w:hAnsi="Times New Roman" w:cs="Times New Roman"/>
          <w:sz w:val="24"/>
          <w:szCs w:val="24"/>
        </w:rPr>
        <w:t>CNF</w:t>
      </w:r>
      <w:r w:rsidR="005E3997" w:rsidRPr="00842CC8">
        <w:rPr>
          <w:rFonts w:ascii="Times New Roman" w:hAnsi="Times New Roman" w:cs="Times New Roman"/>
          <w:sz w:val="24"/>
          <w:szCs w:val="24"/>
        </w:rPr>
        <w:t xml:space="preserve"> refer to the role of the insurer, not least in providing the RTA 1 response, there are several other sections which make it abundantly clear that the person referred to is the defendant driver (or in this case the employer</w:t>
      </w:r>
      <w:r>
        <w:rPr>
          <w:rFonts w:ascii="Times New Roman" w:hAnsi="Times New Roman" w:cs="Times New Roman"/>
          <w:sz w:val="24"/>
          <w:szCs w:val="24"/>
        </w:rPr>
        <w:t>,</w:t>
      </w:r>
      <w:r w:rsidR="005E3997" w:rsidRPr="00842CC8">
        <w:rPr>
          <w:rFonts w:ascii="Times New Roman" w:hAnsi="Times New Roman" w:cs="Times New Roman"/>
          <w:sz w:val="24"/>
          <w:szCs w:val="24"/>
        </w:rPr>
        <w:t xml:space="preserve"> the bus company)</w:t>
      </w:r>
      <w:r>
        <w:rPr>
          <w:rFonts w:ascii="Times New Roman" w:hAnsi="Times New Roman" w:cs="Times New Roman"/>
          <w:sz w:val="24"/>
          <w:szCs w:val="24"/>
        </w:rPr>
        <w:t>;</w:t>
      </w:r>
      <w:r w:rsidR="005E3997" w:rsidRPr="00842CC8">
        <w:rPr>
          <w:rFonts w:ascii="Times New Roman" w:hAnsi="Times New Roman" w:cs="Times New Roman"/>
          <w:sz w:val="24"/>
          <w:szCs w:val="24"/>
        </w:rPr>
        <w:t xml:space="preserve"> for instance on the first page of the CNF, where the defendant</w:t>
      </w:r>
      <w:r>
        <w:rPr>
          <w:rFonts w:ascii="Times New Roman" w:hAnsi="Times New Roman" w:cs="Times New Roman"/>
          <w:sz w:val="24"/>
          <w:szCs w:val="24"/>
        </w:rPr>
        <w:t>’</w:t>
      </w:r>
      <w:r w:rsidR="005E3997" w:rsidRPr="00842CC8">
        <w:rPr>
          <w:rFonts w:ascii="Times New Roman" w:hAnsi="Times New Roman" w:cs="Times New Roman"/>
          <w:sz w:val="24"/>
          <w:szCs w:val="24"/>
        </w:rPr>
        <w:t>s details are to be supplied, and in the response information at section C where there is a clear distinction made</w:t>
      </w:r>
      <w:r w:rsidR="00A560FA" w:rsidRPr="00842CC8">
        <w:rPr>
          <w:rFonts w:ascii="Times New Roman" w:hAnsi="Times New Roman" w:cs="Times New Roman"/>
          <w:sz w:val="24"/>
          <w:szCs w:val="24"/>
        </w:rPr>
        <w:t xml:space="preserve"> between the insurer and the defendant.</w:t>
      </w:r>
    </w:p>
    <w:p w14:paraId="0D0A8833" w14:textId="6817CC84" w:rsidR="00A560FA" w:rsidRPr="00842CC8" w:rsidRDefault="00A560FA">
      <w:pPr>
        <w:rPr>
          <w:rFonts w:ascii="Times New Roman" w:hAnsi="Times New Roman" w:cs="Times New Roman"/>
          <w:sz w:val="24"/>
          <w:szCs w:val="24"/>
        </w:rPr>
      </w:pPr>
    </w:p>
    <w:p w14:paraId="740DC26F" w14:textId="6DF0C1DC" w:rsidR="00A560FA" w:rsidRPr="00842CC8" w:rsidRDefault="005C6D4D">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A560FA" w:rsidRPr="00842CC8">
        <w:rPr>
          <w:rFonts w:ascii="Times New Roman" w:hAnsi="Times New Roman" w:cs="Times New Roman"/>
          <w:sz w:val="24"/>
          <w:szCs w:val="24"/>
        </w:rPr>
        <w:t xml:space="preserve">I do not believe that the </w:t>
      </w:r>
      <w:r>
        <w:rPr>
          <w:rFonts w:ascii="Times New Roman" w:hAnsi="Times New Roman" w:cs="Times New Roman"/>
          <w:sz w:val="24"/>
          <w:szCs w:val="24"/>
        </w:rPr>
        <w:t>C</w:t>
      </w:r>
      <w:r w:rsidR="00A560FA" w:rsidRPr="00842CC8">
        <w:rPr>
          <w:rFonts w:ascii="Times New Roman" w:hAnsi="Times New Roman" w:cs="Times New Roman"/>
          <w:sz w:val="24"/>
          <w:szCs w:val="24"/>
        </w:rPr>
        <w:t xml:space="preserve">laimant is in any way assisted by the fact that CPR 14.1 B facilitates the withdrawal of an admission only by a </w:t>
      </w:r>
      <w:r w:rsidR="00A560FA" w:rsidRPr="00842CC8">
        <w:rPr>
          <w:rFonts w:ascii="Times New Roman" w:hAnsi="Times New Roman" w:cs="Times New Roman"/>
          <w:sz w:val="24"/>
          <w:szCs w:val="24"/>
          <w:u w:val="single"/>
        </w:rPr>
        <w:t>defendant</w:t>
      </w:r>
      <w:r w:rsidR="00A560FA" w:rsidRPr="00842CC8">
        <w:rPr>
          <w:rFonts w:ascii="Times New Roman" w:hAnsi="Times New Roman" w:cs="Times New Roman"/>
          <w:sz w:val="24"/>
          <w:szCs w:val="24"/>
        </w:rPr>
        <w:t xml:space="preserve"> within a protocol claim, the effect of which clearly precludes Mr Mullen because within the Part 7 proceedings he is now a claimant. It appears to have been suggested on his behalf that this should enable an interpretation by the court that he was never a defendant, because he never made such an admission. I do not accept such an interpretation, and it seems to me that this provision is intended to bring into line with the balance of CPR 14 all pre-action admissions that are made on the basis that the protocol process is clearly </w:t>
      </w:r>
      <w:r w:rsidR="00A560FA" w:rsidRPr="00842CC8">
        <w:rPr>
          <w:rFonts w:ascii="Times New Roman" w:hAnsi="Times New Roman" w:cs="Times New Roman"/>
          <w:i/>
          <w:iCs/>
          <w:sz w:val="24"/>
          <w:szCs w:val="24"/>
        </w:rPr>
        <w:t>pre-action</w:t>
      </w:r>
      <w:r w:rsidR="00A560FA" w:rsidRPr="00842CC8">
        <w:rPr>
          <w:rFonts w:ascii="Times New Roman" w:hAnsi="Times New Roman" w:cs="Times New Roman"/>
          <w:sz w:val="24"/>
          <w:szCs w:val="24"/>
        </w:rPr>
        <w:t>, and what is envisaged is the kind of situation where the portal claimant in a claim which has exited the portal is the same as the part 7 claimant, perhaps in circumstances where the damages claimed now exceeds the protocol limit, and defendant insurer now wishes to resile from an admission made when the claim was considered to be of insignificant value. That is but one example of the circumstances in which reliance might be placed on CPR 14.1B.</w:t>
      </w:r>
    </w:p>
    <w:p w14:paraId="6BED07B3" w14:textId="7F4D4068" w:rsidR="00A560FA" w:rsidRPr="00842CC8" w:rsidRDefault="00A560FA">
      <w:pPr>
        <w:rPr>
          <w:rFonts w:ascii="Times New Roman" w:hAnsi="Times New Roman" w:cs="Times New Roman"/>
          <w:sz w:val="24"/>
          <w:szCs w:val="24"/>
        </w:rPr>
      </w:pPr>
    </w:p>
    <w:p w14:paraId="51ACC2A7" w14:textId="56A956CF" w:rsidR="00A560FA" w:rsidRPr="00842CC8" w:rsidRDefault="005C6D4D">
      <w:pPr>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A560FA" w:rsidRPr="00842CC8">
        <w:rPr>
          <w:rFonts w:ascii="Times New Roman" w:hAnsi="Times New Roman" w:cs="Times New Roman"/>
          <w:sz w:val="24"/>
          <w:szCs w:val="24"/>
        </w:rPr>
        <w:t xml:space="preserve">I turn now to deal with the second ground of appeal, which has Mr Dawes says is his fallback position. In this respect I </w:t>
      </w:r>
      <w:r>
        <w:rPr>
          <w:rFonts w:ascii="Times New Roman" w:hAnsi="Times New Roman" w:cs="Times New Roman"/>
          <w:sz w:val="24"/>
          <w:szCs w:val="24"/>
        </w:rPr>
        <w:t xml:space="preserve">again </w:t>
      </w:r>
      <w:r w:rsidR="00A560FA" w:rsidRPr="00842CC8">
        <w:rPr>
          <w:rFonts w:ascii="Times New Roman" w:hAnsi="Times New Roman" w:cs="Times New Roman"/>
          <w:sz w:val="24"/>
          <w:szCs w:val="24"/>
        </w:rPr>
        <w:t xml:space="preserve">find myself entirely in agreement with the reasoning provided by HHJ </w:t>
      </w:r>
      <w:proofErr w:type="spellStart"/>
      <w:r w:rsidR="00A560FA" w:rsidRPr="00842CC8">
        <w:rPr>
          <w:rFonts w:ascii="Times New Roman" w:hAnsi="Times New Roman" w:cs="Times New Roman"/>
          <w:sz w:val="24"/>
          <w:szCs w:val="24"/>
        </w:rPr>
        <w:t>Simkiss</w:t>
      </w:r>
      <w:proofErr w:type="spellEnd"/>
      <w:r w:rsidR="00A560FA" w:rsidRPr="00842CC8">
        <w:rPr>
          <w:rFonts w:ascii="Times New Roman" w:hAnsi="Times New Roman" w:cs="Times New Roman"/>
          <w:sz w:val="24"/>
          <w:szCs w:val="24"/>
        </w:rPr>
        <w:t xml:space="preserve"> in </w:t>
      </w:r>
      <w:proofErr w:type="spellStart"/>
      <w:r w:rsidR="00A560FA" w:rsidRPr="005C6D4D">
        <w:rPr>
          <w:rFonts w:ascii="Times New Roman" w:hAnsi="Times New Roman" w:cs="Times New Roman"/>
          <w:b/>
          <w:bCs/>
          <w:sz w:val="24"/>
          <w:szCs w:val="24"/>
        </w:rPr>
        <w:t>Chibwana</w:t>
      </w:r>
      <w:proofErr w:type="spellEnd"/>
      <w:r w:rsidR="00A560FA" w:rsidRPr="00842CC8">
        <w:rPr>
          <w:rFonts w:ascii="Times New Roman" w:hAnsi="Times New Roman" w:cs="Times New Roman"/>
          <w:sz w:val="24"/>
          <w:szCs w:val="24"/>
        </w:rPr>
        <w:t>, and in particular paragraphs 65 and 70</w:t>
      </w:r>
      <w:r w:rsidR="00355FA1" w:rsidRPr="00842CC8">
        <w:rPr>
          <w:rFonts w:ascii="Times New Roman" w:hAnsi="Times New Roman" w:cs="Times New Roman"/>
          <w:sz w:val="24"/>
          <w:szCs w:val="24"/>
        </w:rPr>
        <w:t xml:space="preserve"> highlighted above. </w:t>
      </w:r>
      <w:r w:rsidR="00351433" w:rsidRPr="00842CC8">
        <w:rPr>
          <w:rFonts w:ascii="Times New Roman" w:hAnsi="Times New Roman" w:cs="Times New Roman"/>
          <w:sz w:val="24"/>
          <w:szCs w:val="24"/>
        </w:rPr>
        <w:t xml:space="preserve">I cannot accept the proposition that what starts in the portal remains in the portal, because this is predicated on the concept that the protocol is designed for some form of </w:t>
      </w:r>
      <w:r w:rsidR="00351433" w:rsidRPr="00842CC8">
        <w:rPr>
          <w:rFonts w:ascii="Times New Roman" w:hAnsi="Times New Roman" w:cs="Times New Roman"/>
          <w:sz w:val="24"/>
          <w:szCs w:val="24"/>
        </w:rPr>
        <w:lastRenderedPageBreak/>
        <w:t>alternative dispute resolution with its own set of rules and practices. That is only true to a very limited extent, because the CPR, and in particular the fixed cost regime in CPR 45 is dovetailed to the use of the protocol, and in numerous instances rules are constructed on the basis that for low value personal injury claims (and not just in RTAs) use of protocol is compulsory, and failure to follow the requirements can end up in significant cost penalty or in some cases striking out of a claim. I do not accept that any assistance can be derived from first instance decisions which appear to have</w:t>
      </w:r>
      <w:r w:rsidR="008D6DF9" w:rsidRPr="00842CC8">
        <w:rPr>
          <w:rFonts w:ascii="Times New Roman" w:hAnsi="Times New Roman" w:cs="Times New Roman"/>
          <w:sz w:val="24"/>
          <w:szCs w:val="24"/>
        </w:rPr>
        <w:t xml:space="preserve"> disapplied common law rules such as mistake to the protocol provisions. The protocol is self-contained, it seems to me, but only to the extent that compliance with its provisions, will prevent the need for any court involvement.</w:t>
      </w:r>
    </w:p>
    <w:p w14:paraId="5FF59C7F" w14:textId="6C81A4AD" w:rsidR="008D6DF9" w:rsidRPr="00842CC8" w:rsidRDefault="008D6DF9">
      <w:pPr>
        <w:rPr>
          <w:rFonts w:ascii="Times New Roman" w:hAnsi="Times New Roman" w:cs="Times New Roman"/>
          <w:sz w:val="24"/>
          <w:szCs w:val="24"/>
        </w:rPr>
      </w:pPr>
    </w:p>
    <w:p w14:paraId="44977A4E" w14:textId="47793804" w:rsidR="008D6DF9" w:rsidRPr="00842CC8" w:rsidRDefault="005C6D4D">
      <w:pPr>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8D6DF9" w:rsidRPr="00842CC8">
        <w:rPr>
          <w:rFonts w:ascii="Times New Roman" w:hAnsi="Times New Roman" w:cs="Times New Roman"/>
          <w:sz w:val="24"/>
          <w:szCs w:val="24"/>
        </w:rPr>
        <w:t xml:space="preserve">However, the most compelling reason, in my </w:t>
      </w:r>
      <w:r w:rsidR="002F7333" w:rsidRPr="00842CC8">
        <w:rPr>
          <w:rFonts w:ascii="Times New Roman" w:hAnsi="Times New Roman" w:cs="Times New Roman"/>
          <w:sz w:val="24"/>
          <w:szCs w:val="24"/>
        </w:rPr>
        <w:t>judgment</w:t>
      </w:r>
      <w:r w:rsidR="008D6DF9" w:rsidRPr="00842CC8">
        <w:rPr>
          <w:rFonts w:ascii="Times New Roman" w:hAnsi="Times New Roman" w:cs="Times New Roman"/>
          <w:sz w:val="24"/>
          <w:szCs w:val="24"/>
        </w:rPr>
        <w:t>, for concluding that the admission made within the portal by the “the defendant” through his insurer should be binding outside the portal is that were it otherwise there would be no finality to road traffic accident litigation involving low value personal injury. If an insured was free to pursue his own claim notwithstanding an admission made by his</w:t>
      </w:r>
      <w:r w:rsidR="00EA3F27">
        <w:rPr>
          <w:rFonts w:ascii="Times New Roman" w:hAnsi="Times New Roman" w:cs="Times New Roman"/>
          <w:sz w:val="24"/>
          <w:szCs w:val="24"/>
        </w:rPr>
        <w:t xml:space="preserve"> insurer through subrogation in respect of</w:t>
      </w:r>
      <w:r w:rsidR="008D6DF9" w:rsidRPr="00842CC8">
        <w:rPr>
          <w:rFonts w:ascii="Times New Roman" w:hAnsi="Times New Roman" w:cs="Times New Roman"/>
          <w:sz w:val="24"/>
          <w:szCs w:val="24"/>
        </w:rPr>
        <w:t xml:space="preserve"> a portal claim by </w:t>
      </w:r>
      <w:r w:rsidR="00EA3F27">
        <w:rPr>
          <w:rFonts w:ascii="Times New Roman" w:hAnsi="Times New Roman" w:cs="Times New Roman"/>
          <w:sz w:val="24"/>
          <w:szCs w:val="24"/>
        </w:rPr>
        <w:t>a</w:t>
      </w:r>
      <w:r w:rsidR="008D6DF9" w:rsidRPr="00842CC8">
        <w:rPr>
          <w:rFonts w:ascii="Times New Roman" w:hAnsi="Times New Roman" w:cs="Times New Roman"/>
          <w:sz w:val="24"/>
          <w:szCs w:val="24"/>
        </w:rPr>
        <w:t xml:space="preserve"> third party, this would leave open, as Ms Robson says, the prospect of inconsistency in decision, applications to withdraw admissions by insurance companies on the basis of subsequent factual findings, huge uncertainty and worse still a significant diminution in the efficacy of the protocol. That is sufficient, in my </w:t>
      </w:r>
      <w:r w:rsidR="002F7333" w:rsidRPr="00842CC8">
        <w:rPr>
          <w:rFonts w:ascii="Times New Roman" w:hAnsi="Times New Roman" w:cs="Times New Roman"/>
          <w:sz w:val="24"/>
          <w:szCs w:val="24"/>
        </w:rPr>
        <w:t>judgment</w:t>
      </w:r>
      <w:r w:rsidR="008D6DF9" w:rsidRPr="00842CC8">
        <w:rPr>
          <w:rFonts w:ascii="Times New Roman" w:hAnsi="Times New Roman" w:cs="Times New Roman"/>
          <w:sz w:val="24"/>
          <w:szCs w:val="24"/>
        </w:rPr>
        <w:t>, to determine this second issue in favour of the respondent, and to find that there was no error of law in the deputy district judge</w:t>
      </w:r>
      <w:r w:rsidR="00EA3F27">
        <w:rPr>
          <w:rFonts w:ascii="Times New Roman" w:hAnsi="Times New Roman" w:cs="Times New Roman"/>
          <w:sz w:val="24"/>
          <w:szCs w:val="24"/>
        </w:rPr>
        <w:t>’</w:t>
      </w:r>
      <w:r w:rsidR="008D6DF9" w:rsidRPr="00842CC8">
        <w:rPr>
          <w:rFonts w:ascii="Times New Roman" w:hAnsi="Times New Roman" w:cs="Times New Roman"/>
          <w:sz w:val="24"/>
          <w:szCs w:val="24"/>
        </w:rPr>
        <w:t xml:space="preserve">s conclusion that the admission was binding in the subsequent litigation, thus following the decision of HHJ </w:t>
      </w:r>
      <w:proofErr w:type="spellStart"/>
      <w:r w:rsidR="008D6DF9" w:rsidRPr="00842CC8">
        <w:rPr>
          <w:rFonts w:ascii="Times New Roman" w:hAnsi="Times New Roman" w:cs="Times New Roman"/>
          <w:sz w:val="24"/>
          <w:szCs w:val="24"/>
        </w:rPr>
        <w:t>Simpkiss</w:t>
      </w:r>
      <w:proofErr w:type="spellEnd"/>
      <w:r w:rsidR="008D6DF9" w:rsidRPr="00842CC8">
        <w:rPr>
          <w:rFonts w:ascii="Times New Roman" w:hAnsi="Times New Roman" w:cs="Times New Roman"/>
          <w:sz w:val="24"/>
          <w:szCs w:val="24"/>
        </w:rPr>
        <w:t xml:space="preserve"> in </w:t>
      </w:r>
      <w:proofErr w:type="spellStart"/>
      <w:r w:rsidR="008D6DF9" w:rsidRPr="00EA3F27">
        <w:rPr>
          <w:rFonts w:ascii="Times New Roman" w:hAnsi="Times New Roman" w:cs="Times New Roman"/>
          <w:b/>
          <w:bCs/>
          <w:sz w:val="24"/>
          <w:szCs w:val="24"/>
        </w:rPr>
        <w:t>Chibwana</w:t>
      </w:r>
      <w:proofErr w:type="spellEnd"/>
      <w:r w:rsidR="008D6DF9" w:rsidRPr="00842CC8">
        <w:rPr>
          <w:rFonts w:ascii="Times New Roman" w:hAnsi="Times New Roman" w:cs="Times New Roman"/>
          <w:sz w:val="24"/>
          <w:szCs w:val="24"/>
        </w:rPr>
        <w:t>.</w:t>
      </w:r>
    </w:p>
    <w:p w14:paraId="3C9643D0" w14:textId="77777777" w:rsidR="00EA3F27" w:rsidRDefault="00EA3F27">
      <w:pPr>
        <w:rPr>
          <w:rFonts w:ascii="Times New Roman" w:hAnsi="Times New Roman" w:cs="Times New Roman"/>
          <w:sz w:val="24"/>
          <w:szCs w:val="24"/>
        </w:rPr>
      </w:pPr>
    </w:p>
    <w:p w14:paraId="7B86039D" w14:textId="47B8882D" w:rsidR="008D6DF9" w:rsidRDefault="00EA3F27">
      <w:pPr>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8D6DF9" w:rsidRPr="00842CC8">
        <w:rPr>
          <w:rFonts w:ascii="Times New Roman" w:hAnsi="Times New Roman" w:cs="Times New Roman"/>
          <w:sz w:val="24"/>
          <w:szCs w:val="24"/>
        </w:rPr>
        <w:t>Accordingly, this appeal is dismissed</w:t>
      </w:r>
      <w:r>
        <w:rPr>
          <w:rFonts w:ascii="Times New Roman" w:hAnsi="Times New Roman" w:cs="Times New Roman"/>
          <w:sz w:val="24"/>
          <w:szCs w:val="24"/>
        </w:rPr>
        <w:t>.</w:t>
      </w:r>
    </w:p>
    <w:p w14:paraId="0D4D0150" w14:textId="5E38212B" w:rsidR="00EA3F27" w:rsidRDefault="00EA3F27">
      <w:pPr>
        <w:rPr>
          <w:rFonts w:ascii="Times New Roman" w:hAnsi="Times New Roman" w:cs="Times New Roman"/>
          <w:sz w:val="24"/>
          <w:szCs w:val="24"/>
        </w:rPr>
      </w:pPr>
    </w:p>
    <w:p w14:paraId="3DD9098F" w14:textId="2AD532FB" w:rsidR="00BA23CB" w:rsidRDefault="00BA23CB">
      <w:pPr>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In respect of the cross-appeal, it must follow that if the decision is upheld that the claim was properly struck out under CPR 3.4 on one or other of the first two limbs, by the operation of CPR 44.15 there is no discretion in respect of the application of the exception to QOCs protection. Mr Dawes appeared to accept this in the course of exchanges with the Court, and therefore the Respondent’s appeal should be allowed, and the order of the deputy district judge reversed in relation to costs.</w:t>
      </w:r>
    </w:p>
    <w:p w14:paraId="50117FE7" w14:textId="4A64AE03" w:rsidR="00BA23CB" w:rsidRDefault="00BA23CB">
      <w:pPr>
        <w:rPr>
          <w:rFonts w:ascii="Times New Roman" w:hAnsi="Times New Roman" w:cs="Times New Roman"/>
          <w:sz w:val="24"/>
          <w:szCs w:val="24"/>
        </w:rPr>
      </w:pPr>
    </w:p>
    <w:p w14:paraId="137494EA" w14:textId="57C4D84B" w:rsidR="00BA23CB" w:rsidRDefault="00BA23CB">
      <w:pPr>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I invite counsel to draw up an appropriate order before we handing down of this judgement, but if agreement cannot be reached in relation to the finer details, I will hear further representations.</w:t>
      </w:r>
    </w:p>
    <w:p w14:paraId="35AA8951" w14:textId="6A62BA9F" w:rsidR="00BA23CB" w:rsidRDefault="00BA23CB">
      <w:pPr>
        <w:rPr>
          <w:rFonts w:ascii="Times New Roman" w:hAnsi="Times New Roman" w:cs="Times New Roman"/>
          <w:sz w:val="24"/>
          <w:szCs w:val="24"/>
        </w:rPr>
      </w:pPr>
    </w:p>
    <w:p w14:paraId="689E4990" w14:textId="10D42A8C" w:rsidR="00BA23CB" w:rsidRDefault="00BA23CB">
      <w:pPr>
        <w:rPr>
          <w:rFonts w:ascii="Times New Roman" w:hAnsi="Times New Roman" w:cs="Times New Roman"/>
          <w:sz w:val="24"/>
          <w:szCs w:val="24"/>
        </w:rPr>
      </w:pPr>
      <w:r>
        <w:rPr>
          <w:rFonts w:ascii="Times New Roman" w:hAnsi="Times New Roman" w:cs="Times New Roman"/>
          <w:sz w:val="24"/>
          <w:szCs w:val="24"/>
        </w:rPr>
        <w:t>HHJ Wood QC</w:t>
      </w:r>
    </w:p>
    <w:p w14:paraId="3671071D" w14:textId="4C434160" w:rsidR="00BA23CB" w:rsidRPr="00842CC8" w:rsidRDefault="00BA23CB">
      <w:pPr>
        <w:rPr>
          <w:rFonts w:ascii="Times New Roman" w:hAnsi="Times New Roman" w:cs="Times New Roman"/>
          <w:sz w:val="24"/>
          <w:szCs w:val="24"/>
        </w:rPr>
      </w:pPr>
      <w:r>
        <w:rPr>
          <w:rFonts w:ascii="Times New Roman" w:hAnsi="Times New Roman" w:cs="Times New Roman"/>
          <w:sz w:val="24"/>
          <w:szCs w:val="24"/>
        </w:rPr>
        <w:t>2</w:t>
      </w:r>
      <w:r w:rsidRPr="00BA23CB">
        <w:rPr>
          <w:rFonts w:ascii="Times New Roman" w:hAnsi="Times New Roman" w:cs="Times New Roman"/>
          <w:sz w:val="24"/>
          <w:szCs w:val="24"/>
          <w:vertAlign w:val="superscript"/>
        </w:rPr>
        <w:t>nd</w:t>
      </w:r>
      <w:r>
        <w:rPr>
          <w:rFonts w:ascii="Times New Roman" w:hAnsi="Times New Roman" w:cs="Times New Roman"/>
          <w:sz w:val="24"/>
          <w:szCs w:val="24"/>
        </w:rPr>
        <w:t xml:space="preserve"> October 2020</w:t>
      </w:r>
    </w:p>
    <w:p w14:paraId="66C7DADE" w14:textId="77777777" w:rsidR="00524083" w:rsidRPr="00842CC8" w:rsidRDefault="00524083">
      <w:pPr>
        <w:rPr>
          <w:rFonts w:ascii="Times New Roman" w:hAnsi="Times New Roman" w:cs="Times New Roman"/>
          <w:sz w:val="24"/>
          <w:szCs w:val="24"/>
        </w:rPr>
      </w:pPr>
    </w:p>
    <w:sectPr w:rsidR="00524083" w:rsidRPr="00842CC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BC342" w14:textId="77777777" w:rsidR="00DB3C0C" w:rsidRDefault="00DB3C0C" w:rsidP="00826D67">
      <w:pPr>
        <w:spacing w:after="0" w:line="240" w:lineRule="auto"/>
      </w:pPr>
      <w:r>
        <w:separator/>
      </w:r>
    </w:p>
  </w:endnote>
  <w:endnote w:type="continuationSeparator" w:id="0">
    <w:p w14:paraId="7C13EBBC" w14:textId="77777777" w:rsidR="00DB3C0C" w:rsidRDefault="00DB3C0C" w:rsidP="0082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803102"/>
      <w:docPartObj>
        <w:docPartGallery w:val="Page Numbers (Bottom of Page)"/>
        <w:docPartUnique/>
      </w:docPartObj>
    </w:sdtPr>
    <w:sdtEndPr>
      <w:rPr>
        <w:noProof/>
      </w:rPr>
    </w:sdtEndPr>
    <w:sdtContent>
      <w:p w14:paraId="16951319" w14:textId="596245E0" w:rsidR="00E43E64" w:rsidRDefault="00E43E64">
        <w:pPr>
          <w:pStyle w:val="Footer"/>
        </w:pPr>
        <w:r>
          <w:fldChar w:fldCharType="begin"/>
        </w:r>
        <w:r>
          <w:instrText xml:space="preserve"> PAGE   \* MERGEFORMAT </w:instrText>
        </w:r>
        <w:r>
          <w:fldChar w:fldCharType="separate"/>
        </w:r>
        <w:r>
          <w:rPr>
            <w:noProof/>
          </w:rPr>
          <w:t>2</w:t>
        </w:r>
        <w:r>
          <w:rPr>
            <w:noProof/>
          </w:rPr>
          <w:fldChar w:fldCharType="end"/>
        </w:r>
      </w:p>
    </w:sdtContent>
  </w:sdt>
  <w:p w14:paraId="66981BB9" w14:textId="77777777" w:rsidR="00E43E64" w:rsidRDefault="00E4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88A79" w14:textId="77777777" w:rsidR="00DB3C0C" w:rsidRDefault="00DB3C0C" w:rsidP="00826D67">
      <w:pPr>
        <w:spacing w:after="0" w:line="240" w:lineRule="auto"/>
      </w:pPr>
      <w:r>
        <w:separator/>
      </w:r>
    </w:p>
  </w:footnote>
  <w:footnote w:type="continuationSeparator" w:id="0">
    <w:p w14:paraId="466076AB" w14:textId="77777777" w:rsidR="00DB3C0C" w:rsidRDefault="00DB3C0C" w:rsidP="00826D67">
      <w:pPr>
        <w:spacing w:after="0" w:line="240" w:lineRule="auto"/>
      </w:pPr>
      <w:r>
        <w:continuationSeparator/>
      </w:r>
    </w:p>
  </w:footnote>
  <w:footnote w:id="1">
    <w:p w14:paraId="62EA312B" w14:textId="69DFEFF9" w:rsidR="00E6790E" w:rsidRPr="00E43E64" w:rsidRDefault="00E6790E">
      <w:pPr>
        <w:pStyle w:val="FootnoteText"/>
        <w:rPr>
          <w:rFonts w:cs="Times New Roman (Body CS)"/>
          <w:sz w:val="16"/>
          <w:szCs w:val="16"/>
        </w:rPr>
      </w:pPr>
      <w:r w:rsidRPr="00E43E64">
        <w:rPr>
          <w:rStyle w:val="FootnoteReference"/>
          <w:rFonts w:cs="Times New Roman (Body CS)"/>
          <w:sz w:val="16"/>
          <w:szCs w:val="16"/>
        </w:rPr>
        <w:footnoteRef/>
      </w:r>
      <w:r w:rsidRPr="00E43E64">
        <w:rPr>
          <w:rFonts w:cs="Times New Roman (Body CS)"/>
          <w:sz w:val="16"/>
          <w:szCs w:val="16"/>
        </w:rPr>
        <w:t xml:space="preserve"> Although some of this is included in a separate bundle which I have considered principally where I was referred to specific items.</w:t>
      </w:r>
    </w:p>
  </w:footnote>
  <w:footnote w:id="2">
    <w:p w14:paraId="4F39B6BE" w14:textId="1AD36DE9" w:rsidR="00E6790E" w:rsidRPr="00E43E64" w:rsidRDefault="00E6790E">
      <w:pPr>
        <w:pStyle w:val="FootnoteText"/>
        <w:rPr>
          <w:rFonts w:cs="Times New Roman (Body CS)"/>
          <w:sz w:val="16"/>
          <w:szCs w:val="16"/>
        </w:rPr>
      </w:pPr>
      <w:r w:rsidRPr="00E43E64">
        <w:rPr>
          <w:rStyle w:val="FootnoteReference"/>
          <w:rFonts w:cs="Times New Roman (Body CS)"/>
          <w:sz w:val="16"/>
          <w:szCs w:val="16"/>
        </w:rPr>
        <w:footnoteRef/>
      </w:r>
      <w:r w:rsidRPr="00E43E64">
        <w:rPr>
          <w:rFonts w:cs="Times New Roman (Body CS)"/>
          <w:sz w:val="16"/>
          <w:szCs w:val="16"/>
        </w:rPr>
        <w:t xml:space="preserve"> This was not an oversight – the reason, as will become apparent, was explained in correspondence</w:t>
      </w:r>
    </w:p>
  </w:footnote>
  <w:footnote w:id="3">
    <w:p w14:paraId="4D5BB177" w14:textId="07F78931" w:rsidR="00E6790E" w:rsidRDefault="00E6790E">
      <w:pPr>
        <w:pStyle w:val="FootnoteText"/>
      </w:pPr>
      <w:r w:rsidRPr="00E43E64">
        <w:rPr>
          <w:rStyle w:val="FootnoteReference"/>
          <w:rFonts w:cs="Times New Roman (Body CS)"/>
          <w:sz w:val="16"/>
          <w:szCs w:val="16"/>
        </w:rPr>
        <w:footnoteRef/>
      </w:r>
      <w:r w:rsidRPr="00E43E64">
        <w:rPr>
          <w:rFonts w:cs="Times New Roman (Body CS)"/>
          <w:sz w:val="16"/>
          <w:szCs w:val="16"/>
        </w:rPr>
        <w:t xml:space="preserve"> it is quite possible that this was because of the events described in the following paragraph</w:t>
      </w:r>
    </w:p>
  </w:footnote>
  <w:footnote w:id="4">
    <w:p w14:paraId="46188472" w14:textId="201EEBD9" w:rsidR="00E6790E" w:rsidRPr="00A05371" w:rsidRDefault="00E6790E">
      <w:pPr>
        <w:pStyle w:val="FootnoteText"/>
        <w:rPr>
          <w:sz w:val="16"/>
          <w:szCs w:val="16"/>
        </w:rPr>
      </w:pPr>
      <w:r w:rsidRPr="00A05371">
        <w:rPr>
          <w:rStyle w:val="FootnoteReference"/>
          <w:sz w:val="16"/>
          <w:szCs w:val="16"/>
        </w:rPr>
        <w:footnoteRef/>
      </w:r>
      <w:r w:rsidRPr="00A05371">
        <w:rPr>
          <w:sz w:val="16"/>
          <w:szCs w:val="16"/>
        </w:rPr>
        <w:t xml:space="preserve"> </w:t>
      </w:r>
      <w:proofErr w:type="spellStart"/>
      <w:r w:rsidRPr="00A05371">
        <w:rPr>
          <w:sz w:val="16"/>
          <w:szCs w:val="16"/>
        </w:rPr>
        <w:t>ie</w:t>
      </w:r>
      <w:proofErr w:type="spellEnd"/>
      <w:r w:rsidRPr="00A05371">
        <w:rPr>
          <w:sz w:val="16"/>
          <w:szCs w:val="16"/>
        </w:rPr>
        <w:t xml:space="preserve"> that of the bus driver, and present Claimant Mr Mullen</w:t>
      </w:r>
    </w:p>
  </w:footnote>
  <w:footnote w:id="5">
    <w:p w14:paraId="796BE7B2" w14:textId="56E1E8EB" w:rsidR="00E6790E" w:rsidRDefault="00E6790E">
      <w:pPr>
        <w:pStyle w:val="FootnoteText"/>
      </w:pPr>
      <w:r>
        <w:rPr>
          <w:rStyle w:val="FootnoteReference"/>
        </w:rPr>
        <w:footnoteRef/>
      </w:r>
      <w:r>
        <w:t xml:space="preserve"> </w:t>
      </w:r>
      <w:r w:rsidRPr="0039450E">
        <w:rPr>
          <w:sz w:val="18"/>
          <w:szCs w:val="18"/>
        </w:rPr>
        <w:t>I have made mention of this letter because it was inadvertently considered by me, and I am conscious that I told counsel that I would not go "ferreting" through this controversial bundle. If I had been aware of it I would have raised it with both counsel, although as will become apparent it does not make a difference to the outcome of the appeal</w:t>
      </w:r>
      <w:r w:rsidR="0039450E">
        <w:rPr>
          <w:sz w:val="18"/>
          <w:szCs w:val="18"/>
        </w:rPr>
        <w:t>.</w:t>
      </w:r>
    </w:p>
  </w:footnote>
  <w:footnote w:id="6">
    <w:p w14:paraId="54874FB2" w14:textId="7046409B" w:rsidR="00E6790E" w:rsidRPr="00A05371" w:rsidRDefault="00E6790E">
      <w:pPr>
        <w:pStyle w:val="FootnoteText"/>
        <w:rPr>
          <w:sz w:val="16"/>
          <w:szCs w:val="16"/>
        </w:rPr>
      </w:pPr>
      <w:r w:rsidRPr="00A05371">
        <w:rPr>
          <w:rStyle w:val="FootnoteReference"/>
          <w:sz w:val="16"/>
          <w:szCs w:val="16"/>
        </w:rPr>
        <w:footnoteRef/>
      </w:r>
      <w:r w:rsidRPr="00A05371">
        <w:rPr>
          <w:sz w:val="16"/>
          <w:szCs w:val="16"/>
        </w:rPr>
        <w:t xml:space="preserve"> My emphasis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F1119"/>
    <w:multiLevelType w:val="multilevel"/>
    <w:tmpl w:val="33E441CE"/>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240" w:hanging="36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480" w:hanging="72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9720" w:hanging="1080"/>
      </w:pPr>
      <w:rPr>
        <w:rFonts w:hint="default"/>
        <w:b/>
      </w:rPr>
    </w:lvl>
    <w:lvl w:ilvl="7">
      <w:start w:val="1"/>
      <w:numFmt w:val="decimal"/>
      <w:lvlText w:val="%1.%2.%3.%4.%5.%6.%7.%8"/>
      <w:lvlJc w:val="left"/>
      <w:pPr>
        <w:ind w:left="11160" w:hanging="1080"/>
      </w:pPr>
      <w:rPr>
        <w:rFonts w:hint="default"/>
        <w:b/>
      </w:rPr>
    </w:lvl>
    <w:lvl w:ilvl="8">
      <w:start w:val="1"/>
      <w:numFmt w:val="decimal"/>
      <w:lvlText w:val="%1.%2.%3.%4.%5.%6.%7.%8.%9"/>
      <w:lvlJc w:val="left"/>
      <w:pPr>
        <w:ind w:left="1296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8F39071-C831-4F40-A3E9-053475220BAF}"/>
    <w:docVar w:name="dgnword-eventsink" w:val="454775216"/>
  </w:docVars>
  <w:rsids>
    <w:rsidRoot w:val="00961785"/>
    <w:rsid w:val="00072C88"/>
    <w:rsid w:val="00094011"/>
    <w:rsid w:val="001350B9"/>
    <w:rsid w:val="00161631"/>
    <w:rsid w:val="00186EAE"/>
    <w:rsid w:val="001B0BA5"/>
    <w:rsid w:val="00203C90"/>
    <w:rsid w:val="00217FA0"/>
    <w:rsid w:val="002204C7"/>
    <w:rsid w:val="0024649C"/>
    <w:rsid w:val="002C6E3B"/>
    <w:rsid w:val="002F59A8"/>
    <w:rsid w:val="002F7333"/>
    <w:rsid w:val="00351433"/>
    <w:rsid w:val="00355FA1"/>
    <w:rsid w:val="0039450E"/>
    <w:rsid w:val="003C3B0D"/>
    <w:rsid w:val="003D1087"/>
    <w:rsid w:val="0043739F"/>
    <w:rsid w:val="0044081B"/>
    <w:rsid w:val="004A03FC"/>
    <w:rsid w:val="00524083"/>
    <w:rsid w:val="00524D2C"/>
    <w:rsid w:val="00560B4B"/>
    <w:rsid w:val="005A365A"/>
    <w:rsid w:val="005C6D4D"/>
    <w:rsid w:val="005E3997"/>
    <w:rsid w:val="005E4A1E"/>
    <w:rsid w:val="00615AC0"/>
    <w:rsid w:val="00673223"/>
    <w:rsid w:val="006E7ADB"/>
    <w:rsid w:val="007575B9"/>
    <w:rsid w:val="00765E25"/>
    <w:rsid w:val="00791204"/>
    <w:rsid w:val="007C39C5"/>
    <w:rsid w:val="007C43B5"/>
    <w:rsid w:val="007D262E"/>
    <w:rsid w:val="007E78A6"/>
    <w:rsid w:val="00826D67"/>
    <w:rsid w:val="00842CC8"/>
    <w:rsid w:val="008459F6"/>
    <w:rsid w:val="008D6DF9"/>
    <w:rsid w:val="0090006B"/>
    <w:rsid w:val="009051AD"/>
    <w:rsid w:val="00924FDA"/>
    <w:rsid w:val="00961785"/>
    <w:rsid w:val="009B067A"/>
    <w:rsid w:val="00A05371"/>
    <w:rsid w:val="00A366B2"/>
    <w:rsid w:val="00A560FA"/>
    <w:rsid w:val="00AA2BBD"/>
    <w:rsid w:val="00AA4442"/>
    <w:rsid w:val="00AF627D"/>
    <w:rsid w:val="00B26C8C"/>
    <w:rsid w:val="00B57311"/>
    <w:rsid w:val="00BA23CB"/>
    <w:rsid w:val="00D03D4A"/>
    <w:rsid w:val="00D30DA9"/>
    <w:rsid w:val="00D47CFC"/>
    <w:rsid w:val="00DA1207"/>
    <w:rsid w:val="00DB3C0C"/>
    <w:rsid w:val="00E4380A"/>
    <w:rsid w:val="00E43E64"/>
    <w:rsid w:val="00E55DF6"/>
    <w:rsid w:val="00E57D00"/>
    <w:rsid w:val="00E6790E"/>
    <w:rsid w:val="00EA3F27"/>
    <w:rsid w:val="00EB645A"/>
    <w:rsid w:val="00EC0524"/>
    <w:rsid w:val="00EC51EB"/>
    <w:rsid w:val="00F75427"/>
    <w:rsid w:val="00FA06D7"/>
    <w:rsid w:val="00FF1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643A"/>
  <w15:chartTrackingRefBased/>
  <w15:docId w15:val="{525420D5-BB9D-4958-85F9-EC75731F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4081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2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D67"/>
    <w:rPr>
      <w:sz w:val="20"/>
      <w:szCs w:val="20"/>
    </w:rPr>
  </w:style>
  <w:style w:type="character" w:styleId="FootnoteReference">
    <w:name w:val="footnote reference"/>
    <w:basedOn w:val="DefaultParagraphFont"/>
    <w:uiPriority w:val="99"/>
    <w:semiHidden/>
    <w:unhideWhenUsed/>
    <w:rsid w:val="00826D67"/>
    <w:rPr>
      <w:vertAlign w:val="superscript"/>
    </w:rPr>
  </w:style>
  <w:style w:type="paragraph" w:styleId="ListParagraph">
    <w:name w:val="List Paragraph"/>
    <w:basedOn w:val="Normal"/>
    <w:uiPriority w:val="34"/>
    <w:qFormat/>
    <w:rsid w:val="00826D67"/>
    <w:pPr>
      <w:ind w:left="720"/>
      <w:contextualSpacing/>
    </w:pPr>
  </w:style>
  <w:style w:type="character" w:customStyle="1" w:styleId="Heading3Char">
    <w:name w:val="Heading 3 Char"/>
    <w:basedOn w:val="DefaultParagraphFont"/>
    <w:link w:val="Heading3"/>
    <w:uiPriority w:val="9"/>
    <w:rsid w:val="0044081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408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081B"/>
    <w:rPr>
      <w:b/>
      <w:bCs/>
    </w:rPr>
  </w:style>
  <w:style w:type="character" w:styleId="Hyperlink">
    <w:name w:val="Hyperlink"/>
    <w:basedOn w:val="DefaultParagraphFont"/>
    <w:uiPriority w:val="99"/>
    <w:semiHidden/>
    <w:unhideWhenUsed/>
    <w:rsid w:val="00765E25"/>
    <w:rPr>
      <w:color w:val="0000FF"/>
      <w:u w:val="single"/>
    </w:rPr>
  </w:style>
  <w:style w:type="paragraph" w:customStyle="1" w:styleId="JudgmentHeader">
    <w:name w:val="JudgmentHeader"/>
    <w:basedOn w:val="Normal"/>
    <w:rsid w:val="00E43E64"/>
    <w:pPr>
      <w:spacing w:after="0" w:line="240" w:lineRule="auto"/>
    </w:pPr>
    <w:rPr>
      <w:rFonts w:ascii="Arial" w:eastAsia="Times New Roman" w:hAnsi="Arial" w:cs="Times New Roman"/>
      <w:b/>
      <w:i/>
      <w:sz w:val="24"/>
      <w:szCs w:val="24"/>
      <w:u w:val="single"/>
      <w:lang w:eastAsia="en-GB"/>
    </w:rPr>
  </w:style>
  <w:style w:type="paragraph" w:customStyle="1" w:styleId="Between">
    <w:name w:val="Between"/>
    <w:basedOn w:val="Normal"/>
    <w:next w:val="Normal"/>
    <w:rsid w:val="00E43E64"/>
    <w:pPr>
      <w:spacing w:after="0" w:line="240" w:lineRule="auto"/>
    </w:pPr>
    <w:rPr>
      <w:rFonts w:ascii="Arial" w:eastAsia="Times New Roman" w:hAnsi="Arial" w:cs="Times New Roman"/>
      <w:b/>
      <w:i/>
      <w:caps/>
      <w:sz w:val="24"/>
      <w:szCs w:val="24"/>
      <w:lang w:eastAsia="en-GB"/>
    </w:rPr>
  </w:style>
  <w:style w:type="paragraph" w:customStyle="1" w:styleId="PartyDesc">
    <w:name w:val="PartyDesc"/>
    <w:basedOn w:val="Normal"/>
    <w:next w:val="Normal"/>
    <w:rsid w:val="00E43E64"/>
    <w:pPr>
      <w:spacing w:after="0" w:line="240" w:lineRule="auto"/>
      <w:jc w:val="right"/>
    </w:pPr>
    <w:rPr>
      <w:rFonts w:ascii="Arial" w:eastAsia="Times New Roman" w:hAnsi="Arial" w:cs="Times New Roman"/>
      <w:b/>
      <w:i/>
      <w:sz w:val="24"/>
      <w:szCs w:val="24"/>
      <w:lang w:eastAsia="en-GB"/>
    </w:rPr>
  </w:style>
  <w:style w:type="paragraph" w:styleId="Header">
    <w:name w:val="header"/>
    <w:basedOn w:val="Normal"/>
    <w:link w:val="HeaderChar"/>
    <w:uiPriority w:val="99"/>
    <w:unhideWhenUsed/>
    <w:rsid w:val="00E4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E64"/>
  </w:style>
  <w:style w:type="paragraph" w:styleId="Footer">
    <w:name w:val="footer"/>
    <w:basedOn w:val="Normal"/>
    <w:link w:val="FooterChar"/>
    <w:uiPriority w:val="99"/>
    <w:unhideWhenUsed/>
    <w:rsid w:val="00E4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2235">
      <w:bodyDiv w:val="1"/>
      <w:marLeft w:val="0"/>
      <w:marRight w:val="0"/>
      <w:marTop w:val="0"/>
      <w:marBottom w:val="0"/>
      <w:divBdr>
        <w:top w:val="none" w:sz="0" w:space="0" w:color="auto"/>
        <w:left w:val="none" w:sz="0" w:space="0" w:color="auto"/>
        <w:bottom w:val="none" w:sz="0" w:space="0" w:color="auto"/>
        <w:right w:val="none" w:sz="0" w:space="0" w:color="auto"/>
      </w:divBdr>
    </w:div>
    <w:div w:id="139424314">
      <w:bodyDiv w:val="1"/>
      <w:marLeft w:val="0"/>
      <w:marRight w:val="0"/>
      <w:marTop w:val="0"/>
      <w:marBottom w:val="0"/>
      <w:divBdr>
        <w:top w:val="none" w:sz="0" w:space="0" w:color="auto"/>
        <w:left w:val="none" w:sz="0" w:space="0" w:color="auto"/>
        <w:bottom w:val="none" w:sz="0" w:space="0" w:color="auto"/>
        <w:right w:val="none" w:sz="0" w:space="0" w:color="auto"/>
      </w:divBdr>
    </w:div>
    <w:div w:id="184486516">
      <w:bodyDiv w:val="1"/>
      <w:marLeft w:val="0"/>
      <w:marRight w:val="0"/>
      <w:marTop w:val="0"/>
      <w:marBottom w:val="0"/>
      <w:divBdr>
        <w:top w:val="none" w:sz="0" w:space="0" w:color="auto"/>
        <w:left w:val="none" w:sz="0" w:space="0" w:color="auto"/>
        <w:bottom w:val="none" w:sz="0" w:space="0" w:color="auto"/>
        <w:right w:val="none" w:sz="0" w:space="0" w:color="auto"/>
      </w:divBdr>
    </w:div>
    <w:div w:id="325746373">
      <w:bodyDiv w:val="1"/>
      <w:marLeft w:val="0"/>
      <w:marRight w:val="0"/>
      <w:marTop w:val="0"/>
      <w:marBottom w:val="0"/>
      <w:divBdr>
        <w:top w:val="none" w:sz="0" w:space="0" w:color="auto"/>
        <w:left w:val="none" w:sz="0" w:space="0" w:color="auto"/>
        <w:bottom w:val="none" w:sz="0" w:space="0" w:color="auto"/>
        <w:right w:val="none" w:sz="0" w:space="0" w:color="auto"/>
      </w:divBdr>
    </w:div>
    <w:div w:id="1017460254">
      <w:bodyDiv w:val="1"/>
      <w:marLeft w:val="0"/>
      <w:marRight w:val="0"/>
      <w:marTop w:val="0"/>
      <w:marBottom w:val="0"/>
      <w:divBdr>
        <w:top w:val="none" w:sz="0" w:space="0" w:color="auto"/>
        <w:left w:val="none" w:sz="0" w:space="0" w:color="auto"/>
        <w:bottom w:val="none" w:sz="0" w:space="0" w:color="auto"/>
        <w:right w:val="none" w:sz="0" w:space="0" w:color="auto"/>
      </w:divBdr>
    </w:div>
    <w:div w:id="1357001176">
      <w:bodyDiv w:val="1"/>
      <w:marLeft w:val="0"/>
      <w:marRight w:val="0"/>
      <w:marTop w:val="0"/>
      <w:marBottom w:val="0"/>
      <w:divBdr>
        <w:top w:val="none" w:sz="0" w:space="0" w:color="auto"/>
        <w:left w:val="none" w:sz="0" w:space="0" w:color="auto"/>
        <w:bottom w:val="none" w:sz="0" w:space="0" w:color="auto"/>
        <w:right w:val="none" w:sz="0" w:space="0" w:color="auto"/>
      </w:divBdr>
    </w:div>
    <w:div w:id="205049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BC16EA6-AFA2-4B37-AD95-DD1F0F48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5732</Words>
  <Characters>32678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QC, HHJ Graham</dc:creator>
  <cp:keywords/>
  <dc:description/>
  <cp:lastModifiedBy>Microsoft Office User</cp:lastModifiedBy>
  <cp:revision>2</cp:revision>
  <cp:lastPrinted>2020-10-01T14:37:00Z</cp:lastPrinted>
  <dcterms:created xsi:type="dcterms:W3CDTF">2020-10-19T17:31:00Z</dcterms:created>
  <dcterms:modified xsi:type="dcterms:W3CDTF">2020-10-19T17:31:00Z</dcterms:modified>
</cp:coreProperties>
</file>