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1584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69F0A5D8" w:rsidR="001A3EB2" w:rsidRDefault="00EF1CA2">
      <w:r>
        <w:rPr>
          <w:noProof/>
        </w:rPr>
        <w:drawing>
          <wp:anchor distT="0" distB="0" distL="114300" distR="114300" simplePos="0" relativeHeight="251677184" behindDoc="0" locked="0" layoutInCell="1" allowOverlap="1" wp14:anchorId="06392CC4" wp14:editId="10456162">
            <wp:simplePos x="0" y="0"/>
            <wp:positionH relativeFrom="column">
              <wp:posOffset>5002530</wp:posOffset>
            </wp:positionH>
            <wp:positionV relativeFrom="paragraph">
              <wp:posOffset>255270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7DB97DD" wp14:editId="4E57DA1E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B97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11.75pt;margin-top:12.75pt;width:244.5pt;height:26.2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730D3BBD" w:rsidR="001A3EB2" w:rsidRDefault="001A3EB2"/>
    <w:p w14:paraId="4BE9E914" w14:textId="13BD8DAB" w:rsidR="00F60528" w:rsidRDefault="00F60528" w:rsidP="00216030">
      <w:pPr>
        <w:spacing w:after="0"/>
        <w:jc w:val="center"/>
        <w:rPr>
          <w:rFonts w:ascii="Times New Roman" w:hAnsi="Times New Roman" w:cs="Times New Roman"/>
        </w:rPr>
      </w:pPr>
    </w:p>
    <w:p w14:paraId="52D1B2E9" w14:textId="48D14A28" w:rsidR="006A202E" w:rsidRPr="00DE26A0" w:rsidRDefault="00924C1F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Are you buying a </w:t>
      </w:r>
      <w:r w:rsidR="006A202E" w:rsidRPr="00DE26A0">
        <w:rPr>
          <w:rFonts w:ascii="Times New Roman" w:hAnsi="Times New Roman" w:cs="Times New Roman"/>
          <w:b/>
          <w:bCs/>
          <w:sz w:val="32"/>
          <w:szCs w:val="32"/>
        </w:rPr>
        <w:t>Second Home or Investment Property?</w:t>
      </w:r>
    </w:p>
    <w:p w14:paraId="3DEFB09E" w14:textId="7BF47D29" w:rsidR="00DE26A0" w:rsidRDefault="00DE26A0" w:rsidP="006A202E">
      <w:pPr>
        <w:spacing w:after="0"/>
        <w:jc w:val="center"/>
        <w:rPr>
          <w:rFonts w:ascii="Times New Roman" w:hAnsi="Times New Roman" w:cs="Times New Roman"/>
        </w:rPr>
      </w:pPr>
    </w:p>
    <w:p w14:paraId="6D729669" w14:textId="6006DDC1" w:rsidR="00DE26A0" w:rsidRDefault="00A761DA" w:rsidP="004C589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your clients trying to determine if they can purchase a Second Home </w:t>
      </w:r>
      <w:r w:rsidR="00071D39">
        <w:rPr>
          <w:rFonts w:ascii="Times New Roman" w:hAnsi="Times New Roman" w:cs="Times New Roman"/>
        </w:rPr>
        <w:t>vs an Investment Property?  This chart will give you the details to help guide your clients in the right direction.</w:t>
      </w:r>
    </w:p>
    <w:p w14:paraId="02761E51" w14:textId="0875BDCE" w:rsidR="00071D39" w:rsidRDefault="00071D39" w:rsidP="00DE26A0">
      <w:pPr>
        <w:spacing w:after="0"/>
        <w:rPr>
          <w:rFonts w:ascii="Times New Roman" w:hAnsi="Times New Roman" w:cs="Times New Roman"/>
        </w:rPr>
      </w:pP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071D39" w14:paraId="56AC3ED6" w14:textId="77777777" w:rsidTr="00BD3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14:paraId="6D798F59" w14:textId="77777777" w:rsidR="00071D39" w:rsidRDefault="00071D39" w:rsidP="00DE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7" w:type="dxa"/>
          </w:tcPr>
          <w:p w14:paraId="6B7D3FB7" w14:textId="02A828C5" w:rsidR="00071D39" w:rsidRDefault="00C11AFD" w:rsidP="00DE26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Investment Property</w:t>
            </w:r>
          </w:p>
        </w:tc>
        <w:tc>
          <w:tcPr>
            <w:tcW w:w="3417" w:type="dxa"/>
          </w:tcPr>
          <w:p w14:paraId="3F024F62" w14:textId="656A3C8A" w:rsidR="00071D39" w:rsidRDefault="00C11AFD" w:rsidP="00DE26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Second Home </w:t>
            </w:r>
          </w:p>
        </w:tc>
      </w:tr>
      <w:tr w:rsidR="00071D39" w14:paraId="61FE09C2" w14:textId="77777777" w:rsidTr="00BD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14:paraId="28F38896" w14:textId="5A121F2B" w:rsidR="00071D39" w:rsidRDefault="00000EFD" w:rsidP="00DE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Occupancy</w:t>
            </w:r>
          </w:p>
        </w:tc>
        <w:tc>
          <w:tcPr>
            <w:tcW w:w="3417" w:type="dxa"/>
          </w:tcPr>
          <w:p w14:paraId="21CBAB1A" w14:textId="693FDD36" w:rsidR="00071D39" w:rsidRDefault="00000EFD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Borrower not required to live in property at any time</w:t>
            </w:r>
          </w:p>
        </w:tc>
        <w:tc>
          <w:tcPr>
            <w:tcW w:w="3417" w:type="dxa"/>
          </w:tcPr>
          <w:p w14:paraId="1D6FB84C" w14:textId="082F01BE" w:rsidR="00071D39" w:rsidRDefault="00000EFD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Borrower must occupy the property part of the year</w:t>
            </w:r>
          </w:p>
        </w:tc>
      </w:tr>
      <w:tr w:rsidR="00071D39" w14:paraId="0141D906" w14:textId="77777777" w:rsidTr="00BD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14:paraId="69C9429F" w14:textId="7946F3E1" w:rsidR="00071D39" w:rsidRDefault="00A63E35" w:rsidP="00DE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Down Payment</w:t>
            </w:r>
          </w:p>
        </w:tc>
        <w:tc>
          <w:tcPr>
            <w:tcW w:w="3417" w:type="dxa"/>
          </w:tcPr>
          <w:p w14:paraId="690DC439" w14:textId="524B9B65" w:rsidR="00071D39" w:rsidRDefault="00A63E35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– 25% required of purchase price</w:t>
            </w:r>
          </w:p>
        </w:tc>
        <w:tc>
          <w:tcPr>
            <w:tcW w:w="3417" w:type="dxa"/>
          </w:tcPr>
          <w:p w14:paraId="502D9F37" w14:textId="78A01FEB" w:rsidR="00071D39" w:rsidRDefault="00A63E35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 required of purchase price</w:t>
            </w:r>
          </w:p>
        </w:tc>
      </w:tr>
      <w:tr w:rsidR="00071D39" w14:paraId="7C060D92" w14:textId="77777777" w:rsidTr="00BD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14:paraId="562F7F10" w14:textId="74AC99D4" w:rsidR="00071D39" w:rsidRDefault="00095731" w:rsidP="00DE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Interest Rate</w:t>
            </w:r>
          </w:p>
        </w:tc>
        <w:tc>
          <w:tcPr>
            <w:tcW w:w="3417" w:type="dxa"/>
          </w:tcPr>
          <w:p w14:paraId="772A7861" w14:textId="7A77DFB5" w:rsidR="00071D39" w:rsidRDefault="00095731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Higher than Primary </w:t>
            </w:r>
            <w:r w:rsidR="00EC2FDB">
              <w:rPr>
                <w:rFonts w:ascii="Times New Roman" w:hAnsi="Times New Roman" w:cs="Times New Roman"/>
              </w:rPr>
              <w:t>or Second Home loan</w:t>
            </w:r>
          </w:p>
        </w:tc>
        <w:tc>
          <w:tcPr>
            <w:tcW w:w="3417" w:type="dxa"/>
          </w:tcPr>
          <w:p w14:paraId="3359184D" w14:textId="36082CB8" w:rsidR="00071D39" w:rsidRDefault="0011185A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than a primary residence but not as high as an investment property</w:t>
            </w:r>
          </w:p>
        </w:tc>
      </w:tr>
      <w:tr w:rsidR="00071D39" w14:paraId="4D21DB67" w14:textId="77777777" w:rsidTr="00BD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14:paraId="0F43A4CF" w14:textId="1CE28076" w:rsidR="00071D39" w:rsidRDefault="00CA22F9" w:rsidP="00DE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Rental Income</w:t>
            </w:r>
          </w:p>
        </w:tc>
        <w:tc>
          <w:tcPr>
            <w:tcW w:w="3417" w:type="dxa"/>
          </w:tcPr>
          <w:p w14:paraId="31165BF6" w14:textId="41A44DE6" w:rsidR="00071D39" w:rsidRDefault="00BD65AB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Yes, </w:t>
            </w:r>
            <w:r w:rsidR="00D07892">
              <w:rPr>
                <w:rFonts w:ascii="Times New Roman" w:hAnsi="Times New Roman" w:cs="Times New Roman"/>
              </w:rPr>
              <w:t>the property can be rented out and potentially used for qualifying income</w:t>
            </w:r>
          </w:p>
        </w:tc>
        <w:tc>
          <w:tcPr>
            <w:tcW w:w="3417" w:type="dxa"/>
          </w:tcPr>
          <w:p w14:paraId="41D2C023" w14:textId="04C3EF7E" w:rsidR="00071D39" w:rsidRDefault="00D07892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No, the property cannot be rented out</w:t>
            </w:r>
            <w:r w:rsidR="000F20C7">
              <w:rPr>
                <w:rFonts w:ascii="Times New Roman" w:hAnsi="Times New Roman" w:cs="Times New Roman"/>
              </w:rPr>
              <w:t>.  No rental income can be used for qualification</w:t>
            </w:r>
          </w:p>
        </w:tc>
      </w:tr>
      <w:tr w:rsidR="00071D39" w14:paraId="5BB734A6" w14:textId="77777777" w:rsidTr="00BD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14:paraId="26EACC58" w14:textId="3AAA9CAE" w:rsidR="00071D39" w:rsidRDefault="000F20C7" w:rsidP="00DE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Proximity to Current Home</w:t>
            </w:r>
          </w:p>
        </w:tc>
        <w:tc>
          <w:tcPr>
            <w:tcW w:w="3417" w:type="dxa"/>
          </w:tcPr>
          <w:p w14:paraId="18AE2237" w14:textId="5F3DDFA8" w:rsidR="00071D39" w:rsidRDefault="000F20C7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Restrictions</w:t>
            </w:r>
          </w:p>
        </w:tc>
        <w:tc>
          <w:tcPr>
            <w:tcW w:w="3417" w:type="dxa"/>
          </w:tcPr>
          <w:p w14:paraId="6B634E14" w14:textId="24CBD6F8" w:rsidR="00071D39" w:rsidRDefault="00BD2557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Typically, the new home must be located far enough away from the primary home or in a “vacation” area that makes sense</w:t>
            </w:r>
            <w:r w:rsidR="00F3005F">
              <w:rPr>
                <w:rFonts w:ascii="Times New Roman" w:hAnsi="Times New Roman" w:cs="Times New Roman"/>
              </w:rPr>
              <w:t xml:space="preserve"> to call it a 2</w:t>
            </w:r>
            <w:r w:rsidR="00F3005F" w:rsidRPr="00F3005F">
              <w:rPr>
                <w:rFonts w:ascii="Times New Roman" w:hAnsi="Times New Roman" w:cs="Times New Roman"/>
                <w:vertAlign w:val="superscript"/>
              </w:rPr>
              <w:t>nd</w:t>
            </w:r>
            <w:r w:rsidR="00F3005F">
              <w:rPr>
                <w:rFonts w:ascii="Times New Roman" w:hAnsi="Times New Roman" w:cs="Times New Roman"/>
              </w:rPr>
              <w:t xml:space="preserve"> home</w:t>
            </w:r>
          </w:p>
        </w:tc>
      </w:tr>
      <w:tr w:rsidR="00F3005F" w14:paraId="77BB5002" w14:textId="77777777" w:rsidTr="00BD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14:paraId="4A0807D0" w14:textId="390A26A3" w:rsidR="00F3005F" w:rsidRDefault="00F3005F" w:rsidP="00DE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Home</w:t>
            </w:r>
          </w:p>
        </w:tc>
        <w:tc>
          <w:tcPr>
            <w:tcW w:w="3417" w:type="dxa"/>
          </w:tcPr>
          <w:p w14:paraId="31209247" w14:textId="5AF9EECF" w:rsidR="00F3005F" w:rsidRDefault="00F3005F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Income </w:t>
            </w:r>
          </w:p>
        </w:tc>
        <w:tc>
          <w:tcPr>
            <w:tcW w:w="3417" w:type="dxa"/>
          </w:tcPr>
          <w:p w14:paraId="49986DDB" w14:textId="1469D4B5" w:rsidR="00F3005F" w:rsidRDefault="00F3005F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 use and enjoyment</w:t>
            </w:r>
          </w:p>
        </w:tc>
      </w:tr>
      <w:tr w:rsidR="00F3005F" w14:paraId="59330C74" w14:textId="77777777" w:rsidTr="00BD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14:paraId="611CDC07" w14:textId="2810D694" w:rsidR="00F3005F" w:rsidRDefault="00EE5F35" w:rsidP="00DE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Property Access</w:t>
            </w:r>
          </w:p>
        </w:tc>
        <w:tc>
          <w:tcPr>
            <w:tcW w:w="3417" w:type="dxa"/>
          </w:tcPr>
          <w:p w14:paraId="2B31E3C4" w14:textId="1C983E62" w:rsidR="00F3005F" w:rsidRDefault="00F04F4D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Year-round access to the property is required</w:t>
            </w:r>
          </w:p>
        </w:tc>
        <w:tc>
          <w:tcPr>
            <w:tcW w:w="3417" w:type="dxa"/>
          </w:tcPr>
          <w:p w14:paraId="33FBAD45" w14:textId="1F8ABB5F" w:rsidR="00F3005F" w:rsidRDefault="00F04F4D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Year-round</w:t>
            </w:r>
            <w:r w:rsidR="00EE5F35">
              <w:rPr>
                <w:rFonts w:ascii="Times New Roman" w:hAnsi="Times New Roman" w:cs="Times New Roman"/>
              </w:rPr>
              <w:t xml:space="preserve"> access to the property </w:t>
            </w:r>
            <w:r>
              <w:rPr>
                <w:rFonts w:ascii="Times New Roman" w:hAnsi="Times New Roman" w:cs="Times New Roman"/>
              </w:rPr>
              <w:t>is required</w:t>
            </w:r>
          </w:p>
        </w:tc>
      </w:tr>
      <w:tr w:rsidR="00F04F4D" w14:paraId="79B9867E" w14:textId="77777777" w:rsidTr="00BD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14:paraId="50887273" w14:textId="32E8DF14" w:rsidR="00F04F4D" w:rsidRDefault="00665B80" w:rsidP="00DE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Units</w:t>
            </w:r>
          </w:p>
        </w:tc>
        <w:tc>
          <w:tcPr>
            <w:tcW w:w="3417" w:type="dxa"/>
          </w:tcPr>
          <w:p w14:paraId="1D9B84B7" w14:textId="7F49D8EC" w:rsidR="00F04F4D" w:rsidRDefault="00665B80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4 Units</w:t>
            </w:r>
          </w:p>
        </w:tc>
        <w:tc>
          <w:tcPr>
            <w:tcW w:w="3417" w:type="dxa"/>
          </w:tcPr>
          <w:p w14:paraId="723F1946" w14:textId="21DEA762" w:rsidR="00F04F4D" w:rsidRDefault="00665B80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</w:t>
            </w:r>
          </w:p>
        </w:tc>
      </w:tr>
      <w:tr w:rsidR="00665B80" w14:paraId="0F645AA6" w14:textId="77777777" w:rsidTr="00BD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14:paraId="47BE6699" w14:textId="342254A7" w:rsidR="00665B80" w:rsidRDefault="00665B80" w:rsidP="00DE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Property Type</w:t>
            </w:r>
            <w:r w:rsidR="000B5FDA">
              <w:rPr>
                <w:rFonts w:ascii="Times New Roman" w:hAnsi="Times New Roman" w:cs="Times New Roman"/>
              </w:rPr>
              <w:t xml:space="preserve"> Allowed</w:t>
            </w:r>
          </w:p>
        </w:tc>
        <w:tc>
          <w:tcPr>
            <w:tcW w:w="3417" w:type="dxa"/>
          </w:tcPr>
          <w:p w14:paraId="6E72DDA9" w14:textId="3FF36EE6" w:rsidR="00665B80" w:rsidRDefault="000B5FDA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SFR, Condo, Townhome, PUD</w:t>
            </w:r>
          </w:p>
        </w:tc>
        <w:tc>
          <w:tcPr>
            <w:tcW w:w="3417" w:type="dxa"/>
          </w:tcPr>
          <w:p w14:paraId="47AE93AE" w14:textId="66A6F8FB" w:rsidR="00665B80" w:rsidRDefault="000B5FDA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SFR, Condo, Townhome, PUD</w:t>
            </w:r>
          </w:p>
        </w:tc>
      </w:tr>
      <w:tr w:rsidR="00B21095" w14:paraId="20B0FE1B" w14:textId="77777777" w:rsidTr="00BD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</w:tcPr>
          <w:p w14:paraId="2F9E1E76" w14:textId="44C0A8DB" w:rsidR="00B21095" w:rsidRDefault="00B21095" w:rsidP="00DE2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 Implications</w:t>
            </w:r>
          </w:p>
        </w:tc>
        <w:tc>
          <w:tcPr>
            <w:tcW w:w="3417" w:type="dxa"/>
          </w:tcPr>
          <w:p w14:paraId="600360EB" w14:textId="015C69D9" w:rsidR="00B21095" w:rsidRDefault="00B21095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</w:t>
            </w:r>
            <w:r w:rsidR="008D4202">
              <w:rPr>
                <w:rFonts w:ascii="Times New Roman" w:hAnsi="Times New Roman" w:cs="Times New Roman"/>
              </w:rPr>
              <w:t>consult a tax professional as tax laws change yearly</w:t>
            </w:r>
          </w:p>
        </w:tc>
        <w:tc>
          <w:tcPr>
            <w:tcW w:w="3417" w:type="dxa"/>
          </w:tcPr>
          <w:p w14:paraId="7CA9FF38" w14:textId="3A4616FB" w:rsidR="00B21095" w:rsidRDefault="008D4202" w:rsidP="00DE2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consult a tax professional as tax laws change yearly</w:t>
            </w:r>
          </w:p>
        </w:tc>
      </w:tr>
    </w:tbl>
    <w:p w14:paraId="27FF3A0B" w14:textId="74B961C4" w:rsidR="00071D39" w:rsidRDefault="00071D39" w:rsidP="00DE26A0">
      <w:pPr>
        <w:spacing w:after="0"/>
        <w:rPr>
          <w:rFonts w:ascii="Times New Roman" w:hAnsi="Times New Roman" w:cs="Times New Roman"/>
        </w:rPr>
      </w:pPr>
    </w:p>
    <w:p w14:paraId="06E895AB" w14:textId="5B9DAC7B" w:rsidR="00BB3A71" w:rsidRPr="00907A53" w:rsidRDefault="00F17284" w:rsidP="00BB3A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A53">
        <w:rPr>
          <w:rFonts w:ascii="Times New Roman" w:hAnsi="Times New Roman" w:cs="Times New Roman"/>
          <w:b/>
          <w:bCs/>
          <w:sz w:val="28"/>
          <w:szCs w:val="28"/>
        </w:rPr>
        <w:t>If your clients are interested in a 2</w:t>
      </w:r>
      <w:r w:rsidRPr="00907A5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Pr="00907A53">
        <w:rPr>
          <w:rFonts w:ascii="Times New Roman" w:hAnsi="Times New Roman" w:cs="Times New Roman"/>
          <w:b/>
          <w:bCs/>
          <w:sz w:val="28"/>
          <w:szCs w:val="28"/>
        </w:rPr>
        <w:t xml:space="preserve"> Home or Investment Property, </w:t>
      </w:r>
      <w:r w:rsidR="00907A53" w:rsidRPr="00907A53">
        <w:rPr>
          <w:rFonts w:ascii="Times New Roman" w:hAnsi="Times New Roman" w:cs="Times New Roman"/>
          <w:b/>
          <w:bCs/>
          <w:sz w:val="28"/>
          <w:szCs w:val="28"/>
        </w:rPr>
        <w:t>it is important to figure out the right path early in the process.  Give us a call and we will help figure out the best way to get it done!</w:t>
      </w:r>
    </w:p>
    <w:p w14:paraId="7CF2786E" w14:textId="37E7CDDF" w:rsidR="009A78E0" w:rsidRDefault="009A78E0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D9DAA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587856ED" w:rsidR="004D080E" w:rsidRPr="00313CCE" w:rsidRDefault="00527A11" w:rsidP="00313C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ABABD3" wp14:editId="4644202F">
                <wp:simplePos x="0" y="0"/>
                <wp:positionH relativeFrom="column">
                  <wp:posOffset>5648325</wp:posOffset>
                </wp:positionH>
                <wp:positionV relativeFrom="paragraph">
                  <wp:posOffset>5715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left:0;text-align:left;margin-left:444.75pt;margin-top:.45pt;width:76.5pt;height:82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 xml:space="preserve">delete box when ready to </w:t>
                      </w:r>
                      <w:proofErr w:type="gramStart"/>
                      <w:r w:rsidR="0044234C">
                        <w:t>use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13CCE"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="00313CCE"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32CD" w14:textId="77777777" w:rsidR="00AC6DD2" w:rsidRDefault="00AC6DD2" w:rsidP="00AC6DD2">
      <w:pPr>
        <w:spacing w:after="0" w:line="240" w:lineRule="auto"/>
      </w:pPr>
      <w:r>
        <w:separator/>
      </w:r>
    </w:p>
  </w:endnote>
  <w:endnote w:type="continuationSeparator" w:id="0">
    <w:p w14:paraId="74B89F69" w14:textId="77777777" w:rsidR="00AC6DD2" w:rsidRDefault="00AC6DD2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65EF" w14:textId="77777777" w:rsidR="00AC6DD2" w:rsidRDefault="00AC6DD2" w:rsidP="00AC6DD2">
      <w:pPr>
        <w:spacing w:after="0" w:line="240" w:lineRule="auto"/>
      </w:pPr>
      <w:r>
        <w:separator/>
      </w:r>
    </w:p>
  </w:footnote>
  <w:footnote w:type="continuationSeparator" w:id="0">
    <w:p w14:paraId="0C86432D" w14:textId="77777777" w:rsidR="00AC6DD2" w:rsidRDefault="00AC6DD2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71D39"/>
    <w:rsid w:val="00095731"/>
    <w:rsid w:val="000B5CDD"/>
    <w:rsid w:val="000B5FDA"/>
    <w:rsid w:val="000D21BA"/>
    <w:rsid w:val="000F20C7"/>
    <w:rsid w:val="0011185A"/>
    <w:rsid w:val="00116D87"/>
    <w:rsid w:val="0014195F"/>
    <w:rsid w:val="00144E95"/>
    <w:rsid w:val="001670D4"/>
    <w:rsid w:val="001A3EB2"/>
    <w:rsid w:val="001B0129"/>
    <w:rsid w:val="001E00CE"/>
    <w:rsid w:val="001E13CE"/>
    <w:rsid w:val="00216030"/>
    <w:rsid w:val="00223F0B"/>
    <w:rsid w:val="00232E55"/>
    <w:rsid w:val="00275C92"/>
    <w:rsid w:val="00275F5F"/>
    <w:rsid w:val="002B73B2"/>
    <w:rsid w:val="002E6001"/>
    <w:rsid w:val="003135E2"/>
    <w:rsid w:val="00313CCE"/>
    <w:rsid w:val="00321FD5"/>
    <w:rsid w:val="003260B8"/>
    <w:rsid w:val="00361FF2"/>
    <w:rsid w:val="00364C28"/>
    <w:rsid w:val="00366223"/>
    <w:rsid w:val="003664E2"/>
    <w:rsid w:val="003D6549"/>
    <w:rsid w:val="003E5F9C"/>
    <w:rsid w:val="00410CF6"/>
    <w:rsid w:val="00412828"/>
    <w:rsid w:val="00412C31"/>
    <w:rsid w:val="004325F2"/>
    <w:rsid w:val="00433071"/>
    <w:rsid w:val="0044234C"/>
    <w:rsid w:val="004B69F8"/>
    <w:rsid w:val="004C589F"/>
    <w:rsid w:val="004C6240"/>
    <w:rsid w:val="004C7D99"/>
    <w:rsid w:val="004D080E"/>
    <w:rsid w:val="00504A64"/>
    <w:rsid w:val="005076BE"/>
    <w:rsid w:val="00527A11"/>
    <w:rsid w:val="005333F5"/>
    <w:rsid w:val="005412E7"/>
    <w:rsid w:val="005446D3"/>
    <w:rsid w:val="00595437"/>
    <w:rsid w:val="005E7C3E"/>
    <w:rsid w:val="006241FD"/>
    <w:rsid w:val="00665B80"/>
    <w:rsid w:val="0068123D"/>
    <w:rsid w:val="0069524F"/>
    <w:rsid w:val="006A202E"/>
    <w:rsid w:val="006B0D9A"/>
    <w:rsid w:val="006D0D7C"/>
    <w:rsid w:val="006E258E"/>
    <w:rsid w:val="006F44FF"/>
    <w:rsid w:val="00730C65"/>
    <w:rsid w:val="00731ACF"/>
    <w:rsid w:val="007626EE"/>
    <w:rsid w:val="007644CE"/>
    <w:rsid w:val="007712BF"/>
    <w:rsid w:val="00773C4C"/>
    <w:rsid w:val="007939BA"/>
    <w:rsid w:val="00827C53"/>
    <w:rsid w:val="008469BF"/>
    <w:rsid w:val="00862CBD"/>
    <w:rsid w:val="00896E75"/>
    <w:rsid w:val="008A0758"/>
    <w:rsid w:val="008A3904"/>
    <w:rsid w:val="008B2504"/>
    <w:rsid w:val="008C6B94"/>
    <w:rsid w:val="008D4202"/>
    <w:rsid w:val="008D447A"/>
    <w:rsid w:val="008F1892"/>
    <w:rsid w:val="00907A53"/>
    <w:rsid w:val="00924C1F"/>
    <w:rsid w:val="00970C4D"/>
    <w:rsid w:val="00993934"/>
    <w:rsid w:val="009A6FD5"/>
    <w:rsid w:val="009A78E0"/>
    <w:rsid w:val="009B5E82"/>
    <w:rsid w:val="009C0D0F"/>
    <w:rsid w:val="009D58D1"/>
    <w:rsid w:val="009E7B06"/>
    <w:rsid w:val="00A10E38"/>
    <w:rsid w:val="00A43877"/>
    <w:rsid w:val="00A57A3F"/>
    <w:rsid w:val="00A63E35"/>
    <w:rsid w:val="00A7143D"/>
    <w:rsid w:val="00A761DA"/>
    <w:rsid w:val="00AC6DD2"/>
    <w:rsid w:val="00B21095"/>
    <w:rsid w:val="00B22737"/>
    <w:rsid w:val="00B45CDE"/>
    <w:rsid w:val="00B5421E"/>
    <w:rsid w:val="00B62EB1"/>
    <w:rsid w:val="00B6574E"/>
    <w:rsid w:val="00B806BE"/>
    <w:rsid w:val="00BA2881"/>
    <w:rsid w:val="00BB3A71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844E1"/>
    <w:rsid w:val="00CA22F9"/>
    <w:rsid w:val="00CB21E1"/>
    <w:rsid w:val="00CB5143"/>
    <w:rsid w:val="00CB5C9B"/>
    <w:rsid w:val="00CC63A8"/>
    <w:rsid w:val="00D07892"/>
    <w:rsid w:val="00D11E1F"/>
    <w:rsid w:val="00D54A15"/>
    <w:rsid w:val="00DA0F8F"/>
    <w:rsid w:val="00DC190C"/>
    <w:rsid w:val="00DC1B3B"/>
    <w:rsid w:val="00DE0B20"/>
    <w:rsid w:val="00DE10C3"/>
    <w:rsid w:val="00DE26A0"/>
    <w:rsid w:val="00E11BEE"/>
    <w:rsid w:val="00E638D2"/>
    <w:rsid w:val="00E965A9"/>
    <w:rsid w:val="00EA56A3"/>
    <w:rsid w:val="00EC2FDB"/>
    <w:rsid w:val="00ED186D"/>
    <w:rsid w:val="00EE5F35"/>
    <w:rsid w:val="00EF1CA2"/>
    <w:rsid w:val="00EF6C67"/>
    <w:rsid w:val="00F04F4D"/>
    <w:rsid w:val="00F15AAA"/>
    <w:rsid w:val="00F17284"/>
    <w:rsid w:val="00F23DC2"/>
    <w:rsid w:val="00F26F04"/>
    <w:rsid w:val="00F3005F"/>
    <w:rsid w:val="00F301BD"/>
    <w:rsid w:val="00F60528"/>
    <w:rsid w:val="00F734E9"/>
    <w:rsid w:val="00F741C6"/>
    <w:rsid w:val="00FB07D5"/>
    <w:rsid w:val="00FD2755"/>
    <w:rsid w:val="00FD55AB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36</cp:revision>
  <dcterms:created xsi:type="dcterms:W3CDTF">2021-02-04T21:07:00Z</dcterms:created>
  <dcterms:modified xsi:type="dcterms:W3CDTF">2022-02-03T17:48:00Z</dcterms:modified>
</cp:coreProperties>
</file>