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5D" w:rsidRPr="0059305D" w:rsidRDefault="0059305D" w:rsidP="00B07EA7">
      <w:pPr>
        <w:spacing w:after="0" w:line="240" w:lineRule="auto"/>
        <w:ind w:right="450"/>
        <w:jc w:val="center"/>
        <w:outlineLvl w:val="0"/>
        <w:rPr>
          <w:rFonts w:ascii="Helvetica Neue" w:hAnsi="Helvetica Neue" w:cs="Aharoni"/>
          <w:b/>
          <w:color w:val="365F91" w:themeColor="accent1" w:themeShade="BF"/>
          <w:sz w:val="48"/>
          <w:szCs w:val="48"/>
        </w:rPr>
      </w:pPr>
      <w:r w:rsidRPr="0059305D">
        <w:rPr>
          <w:rFonts w:ascii="Helvetica Neue" w:hAnsi="Helvetica Neue" w:cs="Aharoni"/>
          <w:b/>
          <w:color w:val="365F91" w:themeColor="accent1" w:themeShade="BF"/>
          <w:sz w:val="48"/>
          <w:szCs w:val="48"/>
        </w:rPr>
        <w:t xml:space="preserve">Grigori </w:t>
      </w:r>
      <w:r>
        <w:rPr>
          <w:rFonts w:ascii="Helvetica Neue" w:hAnsi="Helvetica Neue" w:cs="Aharoni"/>
          <w:b/>
          <w:color w:val="365F91" w:themeColor="accent1" w:themeShade="BF"/>
          <w:sz w:val="48"/>
          <w:szCs w:val="48"/>
        </w:rPr>
        <w:t xml:space="preserve">Petrovich </w:t>
      </w:r>
      <w:r w:rsidRPr="0059305D">
        <w:rPr>
          <w:rFonts w:ascii="Helvetica Neue" w:hAnsi="Helvetica Neue" w:cs="Aharoni"/>
          <w:b/>
          <w:color w:val="365F91" w:themeColor="accent1" w:themeShade="BF"/>
          <w:sz w:val="48"/>
          <w:szCs w:val="48"/>
        </w:rPr>
        <w:t>Grabovoï</w:t>
      </w:r>
    </w:p>
    <w:p w:rsidR="0059305D" w:rsidRPr="0059305D" w:rsidRDefault="0059305D" w:rsidP="001039BA">
      <w:pPr>
        <w:spacing w:after="0" w:line="240" w:lineRule="auto"/>
        <w:ind w:right="450"/>
        <w:jc w:val="center"/>
        <w:outlineLvl w:val="0"/>
        <w:rPr>
          <w:rFonts w:ascii="Helvetica Neue" w:hAnsi="Helvetica Neue" w:cs="Aharoni"/>
          <w:b/>
          <w:color w:val="365F91" w:themeColor="accent1" w:themeShade="BF"/>
          <w:sz w:val="48"/>
          <w:szCs w:val="48"/>
        </w:rPr>
      </w:pPr>
      <w:r w:rsidRPr="0059305D">
        <w:rPr>
          <w:rFonts w:ascii="Helvetica Neue" w:hAnsi="Helvetica Neue" w:cs="Aharoni"/>
          <w:b/>
          <w:color w:val="365F91" w:themeColor="accent1" w:themeShade="BF"/>
          <w:sz w:val="48"/>
          <w:szCs w:val="48"/>
        </w:rPr>
        <w:t>PRK-1U</w:t>
      </w:r>
    </w:p>
    <w:p w:rsidR="0059305D" w:rsidRDefault="0059305D" w:rsidP="001039BA">
      <w:pPr>
        <w:spacing w:after="0" w:line="240" w:lineRule="auto"/>
        <w:ind w:right="450"/>
        <w:jc w:val="center"/>
        <w:outlineLvl w:val="0"/>
        <w:rPr>
          <w:rFonts w:ascii="Helvetica Neue" w:hAnsi="Helvetica Neue" w:cs="Calibri"/>
          <w:color w:val="666666"/>
          <w:sz w:val="36"/>
          <w:szCs w:val="36"/>
        </w:rPr>
      </w:pPr>
    </w:p>
    <w:p w:rsidR="0059305D" w:rsidRDefault="0059305D" w:rsidP="001039BA">
      <w:pPr>
        <w:spacing w:after="0" w:line="240" w:lineRule="auto"/>
        <w:ind w:right="450"/>
        <w:jc w:val="center"/>
        <w:outlineLvl w:val="0"/>
        <w:rPr>
          <w:rFonts w:ascii="Helvetica Neue" w:hAnsi="Helvetica Neue" w:cs="Calibri"/>
          <w:color w:val="666666"/>
          <w:sz w:val="36"/>
          <w:szCs w:val="36"/>
        </w:rPr>
      </w:pPr>
      <w:r>
        <w:rPr>
          <w:rFonts w:ascii="Helvetica Neue" w:hAnsi="Helvetica Neue" w:cs="Calibri"/>
          <w:noProof/>
          <w:color w:val="666666"/>
          <w:sz w:val="36"/>
          <w:szCs w:val="36"/>
          <w:lang w:eastAsia="fr-CH"/>
        </w:rPr>
        <w:drawing>
          <wp:inline distT="0" distB="0" distL="0" distR="0">
            <wp:extent cx="2552700" cy="24387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26592_1830918810522401_4484328750654964999_n.jpg"/>
                    <pic:cNvPicPr/>
                  </pic:nvPicPr>
                  <pic:blipFill>
                    <a:blip r:embed="rId8">
                      <a:extLst>
                        <a:ext uri="{28A0092B-C50C-407E-A947-70E740481C1C}">
                          <a14:useLocalDpi xmlns:a14="http://schemas.microsoft.com/office/drawing/2010/main" val="0"/>
                        </a:ext>
                      </a:extLst>
                    </a:blip>
                    <a:stretch>
                      <a:fillRect/>
                    </a:stretch>
                  </pic:blipFill>
                  <pic:spPr>
                    <a:xfrm>
                      <a:off x="0" y="0"/>
                      <a:ext cx="2552700" cy="2438740"/>
                    </a:xfrm>
                    <a:prstGeom prst="rect">
                      <a:avLst/>
                    </a:prstGeom>
                  </pic:spPr>
                </pic:pic>
              </a:graphicData>
            </a:graphic>
          </wp:inline>
        </w:drawing>
      </w:r>
    </w:p>
    <w:p w:rsidR="0059305D" w:rsidRDefault="0059305D" w:rsidP="001039BA">
      <w:pPr>
        <w:spacing w:after="0" w:line="240" w:lineRule="auto"/>
        <w:ind w:right="450"/>
        <w:jc w:val="center"/>
        <w:outlineLvl w:val="0"/>
        <w:rPr>
          <w:rFonts w:ascii="Helvetica Neue" w:hAnsi="Helvetica Neue" w:cs="Calibri"/>
          <w:color w:val="666666"/>
          <w:sz w:val="36"/>
          <w:szCs w:val="36"/>
        </w:rPr>
      </w:pPr>
    </w:p>
    <w:p w:rsidR="0059305D" w:rsidRDefault="0059305D" w:rsidP="001039BA">
      <w:pPr>
        <w:spacing w:after="0" w:line="240" w:lineRule="auto"/>
        <w:ind w:right="450"/>
        <w:jc w:val="center"/>
        <w:outlineLvl w:val="0"/>
        <w:rPr>
          <w:rFonts w:ascii="Helvetica Neue" w:hAnsi="Helvetica Neue" w:cs="Calibri"/>
          <w:color w:val="666666"/>
          <w:sz w:val="36"/>
          <w:szCs w:val="36"/>
        </w:rPr>
      </w:pPr>
    </w:p>
    <w:p w:rsidR="00E34D75" w:rsidRDefault="00E34D75" w:rsidP="00CF4E42">
      <w:pPr>
        <w:spacing w:after="0" w:line="240" w:lineRule="auto"/>
        <w:ind w:right="450"/>
        <w:outlineLvl w:val="0"/>
        <w:rPr>
          <w:rFonts w:ascii="Helvetica Neue" w:hAnsi="Helvetica Neue" w:cs="Calibri"/>
          <w:color w:val="666666"/>
          <w:sz w:val="36"/>
          <w:szCs w:val="36"/>
        </w:rPr>
      </w:pPr>
    </w:p>
    <w:p w:rsidR="0059305D" w:rsidRDefault="00B07EA7" w:rsidP="001039BA">
      <w:pPr>
        <w:spacing w:after="0" w:line="240" w:lineRule="auto"/>
        <w:ind w:right="450"/>
        <w:jc w:val="center"/>
        <w:outlineLvl w:val="0"/>
        <w:rPr>
          <w:rFonts w:ascii="Helvetica Neue" w:hAnsi="Helvetica Neue" w:cs="Calibri"/>
          <w:color w:val="666666"/>
          <w:sz w:val="36"/>
          <w:szCs w:val="36"/>
        </w:rPr>
      </w:pPr>
      <w:r>
        <w:rPr>
          <w:noProof/>
          <w:lang w:eastAsia="fr-CH"/>
        </w:rPr>
        <w:drawing>
          <wp:inline distT="0" distB="0" distL="0" distR="0" wp14:anchorId="72BC3491" wp14:editId="39398E9F">
            <wp:extent cx="2076450" cy="1517823"/>
            <wp:effectExtent l="0" t="0" r="0" b="6350"/>
            <wp:docPr id="6" name="Image 6" descr="... world/index.php/technical-devices/documents-for-the-testing-of-prk-1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world/index.php/technical-devices/documents-for-the-testing-of-prk-1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156" cy="1524187"/>
                    </a:xfrm>
                    <a:prstGeom prst="rect">
                      <a:avLst/>
                    </a:prstGeom>
                    <a:noFill/>
                    <a:ln>
                      <a:noFill/>
                    </a:ln>
                  </pic:spPr>
                </pic:pic>
              </a:graphicData>
            </a:graphic>
          </wp:inline>
        </w:drawing>
      </w:r>
    </w:p>
    <w:p w:rsidR="0059305D" w:rsidRDefault="0059305D" w:rsidP="001039BA">
      <w:pPr>
        <w:spacing w:after="0" w:line="240" w:lineRule="auto"/>
        <w:ind w:right="450"/>
        <w:jc w:val="center"/>
        <w:outlineLvl w:val="0"/>
        <w:rPr>
          <w:rFonts w:ascii="Helvetica Neue" w:hAnsi="Helvetica Neue" w:cs="Calibri"/>
          <w:color w:val="666666"/>
          <w:sz w:val="36"/>
          <w:szCs w:val="36"/>
        </w:rPr>
      </w:pPr>
    </w:p>
    <w:p w:rsidR="0059305D" w:rsidRDefault="0059305D" w:rsidP="001039BA">
      <w:pPr>
        <w:spacing w:after="0" w:line="240" w:lineRule="auto"/>
        <w:ind w:right="450"/>
        <w:jc w:val="center"/>
        <w:outlineLvl w:val="0"/>
        <w:rPr>
          <w:rFonts w:ascii="Helvetica Neue" w:hAnsi="Helvetica Neue" w:cs="Calibri"/>
          <w:color w:val="666666"/>
          <w:sz w:val="36"/>
          <w:szCs w:val="36"/>
        </w:rPr>
      </w:pPr>
    </w:p>
    <w:p w:rsidR="0059305D" w:rsidRDefault="00B07EA7" w:rsidP="001039BA">
      <w:pPr>
        <w:spacing w:after="0" w:line="240" w:lineRule="auto"/>
        <w:ind w:right="450"/>
        <w:jc w:val="center"/>
        <w:outlineLvl w:val="0"/>
        <w:rPr>
          <w:rFonts w:ascii="Helvetica Neue" w:hAnsi="Helvetica Neue" w:cs="Calibri"/>
          <w:color w:val="666666"/>
          <w:sz w:val="36"/>
          <w:szCs w:val="36"/>
        </w:rPr>
      </w:pPr>
      <w:r>
        <w:rPr>
          <w:noProof/>
          <w:lang w:eastAsia="fr-CH"/>
        </w:rPr>
        <w:drawing>
          <wp:inline distT="0" distB="0" distL="0" distR="0" wp14:anchorId="27EA5A09" wp14:editId="648CD42C">
            <wp:extent cx="1520170" cy="2075906"/>
            <wp:effectExtent l="0" t="0" r="4445" b="635"/>
            <wp:docPr id="7" name="Image 7" descr="... of Grigori Grabovoi’s device PRK-1U presentation : Reality-Ch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of Grigori Grabovoi’s device PRK-1U presentation : Reality-Choi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8180" cy="2086845"/>
                    </a:xfrm>
                    <a:prstGeom prst="rect">
                      <a:avLst/>
                    </a:prstGeom>
                    <a:noFill/>
                    <a:ln>
                      <a:noFill/>
                    </a:ln>
                  </pic:spPr>
                </pic:pic>
              </a:graphicData>
            </a:graphic>
          </wp:inline>
        </w:drawing>
      </w:r>
    </w:p>
    <w:p w:rsidR="0059305D" w:rsidRDefault="0059305D" w:rsidP="001039BA">
      <w:pPr>
        <w:spacing w:after="0" w:line="240" w:lineRule="auto"/>
        <w:ind w:right="450"/>
        <w:jc w:val="center"/>
        <w:outlineLvl w:val="0"/>
        <w:rPr>
          <w:rFonts w:ascii="Helvetica Neue" w:hAnsi="Helvetica Neue" w:cs="Calibri"/>
          <w:color w:val="666666"/>
          <w:sz w:val="36"/>
          <w:szCs w:val="36"/>
        </w:rPr>
      </w:pPr>
    </w:p>
    <w:p w:rsidR="00CF4E42" w:rsidRDefault="00CF4E42" w:rsidP="00CF4E42">
      <w:pPr>
        <w:spacing w:after="0" w:line="240" w:lineRule="auto"/>
        <w:ind w:right="450"/>
        <w:outlineLvl w:val="0"/>
        <w:rPr>
          <w:rFonts w:ascii="Helvetica Neue" w:hAnsi="Helvetica Neue" w:cs="Calibri"/>
          <w:color w:val="666666"/>
          <w:sz w:val="36"/>
          <w:szCs w:val="36"/>
        </w:rPr>
      </w:pPr>
    </w:p>
    <w:p w:rsidR="001039BA" w:rsidRPr="00CF4E42" w:rsidRDefault="001039BA" w:rsidP="00CF4E42">
      <w:pPr>
        <w:spacing w:after="0" w:line="240" w:lineRule="auto"/>
        <w:ind w:right="450"/>
        <w:jc w:val="center"/>
        <w:outlineLvl w:val="0"/>
        <w:rPr>
          <w:rFonts w:ascii="Georgia" w:eastAsia="Times New Roman" w:hAnsi="Georgia" w:cs="Aharoni"/>
          <w:b/>
          <w:bCs/>
          <w:color w:val="000080"/>
          <w:sz w:val="28"/>
          <w:szCs w:val="24"/>
          <w:lang w:eastAsia="fr-CH"/>
        </w:rPr>
      </w:pPr>
      <w:r w:rsidRPr="00CF4E42">
        <w:rPr>
          <w:rFonts w:ascii="Georgia" w:eastAsia="Times New Roman" w:hAnsi="Georgia" w:cs="Aharoni"/>
          <w:b/>
          <w:bCs/>
          <w:color w:val="000080"/>
          <w:sz w:val="28"/>
          <w:szCs w:val="24"/>
          <w:lang w:eastAsia="fr-CH"/>
        </w:rPr>
        <w:lastRenderedPageBreak/>
        <w:t>INFORMATION sur PRK-1U</w:t>
      </w:r>
    </w:p>
    <w:p w:rsidR="00A03E24" w:rsidRPr="00CF4E42" w:rsidRDefault="00A03E24" w:rsidP="00B67304">
      <w:pPr>
        <w:spacing w:after="0" w:line="240" w:lineRule="auto"/>
        <w:ind w:right="450"/>
        <w:jc w:val="center"/>
        <w:outlineLvl w:val="0"/>
        <w:rPr>
          <w:rFonts w:ascii="Georgia" w:eastAsia="Times New Roman" w:hAnsi="Georgia" w:cs="Aharoni"/>
          <w:b/>
          <w:bCs/>
          <w:color w:val="000080"/>
          <w:sz w:val="24"/>
          <w:szCs w:val="24"/>
          <w:lang w:eastAsia="fr-CH"/>
        </w:rPr>
      </w:pPr>
    </w:p>
    <w:p w:rsidR="00A03E24" w:rsidRPr="00CF4E42" w:rsidRDefault="0076187A" w:rsidP="00B67304">
      <w:pPr>
        <w:spacing w:after="0" w:line="240" w:lineRule="auto"/>
        <w:ind w:right="450"/>
        <w:jc w:val="center"/>
        <w:outlineLvl w:val="0"/>
        <w:rPr>
          <w:rFonts w:ascii="Georgia" w:eastAsia="Times New Roman" w:hAnsi="Georgia" w:cs="Aharoni"/>
          <w:b/>
          <w:bCs/>
          <w:color w:val="000080"/>
          <w:sz w:val="24"/>
          <w:szCs w:val="24"/>
          <w:lang w:eastAsia="fr-CH"/>
        </w:rPr>
      </w:pPr>
      <w:r w:rsidRPr="00CF4E42">
        <w:rPr>
          <w:rFonts w:ascii="Georgia" w:eastAsia="Times New Roman" w:hAnsi="Georgia" w:cs="Aharoni"/>
          <w:b/>
          <w:bCs/>
          <w:color w:val="000080"/>
          <w:sz w:val="24"/>
          <w:szCs w:val="24"/>
          <w:lang w:eastAsia="fr-CH"/>
        </w:rPr>
        <w:t>Le caractère unique de la nouveauté</w:t>
      </w:r>
      <w:r w:rsidR="00A03E24" w:rsidRPr="00CF4E42">
        <w:rPr>
          <w:rFonts w:ascii="Georgia" w:eastAsia="Times New Roman" w:hAnsi="Georgia" w:cs="Aharoni"/>
          <w:b/>
          <w:bCs/>
          <w:color w:val="000080"/>
          <w:sz w:val="24"/>
          <w:szCs w:val="24"/>
          <w:lang w:eastAsia="fr-CH"/>
        </w:rPr>
        <w:t>,</w:t>
      </w:r>
    </w:p>
    <w:p w:rsidR="001039BA" w:rsidRPr="00CF4E42" w:rsidRDefault="0076187A" w:rsidP="00B67304">
      <w:pPr>
        <w:spacing w:after="0" w:line="240" w:lineRule="auto"/>
        <w:ind w:right="450"/>
        <w:jc w:val="center"/>
        <w:outlineLvl w:val="0"/>
        <w:rPr>
          <w:rFonts w:ascii="Georgia" w:eastAsia="Times New Roman" w:hAnsi="Georgia" w:cs="Aharoni"/>
          <w:b/>
          <w:bCs/>
          <w:color w:val="000080"/>
          <w:sz w:val="24"/>
          <w:szCs w:val="24"/>
          <w:lang w:eastAsia="fr-CH"/>
        </w:rPr>
      </w:pPr>
      <w:proofErr w:type="gramStart"/>
      <w:r w:rsidRPr="00CF4E42">
        <w:rPr>
          <w:rFonts w:ascii="Georgia" w:eastAsia="Times New Roman" w:hAnsi="Georgia" w:cs="Aharoni"/>
          <w:b/>
          <w:bCs/>
          <w:color w:val="000080"/>
          <w:sz w:val="24"/>
          <w:szCs w:val="24"/>
          <w:lang w:eastAsia="fr-CH"/>
        </w:rPr>
        <w:t>et</w:t>
      </w:r>
      <w:proofErr w:type="gramEnd"/>
      <w:r w:rsidRPr="00CF4E42">
        <w:rPr>
          <w:rFonts w:ascii="Georgia" w:eastAsia="Times New Roman" w:hAnsi="Georgia" w:cs="Aharoni"/>
          <w:b/>
          <w:bCs/>
          <w:color w:val="000080"/>
          <w:sz w:val="24"/>
          <w:szCs w:val="24"/>
          <w:lang w:eastAsia="fr-CH"/>
        </w:rPr>
        <w:t xml:space="preserve"> la création de la PRK-1U</w:t>
      </w:r>
    </w:p>
    <w:p w:rsidR="001039BA" w:rsidRPr="00CF4E42" w:rsidRDefault="001039BA" w:rsidP="008643D4">
      <w:pPr>
        <w:spacing w:after="0" w:line="240" w:lineRule="auto"/>
        <w:ind w:right="450"/>
        <w:outlineLvl w:val="0"/>
        <w:rPr>
          <w:rFonts w:ascii="Georgia" w:eastAsia="Times New Roman" w:hAnsi="Georgia" w:cs="Aharoni"/>
          <w:b/>
          <w:bCs/>
          <w:color w:val="000080"/>
          <w:sz w:val="24"/>
          <w:szCs w:val="24"/>
          <w:lang w:eastAsia="fr-CH"/>
        </w:rPr>
      </w:pPr>
    </w:p>
    <w:p w:rsidR="008643D4" w:rsidRPr="00CF4E42" w:rsidRDefault="008643D4" w:rsidP="008643D4">
      <w:pPr>
        <w:spacing w:after="0" w:line="240" w:lineRule="auto"/>
        <w:ind w:right="450"/>
        <w:outlineLvl w:val="0"/>
        <w:rPr>
          <w:rFonts w:ascii="Georgia" w:eastAsia="Times New Roman" w:hAnsi="Georgia" w:cs="Aharoni"/>
          <w:b/>
          <w:bCs/>
          <w:caps/>
          <w:color w:val="283D4B"/>
          <w:kern w:val="36"/>
          <w:sz w:val="24"/>
          <w:szCs w:val="24"/>
          <w:lang w:eastAsia="fr-CH"/>
        </w:rPr>
      </w:pPr>
      <w:r w:rsidRPr="00CF4E42">
        <w:rPr>
          <w:rFonts w:ascii="Georgia" w:eastAsia="Times New Roman" w:hAnsi="Georgia" w:cs="Aharoni"/>
          <w:b/>
          <w:bCs/>
          <w:color w:val="000080"/>
          <w:sz w:val="24"/>
          <w:szCs w:val="24"/>
          <w:lang w:eastAsia="fr-CH"/>
        </w:rPr>
        <w:t>l. L'unicité et la nouveauté des façons de créer un PRK-1U</w:t>
      </w:r>
    </w:p>
    <w:p w:rsidR="008643D4" w:rsidRPr="00CF4E42" w:rsidRDefault="008643D4" w:rsidP="008643D4">
      <w:pPr>
        <w:shd w:val="clear" w:color="auto" w:fill="F5F6F7"/>
        <w:spacing w:before="240" w:after="240" w:line="240" w:lineRule="auto"/>
        <w:jc w:val="both"/>
        <w:rPr>
          <w:rFonts w:ascii="Georgia" w:eastAsia="Times New Roman" w:hAnsi="Georgia" w:cs="Aharoni"/>
          <w:color w:val="444444"/>
          <w:sz w:val="24"/>
          <w:szCs w:val="24"/>
          <w:lang w:eastAsia="fr-CH"/>
        </w:rPr>
      </w:pPr>
      <w:r w:rsidRPr="00CF4E42">
        <w:rPr>
          <w:rFonts w:ascii="Georgia" w:eastAsia="Times New Roman" w:hAnsi="Georgia" w:cs="Aharoni"/>
          <w:color w:val="000000"/>
          <w:sz w:val="24"/>
          <w:szCs w:val="24"/>
          <w:lang w:eastAsia="fr-CH"/>
        </w:rPr>
        <w:t>Procédé de transmission de la bio signal de l'opérateur, comme indiqué dans le brevet, « la</w:t>
      </w:r>
      <w:r w:rsidR="0076187A" w:rsidRPr="00CF4E42">
        <w:rPr>
          <w:rFonts w:ascii="Georgia" w:eastAsia="Times New Roman" w:hAnsi="Georgia" w:cs="Aharoni"/>
          <w:color w:val="000000"/>
          <w:sz w:val="24"/>
          <w:szCs w:val="24"/>
          <w:lang w:eastAsia="fr-CH"/>
        </w:rPr>
        <w:t xml:space="preserve"> </w:t>
      </w:r>
      <w:r w:rsidRPr="00CF4E42">
        <w:rPr>
          <w:rFonts w:ascii="Georgia" w:eastAsia="Times New Roman" w:hAnsi="Georgia" w:cs="Aharoni"/>
          <w:color w:val="000000"/>
          <w:sz w:val="24"/>
          <w:szCs w:val="24"/>
          <w:lang w:eastAsia="fr-CH"/>
        </w:rPr>
        <w:t xml:space="preserve"> génération d'un bio signal », qui exploite l'instrument de concentrations vie éternel système de transmission PRK-1U et de données, qui prend en compte l'intensité de « l'émission de la pensée » tel qu'il est util</w:t>
      </w:r>
      <w:r w:rsidR="00CF4E42" w:rsidRPr="00CF4E42">
        <w:rPr>
          <w:rFonts w:ascii="Georgia" w:eastAsia="Times New Roman" w:hAnsi="Georgia" w:cs="Aharoni"/>
          <w:color w:val="000000"/>
          <w:sz w:val="24"/>
          <w:szCs w:val="24"/>
          <w:lang w:eastAsia="fr-CH"/>
        </w:rPr>
        <w:t xml:space="preserve">isé dans ce dispositif, </w:t>
      </w:r>
      <w:proofErr w:type="spellStart"/>
      <w:r w:rsidR="00CF4E42" w:rsidRPr="00CF4E42">
        <w:rPr>
          <w:rFonts w:ascii="Georgia" w:eastAsia="Times New Roman" w:hAnsi="Georgia" w:cs="Aharoni"/>
          <w:color w:val="000000"/>
          <w:sz w:val="24"/>
          <w:szCs w:val="24"/>
          <w:lang w:eastAsia="fr-CH"/>
        </w:rPr>
        <w:t>Grabovien</w:t>
      </w:r>
      <w:proofErr w:type="spellEnd"/>
      <w:r w:rsidR="00CF4E42" w:rsidRPr="00CF4E42">
        <w:rPr>
          <w:rFonts w:ascii="Georgia" w:eastAsia="Times New Roman" w:hAnsi="Georgia" w:cs="Aharoni"/>
          <w:color w:val="000000"/>
          <w:sz w:val="24"/>
          <w:szCs w:val="24"/>
          <w:lang w:eastAsia="fr-CH"/>
        </w:rPr>
        <w:t xml:space="preserve"> breveté Grigori Petrovich </w:t>
      </w:r>
      <w:proofErr w:type="spellStart"/>
      <w:r w:rsidR="00CF4E42" w:rsidRPr="00CF4E42">
        <w:rPr>
          <w:rFonts w:ascii="Georgia" w:eastAsia="Times New Roman" w:hAnsi="Georgia" w:cs="Aharoni"/>
          <w:color w:val="000000"/>
          <w:sz w:val="24"/>
          <w:szCs w:val="24"/>
          <w:lang w:eastAsia="fr-CH"/>
        </w:rPr>
        <w:t>Grabovoi</w:t>
      </w:r>
      <w:proofErr w:type="spellEnd"/>
      <w:r w:rsidR="00CF4E42" w:rsidRPr="00CF4E42">
        <w:rPr>
          <w:rFonts w:ascii="Georgia" w:eastAsia="Times New Roman" w:hAnsi="Georgia" w:cs="Aharoni"/>
          <w:color w:val="000000"/>
          <w:sz w:val="24"/>
          <w:szCs w:val="24"/>
          <w:lang w:eastAsia="fr-CH"/>
        </w:rPr>
        <w:t>. Deux brevets ont été déposés.</w:t>
      </w:r>
    </w:p>
    <w:p w:rsidR="008643D4" w:rsidRPr="00CF4E42" w:rsidRDefault="008643D4" w:rsidP="008643D4">
      <w:pPr>
        <w:shd w:val="clear" w:color="auto" w:fill="F5F6F7"/>
        <w:spacing w:before="240" w:after="240" w:line="240" w:lineRule="auto"/>
        <w:jc w:val="both"/>
        <w:rPr>
          <w:rFonts w:ascii="Georgia" w:eastAsia="Times New Roman" w:hAnsi="Georgia" w:cs="Aharoni"/>
          <w:color w:val="444444"/>
          <w:sz w:val="24"/>
          <w:szCs w:val="24"/>
          <w:lang w:eastAsia="fr-CH"/>
        </w:rPr>
      </w:pPr>
      <w:r w:rsidRPr="00CF4E42">
        <w:rPr>
          <w:rFonts w:ascii="Georgia" w:eastAsia="Times New Roman" w:hAnsi="Georgia" w:cs="Aharoni"/>
          <w:color w:val="000000"/>
          <w:sz w:val="24"/>
          <w:szCs w:val="24"/>
          <w:lang w:eastAsia="fr-CH"/>
        </w:rPr>
        <w:t>Pour plus d'informations sur ce que l'instrument a été créé conformément à ces brevets sont enregistrés dans la description technique de HPP-1U. </w:t>
      </w:r>
    </w:p>
    <w:p w:rsidR="008643D4" w:rsidRPr="00CF4E42" w:rsidRDefault="008643D4" w:rsidP="008643D4">
      <w:pPr>
        <w:shd w:val="clear" w:color="auto" w:fill="F5F6F7"/>
        <w:spacing w:before="240" w:after="240" w:line="240" w:lineRule="auto"/>
        <w:jc w:val="both"/>
        <w:rPr>
          <w:rFonts w:ascii="Georgia" w:eastAsia="Times New Roman" w:hAnsi="Georgia" w:cs="Aharoni"/>
          <w:color w:val="444444"/>
          <w:sz w:val="24"/>
          <w:szCs w:val="24"/>
          <w:lang w:eastAsia="fr-CH"/>
        </w:rPr>
      </w:pPr>
      <w:r w:rsidRPr="00CF4E42">
        <w:rPr>
          <w:rFonts w:ascii="Georgia" w:eastAsia="Times New Roman" w:hAnsi="Georgia" w:cs="Aharoni"/>
          <w:color w:val="000000"/>
          <w:sz w:val="24"/>
          <w:szCs w:val="24"/>
          <w:lang w:eastAsia="fr-CH"/>
        </w:rPr>
        <w:t>Grabovoï G. P. a dit qu'il a créé ses inventions et PRK-1U utilisant leur capacité à contrôler et prévoir la voyance, sans recevoir de l'information sur ce sujet chez l'homme ou de textes existants. Et en même temps d'appliquer les méthodes mathématiques supérieures orthodoxes bien connues et physique, un spécialiste en ce qu'elle est la fin de la Faculté de Mathématiques Appliquées et Mécanique de l'Université d'Etat de Tachkent. </w:t>
      </w:r>
      <w:proofErr w:type="gramStart"/>
      <w:r w:rsidRPr="00CF4E42">
        <w:rPr>
          <w:rFonts w:ascii="Georgia" w:eastAsia="Times New Roman" w:hAnsi="Georgia" w:cs="Aharoni"/>
          <w:color w:val="000000"/>
          <w:sz w:val="24"/>
          <w:szCs w:val="24"/>
          <w:lang w:eastAsia="fr-CH"/>
        </w:rPr>
        <w:t>équations</w:t>
      </w:r>
      <w:proofErr w:type="gramEnd"/>
      <w:r w:rsidRPr="00CF4E42">
        <w:rPr>
          <w:rFonts w:ascii="Georgia" w:eastAsia="Times New Roman" w:hAnsi="Georgia" w:cs="Aharoni"/>
          <w:color w:val="000000"/>
          <w:sz w:val="24"/>
          <w:szCs w:val="24"/>
          <w:lang w:eastAsia="fr-CH"/>
        </w:rPr>
        <w:t xml:space="preserve"> physiques et mathématiques prouvant brevets décrits, à plusieurs reprises et publiées dans des revues scientifiques, des solutions quantitatives obtenues à partir d'eux. L'efficacité de l'invention a été confirmé que les résultats des expériences. Dans la revue « </w:t>
      </w:r>
      <w:proofErr w:type="spellStart"/>
      <w:r w:rsidRPr="00CF4E42">
        <w:rPr>
          <w:rFonts w:ascii="Georgia" w:eastAsia="Times New Roman" w:hAnsi="Georgia" w:cs="Aharoni"/>
          <w:color w:val="000000"/>
          <w:sz w:val="24"/>
          <w:szCs w:val="24"/>
          <w:lang w:eastAsia="fr-CH"/>
        </w:rPr>
        <w:t>Electronic</w:t>
      </w:r>
      <w:proofErr w:type="spellEnd"/>
      <w:r w:rsidRPr="00CF4E42">
        <w:rPr>
          <w:rFonts w:ascii="Georgia" w:eastAsia="Times New Roman" w:hAnsi="Georgia" w:cs="Aharoni"/>
          <w:color w:val="000000"/>
          <w:sz w:val="24"/>
          <w:szCs w:val="24"/>
          <w:lang w:eastAsia="fr-CH"/>
        </w:rPr>
        <w:t xml:space="preserve"> Equipment » de l'Académie des sciences de Russie a publié un document scientifique </w:t>
      </w:r>
      <w:proofErr w:type="spellStart"/>
      <w:r w:rsidRPr="00CF4E42">
        <w:rPr>
          <w:rFonts w:ascii="Georgia" w:eastAsia="Times New Roman" w:hAnsi="Georgia" w:cs="Aharoni"/>
          <w:color w:val="000000"/>
          <w:sz w:val="24"/>
          <w:szCs w:val="24"/>
          <w:lang w:eastAsia="fr-CH"/>
        </w:rPr>
        <w:t>Grabovogo</w:t>
      </w:r>
      <w:proofErr w:type="spellEnd"/>
      <w:r w:rsidRPr="00CF4E42">
        <w:rPr>
          <w:rFonts w:ascii="Georgia" w:eastAsia="Times New Roman" w:hAnsi="Georgia" w:cs="Aharoni"/>
          <w:color w:val="000000"/>
          <w:sz w:val="24"/>
          <w:szCs w:val="24"/>
          <w:lang w:eastAsia="fr-CH"/>
        </w:rPr>
        <w:t xml:space="preserve"> GP, comprenant la justification physique et mathématiques et calculs à l'appui: </w:t>
      </w:r>
    </w:p>
    <w:p w:rsidR="000441B1" w:rsidRPr="00CF4E42" w:rsidRDefault="000441B1" w:rsidP="000441B1">
      <w:pPr>
        <w:shd w:val="clear" w:color="auto" w:fill="FFFFFF"/>
        <w:spacing w:after="300" w:line="240" w:lineRule="auto"/>
        <w:rPr>
          <w:rFonts w:ascii="Georgia" w:eastAsia="Times New Roman" w:hAnsi="Georgia" w:cs="Aharoni"/>
          <w:sz w:val="24"/>
          <w:szCs w:val="24"/>
          <w:lang w:eastAsia="fr-CH"/>
        </w:rPr>
      </w:pPr>
      <w:r w:rsidRPr="00CF4E42">
        <w:rPr>
          <w:rFonts w:ascii="Georgia" w:eastAsia="Times New Roman" w:hAnsi="Georgia" w:cs="Aharoni"/>
          <w:b/>
          <w:bCs/>
          <w:sz w:val="24"/>
          <w:szCs w:val="24"/>
          <w:lang w:eastAsia="fr-CH"/>
        </w:rPr>
        <w:t xml:space="preserve">Les méthodes d’utilisation du PRK – 1U de Grigori </w:t>
      </w:r>
      <w:proofErr w:type="spellStart"/>
      <w:r w:rsidRPr="00CF4E42">
        <w:rPr>
          <w:rFonts w:ascii="Georgia" w:eastAsia="Times New Roman" w:hAnsi="Georgia" w:cs="Aharoni"/>
          <w:b/>
          <w:bCs/>
          <w:sz w:val="24"/>
          <w:szCs w:val="24"/>
          <w:lang w:eastAsia="fr-CH"/>
        </w:rPr>
        <w:t>Grabovoi</w:t>
      </w:r>
      <w:proofErr w:type="spellEnd"/>
      <w:r w:rsidRPr="00CF4E42">
        <w:rPr>
          <w:rFonts w:ascii="Georgia" w:eastAsia="Times New Roman" w:hAnsi="Georgia" w:cs="Aharoni"/>
          <w:b/>
          <w:bCs/>
          <w:sz w:val="24"/>
          <w:szCs w:val="24"/>
          <w:lang w:eastAsia="fr-CH"/>
        </w:rPr>
        <w:t xml:space="preserve"> ®:</w:t>
      </w:r>
    </w:p>
    <w:p w:rsidR="000441B1" w:rsidRPr="00CF4E42" w:rsidRDefault="000441B1" w:rsidP="000441B1">
      <w:pPr>
        <w:shd w:val="clear" w:color="auto" w:fill="FFFFFF"/>
        <w:spacing w:after="300" w:line="240" w:lineRule="auto"/>
        <w:rPr>
          <w:rFonts w:ascii="Georgia" w:eastAsia="Times New Roman" w:hAnsi="Georgia" w:cs="Aharoni"/>
          <w:sz w:val="24"/>
          <w:szCs w:val="24"/>
          <w:lang w:eastAsia="fr-CH"/>
        </w:rPr>
      </w:pPr>
      <w:r w:rsidRPr="00CF4E42">
        <w:rPr>
          <w:rFonts w:ascii="Georgia" w:eastAsia="Times New Roman" w:hAnsi="Georgia" w:cs="Aharoni"/>
          <w:sz w:val="24"/>
          <w:szCs w:val="24"/>
          <w:lang w:eastAsia="fr-CH"/>
        </w:rPr>
        <w:t>Des procédés d’utilisation sont les suivantes: concentration sur l’objectif de contrôle 1, 2, 3, 4 est réalisé dans l’intervalle de temps de 1 à 3 minutes, et le cas échéant plus longtemps, sans mise sous tension périphérique et lorsque le d</w:t>
      </w:r>
      <w:r w:rsidR="00737A0D" w:rsidRPr="00CF4E42">
        <w:rPr>
          <w:rFonts w:ascii="Georgia" w:eastAsia="Times New Roman" w:hAnsi="Georgia" w:cs="Aharoni"/>
          <w:sz w:val="24"/>
          <w:szCs w:val="24"/>
          <w:lang w:eastAsia="fr-CH"/>
        </w:rPr>
        <w:t xml:space="preserve">ispositif est mis sous tension. </w:t>
      </w:r>
      <w:r w:rsidRPr="00CF4E42">
        <w:rPr>
          <w:rFonts w:ascii="Georgia" w:eastAsia="Times New Roman" w:hAnsi="Georgia" w:cs="Aharoni"/>
          <w:sz w:val="24"/>
          <w:szCs w:val="24"/>
          <w:lang w:eastAsia="fr-CH"/>
        </w:rPr>
        <w:t xml:space="preserve"> Les résultats sont comparés en termes de concentrations d’effets de développement assurant la vie éternelle. Cet effet est utilisé pour le développement de concentrations sur les orientations indiquées par l’utilisation répétée.</w:t>
      </w:r>
    </w:p>
    <w:p w:rsidR="00DC4FE7" w:rsidRPr="00CF4E42" w:rsidRDefault="00DC4FE7" w:rsidP="00CF4E42">
      <w:pPr>
        <w:rPr>
          <w:rFonts w:ascii="Georgia" w:hAnsi="Georgia" w:cs="Aharoni"/>
          <w:noProof/>
          <w:sz w:val="24"/>
          <w:szCs w:val="24"/>
          <w:lang w:eastAsia="fr-CH"/>
        </w:rPr>
      </w:pPr>
    </w:p>
    <w:p w:rsidR="00F06B77" w:rsidRPr="00CF4E42" w:rsidRDefault="00F06B77" w:rsidP="00736498">
      <w:pPr>
        <w:jc w:val="center"/>
        <w:rPr>
          <w:rFonts w:ascii="Georgia" w:hAnsi="Georgia" w:cs="Aharoni"/>
          <w:sz w:val="32"/>
          <w:szCs w:val="32"/>
        </w:rPr>
      </w:pPr>
      <w:r w:rsidRPr="00CF4E42">
        <w:rPr>
          <w:rFonts w:ascii="Georgia" w:hAnsi="Georgia" w:cs="Aharoni"/>
          <w:sz w:val="32"/>
          <w:szCs w:val="32"/>
        </w:rPr>
        <w:t xml:space="preserve">Description du dispositif : </w:t>
      </w:r>
    </w:p>
    <w:p w:rsidR="00F06B77" w:rsidRPr="00CF4E42" w:rsidRDefault="00F06B77" w:rsidP="00736498">
      <w:pPr>
        <w:jc w:val="center"/>
        <w:rPr>
          <w:rFonts w:ascii="Georgia" w:hAnsi="Georgia" w:cs="Aharoni"/>
          <w:sz w:val="24"/>
          <w:szCs w:val="24"/>
        </w:rPr>
      </w:pPr>
      <w:r w:rsidRPr="00CF4E42">
        <w:rPr>
          <w:rFonts w:ascii="Georgia" w:hAnsi="Georgia" w:cs="Aharoni"/>
          <w:sz w:val="24"/>
          <w:szCs w:val="24"/>
        </w:rPr>
        <w:t xml:space="preserve">Le développement des concentrations donnant la vie éternelle à tous est effectué par la concentration de l'attention sur le receveur du bio-signal généré et le pilotage du résultat des concentrations. Il est connu en psychologie que plus la concentration est effectuée plus l'objectif est réalisé plus rapidement et les événements sont optimisés. Le dispositif, en plus de ce facteur psychologique d'après la loi des connections universelles a le pilotage de l'objectif de la concentration à travers la superposition des champs dès la génération du bio-signal, les champs électromagnétiques. Le dispositif développe les concentrations du pilotage créatif. Le dispositif est basé actuellement sur deux inventions brevetées valides de Grigori Grabovoï “ Méthode de </w:t>
      </w:r>
      <w:r w:rsidRPr="00CF4E42">
        <w:rPr>
          <w:rFonts w:ascii="Georgia" w:hAnsi="Georgia" w:cs="Aharoni"/>
          <w:sz w:val="24"/>
          <w:szCs w:val="24"/>
        </w:rPr>
        <w:lastRenderedPageBreak/>
        <w:t xml:space="preserve">prévention des catastrophes et dispositif pour sa mise en œuvre ” et “ Le système de transfert d'information ”. Le brevet “ Le système de transfert d'information ” a l'information suivante : il est connu dans la théorie de synthèse de champ d'ondes que la pensée générée en rayonnement peut être simultanément de deux états quantiques. L'un de ces états est localisé sur l'élément de détection de l'émetteur des signaux et l'autre se trouve sur le récepteur des signaux. Cela permet de créer des dispositifs pour l'assurance de la vie éternelle, lesquels interagissent avec la pensée. </w:t>
      </w:r>
    </w:p>
    <w:p w:rsidR="00F06B77" w:rsidRPr="00CF4E42" w:rsidRDefault="00F06B77" w:rsidP="00736498">
      <w:pPr>
        <w:jc w:val="center"/>
        <w:rPr>
          <w:rFonts w:ascii="Georgia" w:hAnsi="Georgia" w:cs="Aharoni"/>
          <w:sz w:val="24"/>
          <w:szCs w:val="24"/>
        </w:rPr>
      </w:pPr>
      <w:r w:rsidRPr="00CF4E42">
        <w:rPr>
          <w:rFonts w:ascii="Georgia" w:hAnsi="Georgia" w:cs="Aharoni"/>
          <w:sz w:val="24"/>
          <w:szCs w:val="24"/>
        </w:rPr>
        <w:t xml:space="preserve">Les brevets d'invention de Grigori Grabovoï indiquent que l'opérateur humain génère l'information sous forme d'un rayonnement de la pensée. </w:t>
      </w:r>
    </w:p>
    <w:p w:rsidR="00DC4FE7" w:rsidRPr="00CF4E42" w:rsidRDefault="00F06B77" w:rsidP="00736498">
      <w:pPr>
        <w:jc w:val="center"/>
        <w:rPr>
          <w:rFonts w:ascii="Georgia" w:hAnsi="Georgia" w:cs="Aharoni"/>
          <w:sz w:val="24"/>
          <w:szCs w:val="24"/>
        </w:rPr>
      </w:pPr>
      <w:r w:rsidRPr="00CF4E42">
        <w:rPr>
          <w:rFonts w:ascii="Georgia" w:hAnsi="Georgia" w:cs="Aharoni"/>
          <w:sz w:val="24"/>
          <w:szCs w:val="24"/>
        </w:rPr>
        <w:t>Pour l'emploi du dispositif “ PRK – 1U ” une personne concentre le rayonnement produit par la pensée sur les cristallins situés sur la surface supérieure du dispositif :</w:t>
      </w:r>
    </w:p>
    <w:p w:rsidR="00862DFD" w:rsidRPr="00CF4E42" w:rsidRDefault="00862DFD" w:rsidP="00736498">
      <w:pPr>
        <w:jc w:val="center"/>
        <w:rPr>
          <w:rFonts w:ascii="Georgia" w:hAnsi="Georgia" w:cs="Aharoni"/>
          <w:b/>
          <w:sz w:val="24"/>
          <w:szCs w:val="24"/>
        </w:rPr>
      </w:pPr>
    </w:p>
    <w:p w:rsidR="00862DFD" w:rsidRPr="00CF4E42" w:rsidRDefault="00862DFD" w:rsidP="00736498">
      <w:pPr>
        <w:jc w:val="center"/>
        <w:rPr>
          <w:rFonts w:ascii="Georgia" w:hAnsi="Georgia" w:cs="Aharoni"/>
          <w:sz w:val="24"/>
          <w:szCs w:val="24"/>
        </w:rPr>
      </w:pPr>
      <w:r w:rsidRPr="00CF4E42">
        <w:rPr>
          <w:rFonts w:ascii="Georgia" w:hAnsi="Georgia" w:cs="Aharoni"/>
          <w:sz w:val="24"/>
          <w:szCs w:val="24"/>
        </w:rPr>
        <w:t>La pensée inclue l'objectif de la concentration. L'action de la concentration au moment présent et futur est créée sur l'élément de détection de l’émetteur des signaux constitué des cristallins. Les mouvements circulaires des concentrations du plus petit diamètre des cristallins sont effectués dans le sens antihoraire à travers le plus grand diamètre des cristallins. À propos des concentrations relatives aux événements du passé, le mouvement circulaire de la pensée de la concentration a été accompli dans le sens des aiguilles d'une montre du plus petit cristallin vers le plus grand cristallin. Et le rayon de concentration dans ce cas n'était pas sur le sommet comme dans le cas des concentrations au moment présent et futur mais de l'assemblage optique interne du dispositif. Conformément au système de transmission de l'information décrit dans le brevet, un autre état quantique de la pensée est projeté sur le receveur des signaux disposés dans la forme du brevet optique à l'intérieur du brevet.</w:t>
      </w:r>
    </w:p>
    <w:p w:rsidR="00CF4E42" w:rsidRPr="00590CC7" w:rsidRDefault="008C0BA2" w:rsidP="00590CC7">
      <w:pPr>
        <w:jc w:val="center"/>
        <w:rPr>
          <w:rFonts w:ascii="Georgia" w:hAnsi="Georgia" w:cs="Aharoni"/>
          <w:sz w:val="24"/>
          <w:szCs w:val="24"/>
        </w:rPr>
      </w:pPr>
      <w:r w:rsidRPr="00CF4E42">
        <w:rPr>
          <w:rFonts w:ascii="Georgia" w:hAnsi="Georgia" w:cs="Aharoni"/>
          <w:sz w:val="24"/>
          <w:szCs w:val="24"/>
        </w:rPr>
        <w:t xml:space="preserve">La réalisation de la méthode de normalisation durant la concentration décrite dans le brevet “ Méthode de prévention des catastrophes et dispositif pour sa mise en œuvre ” est accompli à travers la superposition des champs de la génération du bio-signal, des champs électromagnétiques. En plus du facteur psychologique conformément avec la loi de l'action des connections universelles, le pilotage de l'objectif de la concentration est ajouté. Le brevet fonctionne universellement pour le développement des concentrations suivantes pour s'assurer une vie éternelle : </w:t>
      </w:r>
    </w:p>
    <w:p w:rsidR="00CF4E42" w:rsidRPr="00590CC7" w:rsidRDefault="00CF4E42" w:rsidP="00590CC7">
      <w:pPr>
        <w:shd w:val="clear" w:color="auto" w:fill="FFFFFF"/>
        <w:spacing w:after="300" w:line="240" w:lineRule="auto"/>
        <w:jc w:val="center"/>
        <w:rPr>
          <w:rFonts w:ascii="Georgia" w:eastAsia="Times New Roman" w:hAnsi="Georgia" w:cs="Aharoni"/>
          <w:b/>
          <w:sz w:val="32"/>
          <w:szCs w:val="32"/>
          <w:lang w:eastAsia="fr-CH"/>
        </w:rPr>
      </w:pPr>
      <w:r w:rsidRPr="00590CC7">
        <w:rPr>
          <w:rFonts w:ascii="Georgia" w:eastAsia="Times New Roman" w:hAnsi="Georgia" w:cs="Aharoni"/>
          <w:b/>
          <w:sz w:val="32"/>
          <w:szCs w:val="32"/>
          <w:lang w:eastAsia="fr-CH"/>
        </w:rPr>
        <w:t>Les résultats de l’utilisation de l’appareil:</w:t>
      </w:r>
    </w:p>
    <w:p w:rsidR="00CF4E42" w:rsidRPr="00CF4E42" w:rsidRDefault="00CF4E42" w:rsidP="00CF4E42">
      <w:pPr>
        <w:shd w:val="clear" w:color="auto" w:fill="FFFFFF"/>
        <w:spacing w:after="300" w:line="240" w:lineRule="auto"/>
        <w:rPr>
          <w:rFonts w:ascii="Georgia" w:eastAsia="Times New Roman" w:hAnsi="Georgia" w:cs="Aharoni"/>
          <w:sz w:val="24"/>
          <w:szCs w:val="24"/>
          <w:lang w:eastAsia="fr-CH"/>
        </w:rPr>
      </w:pPr>
      <w:r w:rsidRPr="00CF4E42">
        <w:rPr>
          <w:rFonts w:ascii="Georgia" w:eastAsia="Times New Roman" w:hAnsi="Georgia" w:cs="Aharoni"/>
          <w:b/>
          <w:bCs/>
          <w:sz w:val="24"/>
          <w:szCs w:val="24"/>
          <w:lang w:eastAsia="fr-CH"/>
        </w:rPr>
        <w:t>PRK – 1U Contrôle 1:</w:t>
      </w:r>
      <w:r w:rsidRPr="00CF4E42">
        <w:rPr>
          <w:rFonts w:ascii="Georgia" w:eastAsia="Times New Roman" w:hAnsi="Georgia" w:cs="Aharoni"/>
          <w:sz w:val="24"/>
          <w:szCs w:val="24"/>
          <w:lang w:eastAsia="fr-CH"/>
        </w:rPr>
        <w:br/>
        <w:t>Développement de concentrations de la vie éternelle pour tout événement.</w:t>
      </w:r>
    </w:p>
    <w:p w:rsidR="00CF4E42" w:rsidRPr="00CF4E42" w:rsidRDefault="00CF4E42" w:rsidP="00CF4E42">
      <w:pPr>
        <w:shd w:val="clear" w:color="auto" w:fill="FFFFFF"/>
        <w:spacing w:after="300" w:line="240" w:lineRule="auto"/>
        <w:rPr>
          <w:rFonts w:ascii="Georgia" w:eastAsia="Times New Roman" w:hAnsi="Georgia" w:cs="Aharoni"/>
          <w:sz w:val="24"/>
          <w:szCs w:val="24"/>
          <w:lang w:eastAsia="fr-CH"/>
        </w:rPr>
      </w:pPr>
      <w:r w:rsidRPr="00CF4E42">
        <w:rPr>
          <w:rFonts w:ascii="Georgia" w:eastAsia="Times New Roman" w:hAnsi="Georgia" w:cs="Aharoni"/>
          <w:sz w:val="24"/>
          <w:szCs w:val="24"/>
          <w:lang w:eastAsia="fr-CH"/>
        </w:rPr>
        <w:t>Comparaison de la concentration avant d’allumer l’appareil et de la concentration pendant le fonctionnement du dispositif établi qu’un support à la concentration se produit, il y a un sentiment de flux d’énergie, spirituel et créatif augmentation des capacités.</w:t>
      </w:r>
    </w:p>
    <w:p w:rsidR="00CF4E42" w:rsidRPr="00CF4E42" w:rsidRDefault="00CF4E42" w:rsidP="00CF4E42">
      <w:pPr>
        <w:shd w:val="clear" w:color="auto" w:fill="FFFFFF"/>
        <w:spacing w:after="300" w:line="240" w:lineRule="auto"/>
        <w:rPr>
          <w:rFonts w:ascii="Georgia" w:eastAsia="Times New Roman" w:hAnsi="Georgia" w:cs="Aharoni"/>
          <w:sz w:val="24"/>
          <w:szCs w:val="24"/>
          <w:lang w:eastAsia="fr-CH"/>
        </w:rPr>
      </w:pPr>
      <w:r w:rsidRPr="00CF4E42">
        <w:rPr>
          <w:rFonts w:ascii="Georgia" w:eastAsia="Times New Roman" w:hAnsi="Georgia" w:cs="Aharoni"/>
          <w:b/>
          <w:bCs/>
          <w:sz w:val="24"/>
          <w:szCs w:val="24"/>
          <w:lang w:eastAsia="fr-CH"/>
        </w:rPr>
        <w:lastRenderedPageBreak/>
        <w:t>PRK – 1U Contrôle 2:</w:t>
      </w:r>
      <w:r w:rsidRPr="00CF4E42">
        <w:rPr>
          <w:rFonts w:ascii="Georgia" w:eastAsia="Times New Roman" w:hAnsi="Georgia" w:cs="Aharoni"/>
          <w:sz w:val="24"/>
          <w:szCs w:val="24"/>
          <w:lang w:eastAsia="fr-CH"/>
        </w:rPr>
        <w:br/>
        <w:t>Développement de concentrations de la vie éternelle pour contrôler la voyance</w:t>
      </w:r>
    </w:p>
    <w:p w:rsidR="00CF4E42" w:rsidRPr="00CF4E42" w:rsidRDefault="00CF4E42" w:rsidP="00CF4E42">
      <w:pPr>
        <w:shd w:val="clear" w:color="auto" w:fill="FFFFFF"/>
        <w:spacing w:after="300" w:line="240" w:lineRule="auto"/>
        <w:rPr>
          <w:rFonts w:ascii="Georgia" w:eastAsia="Times New Roman" w:hAnsi="Georgia" w:cs="Aharoni"/>
          <w:sz w:val="24"/>
          <w:szCs w:val="24"/>
          <w:lang w:eastAsia="fr-CH"/>
        </w:rPr>
      </w:pPr>
      <w:r w:rsidRPr="00CF4E42">
        <w:rPr>
          <w:rFonts w:ascii="Georgia" w:eastAsia="Times New Roman" w:hAnsi="Georgia" w:cs="Aharoni"/>
          <w:sz w:val="24"/>
          <w:szCs w:val="24"/>
          <w:lang w:eastAsia="fr-CH"/>
        </w:rPr>
        <w:t>Comparaison de la concentration avant d’allumer l’appareil et de la concentration pendant le fonctionnement du dispositif mis en place que pendant le fonctionnement de l’appareil les images plates perçues par la clairvoyance de contrôle de devenir volumineux, plus stable et clair, contrôlabilité augmente, l’augmentation de l’image à travers le verre grossissant effet se produit.</w:t>
      </w:r>
    </w:p>
    <w:p w:rsidR="00CF4E42" w:rsidRPr="00CF4E42" w:rsidRDefault="00CF4E42" w:rsidP="00CF4E42">
      <w:pPr>
        <w:shd w:val="clear" w:color="auto" w:fill="FFFFFF"/>
        <w:spacing w:after="300" w:line="240" w:lineRule="auto"/>
        <w:rPr>
          <w:rFonts w:ascii="Georgia" w:eastAsia="Times New Roman" w:hAnsi="Georgia" w:cs="Aharoni"/>
          <w:sz w:val="24"/>
          <w:szCs w:val="24"/>
          <w:lang w:eastAsia="fr-CH"/>
        </w:rPr>
      </w:pPr>
      <w:r w:rsidRPr="00CF4E42">
        <w:rPr>
          <w:rFonts w:ascii="Georgia" w:eastAsia="Times New Roman" w:hAnsi="Georgia" w:cs="Aharoni"/>
          <w:b/>
          <w:bCs/>
          <w:sz w:val="24"/>
          <w:szCs w:val="24"/>
          <w:lang w:eastAsia="fr-CH"/>
        </w:rPr>
        <w:t>PRK – 1U Contrôle 3:</w:t>
      </w:r>
      <w:r w:rsidRPr="00CF4E42">
        <w:rPr>
          <w:rFonts w:ascii="Georgia" w:eastAsia="Times New Roman" w:hAnsi="Georgia" w:cs="Aharoni"/>
          <w:sz w:val="24"/>
          <w:szCs w:val="24"/>
          <w:lang w:eastAsia="fr-CH"/>
        </w:rPr>
        <w:br/>
        <w:t>Développement de concentrations de la vie éternelle pour contrôler la prévision.</w:t>
      </w:r>
    </w:p>
    <w:p w:rsidR="00CF4E42" w:rsidRPr="00CF4E42" w:rsidRDefault="00CF4E42" w:rsidP="00CF4E42">
      <w:pPr>
        <w:shd w:val="clear" w:color="auto" w:fill="FFFFFF"/>
        <w:spacing w:after="300" w:line="240" w:lineRule="auto"/>
        <w:rPr>
          <w:rFonts w:ascii="Georgia" w:eastAsia="Times New Roman" w:hAnsi="Georgia" w:cs="Aharoni"/>
          <w:sz w:val="24"/>
          <w:szCs w:val="24"/>
          <w:lang w:eastAsia="fr-CH"/>
        </w:rPr>
      </w:pPr>
      <w:r w:rsidRPr="00CF4E42">
        <w:rPr>
          <w:rFonts w:ascii="Georgia" w:eastAsia="Times New Roman" w:hAnsi="Georgia" w:cs="Aharoni"/>
          <w:sz w:val="24"/>
          <w:szCs w:val="24"/>
          <w:lang w:eastAsia="fr-CH"/>
        </w:rPr>
        <w:t>Comparaison de la concentration avant d’allumer l’appareil et de la concentration pendant le fonctionnement du dispositif mis en place que pendant le fonctionnement du dispositif l’information de la prévision de contrôle devient contrôlable plus harmonieuse basée sur la forme similaire à l’humidité soit dynamique, la capacité de développer des concentrations de contrôle sur plus lointaine dans les événements futurs augmente.</w:t>
      </w:r>
    </w:p>
    <w:p w:rsidR="00CF4E42" w:rsidRDefault="00CF4E42" w:rsidP="00CF4E42">
      <w:pPr>
        <w:shd w:val="clear" w:color="auto" w:fill="FFFFFF"/>
        <w:spacing w:after="300" w:line="240" w:lineRule="auto"/>
        <w:rPr>
          <w:rFonts w:ascii="Georgia" w:eastAsia="Times New Roman" w:hAnsi="Georgia" w:cs="Aharoni"/>
          <w:sz w:val="24"/>
          <w:szCs w:val="24"/>
          <w:lang w:eastAsia="fr-CH"/>
        </w:rPr>
      </w:pPr>
      <w:r w:rsidRPr="00CF4E42">
        <w:rPr>
          <w:rFonts w:ascii="Georgia" w:eastAsia="Times New Roman" w:hAnsi="Georgia" w:cs="Aharoni"/>
          <w:b/>
          <w:bCs/>
          <w:sz w:val="24"/>
          <w:szCs w:val="24"/>
          <w:lang w:eastAsia="fr-CH"/>
        </w:rPr>
        <w:t>PRK – 1U Contrôle 4:</w:t>
      </w:r>
      <w:r w:rsidRPr="00CF4E42">
        <w:rPr>
          <w:rFonts w:ascii="Georgia" w:eastAsia="Times New Roman" w:hAnsi="Georgia" w:cs="Aharoni"/>
          <w:sz w:val="24"/>
          <w:szCs w:val="24"/>
          <w:lang w:eastAsia="fr-CH"/>
        </w:rPr>
        <w:br/>
        <w:t>Développement de concentrations de la vie éternelle pour le rajeunissement.</w:t>
      </w:r>
      <w:r w:rsidRPr="00CF4E42">
        <w:rPr>
          <w:rFonts w:ascii="Georgia" w:eastAsia="Times New Roman" w:hAnsi="Georgia" w:cs="Aharoni"/>
          <w:sz w:val="24"/>
          <w:szCs w:val="24"/>
          <w:lang w:eastAsia="fr-CH"/>
        </w:rPr>
        <w:br/>
        <w:t>Comparaison de la concentration avant d’allumer l’appareil et de la concentration pendant le fonctionnement du dispositif mis en place que pendant le fonctionnement de la concentration de l’appareil sur le rajeunissement est renforcée, l’énergie augmente potentiels, et une personne</w:t>
      </w:r>
      <w:r w:rsidRPr="00CF4E42">
        <w:rPr>
          <w:rFonts w:ascii="Georgia" w:eastAsia="Times New Roman" w:hAnsi="Georgia" w:cs="Aharoni"/>
          <w:color w:val="747474"/>
          <w:sz w:val="24"/>
          <w:szCs w:val="24"/>
          <w:lang w:eastAsia="fr-CH"/>
        </w:rPr>
        <w:t xml:space="preserve"> </w:t>
      </w:r>
      <w:r w:rsidRPr="00CF4E42">
        <w:rPr>
          <w:rFonts w:ascii="Georgia" w:eastAsia="Times New Roman" w:hAnsi="Georgia" w:cs="Aharoni"/>
          <w:sz w:val="24"/>
          <w:szCs w:val="24"/>
          <w:lang w:eastAsia="fr-CH"/>
        </w:rPr>
        <w:t>peut se sentir un état d’un âge plus précoce.</w:t>
      </w:r>
    </w:p>
    <w:p w:rsidR="00DE5F1C" w:rsidRDefault="00DE5F1C" w:rsidP="00CF4E42">
      <w:pPr>
        <w:shd w:val="clear" w:color="auto" w:fill="FFFFFF"/>
        <w:spacing w:after="300" w:line="240" w:lineRule="auto"/>
        <w:rPr>
          <w:rFonts w:ascii="Georgia" w:eastAsia="Times New Roman" w:hAnsi="Georgia" w:cs="Aharoni"/>
          <w:sz w:val="24"/>
          <w:szCs w:val="24"/>
          <w:lang w:eastAsia="fr-CH"/>
        </w:rPr>
      </w:pPr>
    </w:p>
    <w:p w:rsidR="00DE5F1C" w:rsidRDefault="00DE5F1C" w:rsidP="00DE5F1C">
      <w:pPr>
        <w:shd w:val="clear" w:color="auto" w:fill="FFFFFF"/>
        <w:spacing w:after="0" w:line="240" w:lineRule="auto"/>
        <w:jc w:val="center"/>
        <w:rPr>
          <w:rFonts w:ascii="Georgia" w:eastAsia="Times New Roman" w:hAnsi="Georgia" w:cs="Aharoni"/>
          <w:sz w:val="24"/>
          <w:szCs w:val="24"/>
          <w:lang w:eastAsia="fr-CH"/>
        </w:rPr>
      </w:pPr>
      <w:r>
        <w:rPr>
          <w:rFonts w:ascii="Georgia" w:eastAsia="Times New Roman" w:hAnsi="Georgia" w:cs="Aharoni"/>
          <w:sz w:val="24"/>
          <w:szCs w:val="24"/>
          <w:lang w:eastAsia="fr-CH"/>
        </w:rPr>
        <w:t xml:space="preserve">Mandataire Grigori </w:t>
      </w:r>
      <w:proofErr w:type="spellStart"/>
      <w:r>
        <w:rPr>
          <w:rFonts w:ascii="Georgia" w:eastAsia="Times New Roman" w:hAnsi="Georgia" w:cs="Aharoni"/>
          <w:sz w:val="24"/>
          <w:szCs w:val="24"/>
          <w:lang w:eastAsia="fr-CH"/>
        </w:rPr>
        <w:t>Grabovoi</w:t>
      </w:r>
      <w:proofErr w:type="spellEnd"/>
    </w:p>
    <w:p w:rsidR="00DE5F1C" w:rsidRDefault="00DE5F1C" w:rsidP="00DE5F1C">
      <w:pPr>
        <w:shd w:val="clear" w:color="auto" w:fill="FFFFFF"/>
        <w:spacing w:after="0" w:line="240" w:lineRule="auto"/>
        <w:jc w:val="center"/>
        <w:rPr>
          <w:rFonts w:ascii="Georgia" w:eastAsia="Times New Roman" w:hAnsi="Georgia" w:cs="Aharoni"/>
          <w:sz w:val="24"/>
          <w:szCs w:val="24"/>
          <w:lang w:eastAsia="fr-CH"/>
        </w:rPr>
      </w:pPr>
      <w:r>
        <w:rPr>
          <w:rFonts w:ascii="Georgia" w:eastAsia="Times New Roman" w:hAnsi="Georgia" w:cs="Aharoni"/>
          <w:sz w:val="24"/>
          <w:szCs w:val="24"/>
          <w:lang w:eastAsia="fr-CH"/>
        </w:rPr>
        <w:t>PRK-1U</w:t>
      </w:r>
    </w:p>
    <w:p w:rsidR="00DE5F1C" w:rsidRDefault="00DE5F1C" w:rsidP="00DE5F1C">
      <w:pPr>
        <w:shd w:val="clear" w:color="auto" w:fill="FFFFFF"/>
        <w:spacing w:after="0" w:line="240" w:lineRule="auto"/>
        <w:jc w:val="center"/>
        <w:rPr>
          <w:rFonts w:ascii="Georgia" w:eastAsia="Times New Roman" w:hAnsi="Georgia" w:cs="Aharoni"/>
          <w:sz w:val="24"/>
          <w:szCs w:val="24"/>
          <w:lang w:eastAsia="fr-CH"/>
        </w:rPr>
      </w:pPr>
      <w:r>
        <w:rPr>
          <w:rFonts w:ascii="Georgia" w:eastAsia="Times New Roman" w:hAnsi="Georgia" w:cs="Aharoni"/>
          <w:sz w:val="24"/>
          <w:szCs w:val="24"/>
          <w:lang w:eastAsia="fr-CH"/>
        </w:rPr>
        <w:t>Pour la Suisse Romande</w:t>
      </w:r>
    </w:p>
    <w:p w:rsidR="00DE5F1C" w:rsidRDefault="00DE5F1C" w:rsidP="00DE5F1C">
      <w:pPr>
        <w:shd w:val="clear" w:color="auto" w:fill="FFFFFF"/>
        <w:spacing w:after="0" w:line="240" w:lineRule="auto"/>
        <w:jc w:val="center"/>
        <w:rPr>
          <w:rFonts w:ascii="Georgia" w:eastAsia="Times New Roman" w:hAnsi="Georgia" w:cs="Aharoni"/>
          <w:sz w:val="24"/>
          <w:szCs w:val="24"/>
          <w:lang w:eastAsia="fr-CH"/>
        </w:rPr>
      </w:pPr>
    </w:p>
    <w:p w:rsidR="00DE5F1C" w:rsidRDefault="00DE5F1C" w:rsidP="00DE5F1C">
      <w:pPr>
        <w:shd w:val="clear" w:color="auto" w:fill="FFFFFF"/>
        <w:spacing w:after="0" w:line="240" w:lineRule="auto"/>
        <w:jc w:val="center"/>
        <w:rPr>
          <w:rFonts w:ascii="Georgia" w:eastAsia="Times New Roman" w:hAnsi="Georgia" w:cs="Aharoni"/>
          <w:sz w:val="24"/>
          <w:szCs w:val="24"/>
          <w:lang w:eastAsia="fr-CH"/>
        </w:rPr>
      </w:pPr>
      <w:r>
        <w:rPr>
          <w:rFonts w:ascii="Georgia" w:eastAsia="Times New Roman" w:hAnsi="Georgia" w:cs="Aharoni"/>
          <w:sz w:val="24"/>
          <w:szCs w:val="24"/>
          <w:lang w:eastAsia="fr-CH"/>
        </w:rPr>
        <w:t>Myriam-Annick Dumartheray</w:t>
      </w:r>
    </w:p>
    <w:p w:rsidR="00DE5F1C" w:rsidRDefault="00DE5F1C" w:rsidP="00DE5F1C">
      <w:pPr>
        <w:shd w:val="clear" w:color="auto" w:fill="FFFFFF"/>
        <w:spacing w:after="0" w:line="240" w:lineRule="auto"/>
        <w:jc w:val="center"/>
        <w:rPr>
          <w:rFonts w:ascii="Georgia" w:eastAsia="Times New Roman" w:hAnsi="Georgia" w:cs="Aharoni"/>
          <w:sz w:val="24"/>
          <w:szCs w:val="24"/>
          <w:lang w:eastAsia="fr-CH"/>
        </w:rPr>
      </w:pPr>
      <w:r>
        <w:rPr>
          <w:rFonts w:ascii="Georgia" w:eastAsia="Times New Roman" w:hAnsi="Georgia" w:cs="Aharoni"/>
          <w:sz w:val="24"/>
          <w:szCs w:val="24"/>
          <w:lang w:eastAsia="fr-CH"/>
        </w:rPr>
        <w:t>Le Manège 6</w:t>
      </w:r>
    </w:p>
    <w:p w:rsidR="00DE5F1C" w:rsidRDefault="00DE5F1C" w:rsidP="00DE5F1C">
      <w:pPr>
        <w:shd w:val="clear" w:color="auto" w:fill="FFFFFF"/>
        <w:spacing w:after="0" w:line="240" w:lineRule="auto"/>
        <w:jc w:val="center"/>
        <w:rPr>
          <w:rFonts w:ascii="Georgia" w:eastAsia="Times New Roman" w:hAnsi="Georgia" w:cs="Aharoni"/>
          <w:sz w:val="24"/>
          <w:szCs w:val="24"/>
          <w:lang w:eastAsia="fr-CH"/>
        </w:rPr>
      </w:pPr>
      <w:r>
        <w:rPr>
          <w:rFonts w:ascii="Georgia" w:eastAsia="Times New Roman" w:hAnsi="Georgia" w:cs="Aharoni"/>
          <w:sz w:val="24"/>
          <w:szCs w:val="24"/>
          <w:lang w:eastAsia="fr-CH"/>
        </w:rPr>
        <w:t xml:space="preserve">CH 1128 </w:t>
      </w:r>
      <w:proofErr w:type="spellStart"/>
      <w:r>
        <w:rPr>
          <w:rFonts w:ascii="Georgia" w:eastAsia="Times New Roman" w:hAnsi="Georgia" w:cs="Aharoni"/>
          <w:sz w:val="24"/>
          <w:szCs w:val="24"/>
          <w:lang w:eastAsia="fr-CH"/>
        </w:rPr>
        <w:t>Reverolle</w:t>
      </w:r>
      <w:proofErr w:type="spellEnd"/>
      <w:r>
        <w:rPr>
          <w:rFonts w:ascii="Georgia" w:eastAsia="Times New Roman" w:hAnsi="Georgia" w:cs="Aharoni"/>
          <w:sz w:val="24"/>
          <w:szCs w:val="24"/>
          <w:lang w:eastAsia="fr-CH"/>
        </w:rPr>
        <w:t xml:space="preserve"> / Morges</w:t>
      </w:r>
    </w:p>
    <w:p w:rsidR="00DE5F1C" w:rsidRDefault="00DE5F1C" w:rsidP="00DE5F1C">
      <w:pPr>
        <w:shd w:val="clear" w:color="auto" w:fill="FFFFFF"/>
        <w:spacing w:after="0" w:line="240" w:lineRule="auto"/>
        <w:jc w:val="center"/>
        <w:rPr>
          <w:rFonts w:ascii="Georgia" w:eastAsia="Times New Roman" w:hAnsi="Georgia" w:cs="Aharoni"/>
          <w:sz w:val="24"/>
          <w:szCs w:val="24"/>
          <w:lang w:eastAsia="fr-CH"/>
        </w:rPr>
      </w:pPr>
      <w:hyperlink r:id="rId11" w:history="1">
        <w:r w:rsidRPr="0011328A">
          <w:rPr>
            <w:rStyle w:val="Lienhypertexte"/>
            <w:rFonts w:ascii="Georgia" w:eastAsia="Times New Roman" w:hAnsi="Georgia" w:cs="Aharoni"/>
            <w:sz w:val="24"/>
            <w:szCs w:val="24"/>
            <w:lang w:eastAsia="fr-CH"/>
          </w:rPr>
          <w:t>Myriam-Annick-d@bluewin.ch</w:t>
        </w:r>
      </w:hyperlink>
    </w:p>
    <w:p w:rsidR="00DE5F1C" w:rsidRPr="00CF4E42" w:rsidRDefault="00DE5F1C" w:rsidP="00DE5F1C">
      <w:pPr>
        <w:shd w:val="clear" w:color="auto" w:fill="FFFFFF"/>
        <w:spacing w:after="0" w:line="240" w:lineRule="auto"/>
        <w:jc w:val="center"/>
        <w:rPr>
          <w:rFonts w:ascii="Georgia" w:eastAsia="Times New Roman" w:hAnsi="Georgia" w:cs="Aharoni"/>
          <w:color w:val="747474"/>
          <w:sz w:val="24"/>
          <w:szCs w:val="24"/>
          <w:lang w:eastAsia="fr-CH"/>
        </w:rPr>
      </w:pPr>
      <w:r>
        <w:rPr>
          <w:rFonts w:ascii="Georgia" w:eastAsia="Times New Roman" w:hAnsi="Georgia" w:cs="Aharoni"/>
          <w:sz w:val="24"/>
          <w:szCs w:val="24"/>
          <w:lang w:eastAsia="fr-CH"/>
        </w:rPr>
        <w:t>0041 (0)21 866 10 83</w:t>
      </w:r>
      <w:bookmarkStart w:id="0" w:name="_GoBack"/>
      <w:bookmarkEnd w:id="0"/>
    </w:p>
    <w:p w:rsidR="008C0BA2" w:rsidRPr="00F06B77" w:rsidRDefault="008C0BA2" w:rsidP="00736498">
      <w:pPr>
        <w:jc w:val="center"/>
        <w:rPr>
          <w:rFonts w:ascii="Arial" w:hAnsi="Arial" w:cs="Arial"/>
          <w:b/>
        </w:rPr>
      </w:pPr>
    </w:p>
    <w:sectPr w:rsidR="008C0BA2" w:rsidRPr="00F06B7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B2B" w:rsidRDefault="00006B2B" w:rsidP="00941F89">
      <w:pPr>
        <w:spacing w:after="0" w:line="240" w:lineRule="auto"/>
      </w:pPr>
      <w:r>
        <w:separator/>
      </w:r>
    </w:p>
  </w:endnote>
  <w:endnote w:type="continuationSeparator" w:id="0">
    <w:p w:rsidR="00006B2B" w:rsidRDefault="00006B2B" w:rsidP="0094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haroni">
    <w:panose1 w:val="02010803020104030203"/>
    <w:charset w:val="B1"/>
    <w:family w:val="auto"/>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73056"/>
      <w:docPartObj>
        <w:docPartGallery w:val="Page Numbers (Bottom of Page)"/>
        <w:docPartUnique/>
      </w:docPartObj>
    </w:sdtPr>
    <w:sdtEndPr/>
    <w:sdtContent>
      <w:p w:rsidR="00941F89" w:rsidRDefault="00941F89">
        <w:pPr>
          <w:pStyle w:val="Pieddepage"/>
          <w:jc w:val="center"/>
        </w:pPr>
        <w:r>
          <w:fldChar w:fldCharType="begin"/>
        </w:r>
        <w:r>
          <w:instrText>PAGE   \* MERGEFORMAT</w:instrText>
        </w:r>
        <w:r>
          <w:fldChar w:fldCharType="separate"/>
        </w:r>
        <w:r w:rsidR="00DE5F1C" w:rsidRPr="00DE5F1C">
          <w:rPr>
            <w:noProof/>
            <w:lang w:val="fr-FR"/>
          </w:rPr>
          <w:t>4</w:t>
        </w:r>
        <w:r>
          <w:fldChar w:fldCharType="end"/>
        </w:r>
      </w:p>
    </w:sdtContent>
  </w:sdt>
  <w:p w:rsidR="00941F89" w:rsidRDefault="00941F8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B2B" w:rsidRDefault="00006B2B" w:rsidP="00941F89">
      <w:pPr>
        <w:spacing w:after="0" w:line="240" w:lineRule="auto"/>
      </w:pPr>
      <w:r>
        <w:separator/>
      </w:r>
    </w:p>
  </w:footnote>
  <w:footnote w:type="continuationSeparator" w:id="0">
    <w:p w:rsidR="00006B2B" w:rsidRDefault="00006B2B" w:rsidP="00941F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536C"/>
    <w:multiLevelType w:val="multilevel"/>
    <w:tmpl w:val="183E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56888"/>
    <w:multiLevelType w:val="multilevel"/>
    <w:tmpl w:val="F82070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604B06"/>
    <w:multiLevelType w:val="multilevel"/>
    <w:tmpl w:val="C6EC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20C7D"/>
    <w:multiLevelType w:val="multilevel"/>
    <w:tmpl w:val="8A926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896528"/>
    <w:multiLevelType w:val="multilevel"/>
    <w:tmpl w:val="D6202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156C4D"/>
    <w:multiLevelType w:val="multilevel"/>
    <w:tmpl w:val="4AD06A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9825E0"/>
    <w:multiLevelType w:val="multilevel"/>
    <w:tmpl w:val="617EA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9B47A8"/>
    <w:multiLevelType w:val="multilevel"/>
    <w:tmpl w:val="6946FE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AE1B73"/>
    <w:multiLevelType w:val="multilevel"/>
    <w:tmpl w:val="852C9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DE1F10"/>
    <w:multiLevelType w:val="multilevel"/>
    <w:tmpl w:val="D03AB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31476C"/>
    <w:multiLevelType w:val="multilevel"/>
    <w:tmpl w:val="6C4C3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B8053A"/>
    <w:multiLevelType w:val="multilevel"/>
    <w:tmpl w:val="827AE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3"/>
  </w:num>
  <w:num w:numId="4">
    <w:abstractNumId w:val="7"/>
  </w:num>
  <w:num w:numId="5">
    <w:abstractNumId w:val="1"/>
  </w:num>
  <w:num w:numId="6">
    <w:abstractNumId w:val="6"/>
  </w:num>
  <w:num w:numId="7">
    <w:abstractNumId w:val="2"/>
  </w:num>
  <w:num w:numId="8">
    <w:abstractNumId w:val="10"/>
  </w:num>
  <w:num w:numId="9">
    <w:abstractNumId w:val="4"/>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D4"/>
    <w:rsid w:val="00006B2B"/>
    <w:rsid w:val="000441B1"/>
    <w:rsid w:val="00044A8A"/>
    <w:rsid w:val="001039BA"/>
    <w:rsid w:val="00223307"/>
    <w:rsid w:val="002375A5"/>
    <w:rsid w:val="003D0134"/>
    <w:rsid w:val="00410F34"/>
    <w:rsid w:val="00495A1B"/>
    <w:rsid w:val="004B3279"/>
    <w:rsid w:val="005071CF"/>
    <w:rsid w:val="005312E9"/>
    <w:rsid w:val="00590CC7"/>
    <w:rsid w:val="0059305D"/>
    <w:rsid w:val="0073581A"/>
    <w:rsid w:val="00736498"/>
    <w:rsid w:val="00737A0D"/>
    <w:rsid w:val="0076187A"/>
    <w:rsid w:val="007A2346"/>
    <w:rsid w:val="00862DFD"/>
    <w:rsid w:val="008643D4"/>
    <w:rsid w:val="008C0BA2"/>
    <w:rsid w:val="00920512"/>
    <w:rsid w:val="00941F89"/>
    <w:rsid w:val="00955053"/>
    <w:rsid w:val="009E7ACF"/>
    <w:rsid w:val="00A03E24"/>
    <w:rsid w:val="00A31503"/>
    <w:rsid w:val="00AC0B4C"/>
    <w:rsid w:val="00B07EA7"/>
    <w:rsid w:val="00B1305E"/>
    <w:rsid w:val="00B577A2"/>
    <w:rsid w:val="00B67304"/>
    <w:rsid w:val="00BF655F"/>
    <w:rsid w:val="00CF4E42"/>
    <w:rsid w:val="00CF7622"/>
    <w:rsid w:val="00D31DD8"/>
    <w:rsid w:val="00D75C77"/>
    <w:rsid w:val="00DC4FE7"/>
    <w:rsid w:val="00DE5F1C"/>
    <w:rsid w:val="00E34D75"/>
    <w:rsid w:val="00F06B7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55053"/>
    <w:rPr>
      <w:b/>
      <w:bCs/>
    </w:rPr>
  </w:style>
  <w:style w:type="paragraph" w:styleId="Textedebulles">
    <w:name w:val="Balloon Text"/>
    <w:basedOn w:val="Normal"/>
    <w:link w:val="TextedebullesCar"/>
    <w:uiPriority w:val="99"/>
    <w:semiHidden/>
    <w:unhideWhenUsed/>
    <w:rsid w:val="007364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6498"/>
    <w:rPr>
      <w:rFonts w:ascii="Tahoma" w:hAnsi="Tahoma" w:cs="Tahoma"/>
      <w:sz w:val="16"/>
      <w:szCs w:val="16"/>
    </w:rPr>
  </w:style>
  <w:style w:type="paragraph" w:styleId="En-tte">
    <w:name w:val="header"/>
    <w:basedOn w:val="Normal"/>
    <w:link w:val="En-tteCar"/>
    <w:uiPriority w:val="99"/>
    <w:unhideWhenUsed/>
    <w:rsid w:val="00941F89"/>
    <w:pPr>
      <w:tabs>
        <w:tab w:val="center" w:pos="4536"/>
        <w:tab w:val="right" w:pos="9072"/>
      </w:tabs>
      <w:spacing w:after="0" w:line="240" w:lineRule="auto"/>
    </w:pPr>
  </w:style>
  <w:style w:type="character" w:customStyle="1" w:styleId="En-tteCar">
    <w:name w:val="En-tête Car"/>
    <w:basedOn w:val="Policepardfaut"/>
    <w:link w:val="En-tte"/>
    <w:uiPriority w:val="99"/>
    <w:rsid w:val="00941F89"/>
  </w:style>
  <w:style w:type="paragraph" w:styleId="Pieddepage">
    <w:name w:val="footer"/>
    <w:basedOn w:val="Normal"/>
    <w:link w:val="PieddepageCar"/>
    <w:uiPriority w:val="99"/>
    <w:unhideWhenUsed/>
    <w:rsid w:val="00941F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1F89"/>
  </w:style>
  <w:style w:type="character" w:styleId="Lienhypertexte">
    <w:name w:val="Hyperlink"/>
    <w:basedOn w:val="Policepardfaut"/>
    <w:uiPriority w:val="99"/>
    <w:unhideWhenUsed/>
    <w:rsid w:val="00DE5F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55053"/>
    <w:rPr>
      <w:b/>
      <w:bCs/>
    </w:rPr>
  </w:style>
  <w:style w:type="paragraph" w:styleId="Textedebulles">
    <w:name w:val="Balloon Text"/>
    <w:basedOn w:val="Normal"/>
    <w:link w:val="TextedebullesCar"/>
    <w:uiPriority w:val="99"/>
    <w:semiHidden/>
    <w:unhideWhenUsed/>
    <w:rsid w:val="007364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6498"/>
    <w:rPr>
      <w:rFonts w:ascii="Tahoma" w:hAnsi="Tahoma" w:cs="Tahoma"/>
      <w:sz w:val="16"/>
      <w:szCs w:val="16"/>
    </w:rPr>
  </w:style>
  <w:style w:type="paragraph" w:styleId="En-tte">
    <w:name w:val="header"/>
    <w:basedOn w:val="Normal"/>
    <w:link w:val="En-tteCar"/>
    <w:uiPriority w:val="99"/>
    <w:unhideWhenUsed/>
    <w:rsid w:val="00941F89"/>
    <w:pPr>
      <w:tabs>
        <w:tab w:val="center" w:pos="4536"/>
        <w:tab w:val="right" w:pos="9072"/>
      </w:tabs>
      <w:spacing w:after="0" w:line="240" w:lineRule="auto"/>
    </w:pPr>
  </w:style>
  <w:style w:type="character" w:customStyle="1" w:styleId="En-tteCar">
    <w:name w:val="En-tête Car"/>
    <w:basedOn w:val="Policepardfaut"/>
    <w:link w:val="En-tte"/>
    <w:uiPriority w:val="99"/>
    <w:rsid w:val="00941F89"/>
  </w:style>
  <w:style w:type="paragraph" w:styleId="Pieddepage">
    <w:name w:val="footer"/>
    <w:basedOn w:val="Normal"/>
    <w:link w:val="PieddepageCar"/>
    <w:uiPriority w:val="99"/>
    <w:unhideWhenUsed/>
    <w:rsid w:val="00941F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1F89"/>
  </w:style>
  <w:style w:type="character" w:styleId="Lienhypertexte">
    <w:name w:val="Hyperlink"/>
    <w:basedOn w:val="Policepardfaut"/>
    <w:uiPriority w:val="99"/>
    <w:unhideWhenUsed/>
    <w:rsid w:val="00DE5F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42800">
      <w:bodyDiv w:val="1"/>
      <w:marLeft w:val="0"/>
      <w:marRight w:val="0"/>
      <w:marTop w:val="0"/>
      <w:marBottom w:val="0"/>
      <w:divBdr>
        <w:top w:val="none" w:sz="0" w:space="0" w:color="auto"/>
        <w:left w:val="none" w:sz="0" w:space="0" w:color="auto"/>
        <w:bottom w:val="none" w:sz="0" w:space="0" w:color="auto"/>
        <w:right w:val="none" w:sz="0" w:space="0" w:color="auto"/>
      </w:divBdr>
      <w:divsChild>
        <w:div w:id="552430450">
          <w:marLeft w:val="0"/>
          <w:marRight w:val="0"/>
          <w:marTop w:val="750"/>
          <w:marBottom w:val="450"/>
          <w:divBdr>
            <w:top w:val="none" w:sz="0" w:space="0" w:color="auto"/>
            <w:left w:val="none" w:sz="0" w:space="0" w:color="auto"/>
            <w:bottom w:val="none" w:sz="0" w:space="0" w:color="auto"/>
            <w:right w:val="none" w:sz="0" w:space="0" w:color="auto"/>
          </w:divBdr>
        </w:div>
        <w:div w:id="1980500913">
          <w:marLeft w:val="0"/>
          <w:marRight w:val="0"/>
          <w:marTop w:val="0"/>
          <w:marBottom w:val="0"/>
          <w:divBdr>
            <w:top w:val="none" w:sz="0" w:space="0" w:color="auto"/>
            <w:left w:val="none" w:sz="0" w:space="0" w:color="auto"/>
            <w:bottom w:val="none" w:sz="0" w:space="0" w:color="auto"/>
            <w:right w:val="none" w:sz="0" w:space="0" w:color="auto"/>
          </w:divBdr>
        </w:div>
        <w:div w:id="1276130255">
          <w:marLeft w:val="0"/>
          <w:marRight w:val="0"/>
          <w:marTop w:val="0"/>
          <w:marBottom w:val="0"/>
          <w:divBdr>
            <w:top w:val="none" w:sz="0" w:space="0" w:color="auto"/>
            <w:left w:val="none" w:sz="0" w:space="0" w:color="auto"/>
            <w:bottom w:val="none" w:sz="0" w:space="0" w:color="auto"/>
            <w:right w:val="none" w:sz="0" w:space="0" w:color="auto"/>
          </w:divBdr>
          <w:divsChild>
            <w:div w:id="1808820510">
              <w:marLeft w:val="0"/>
              <w:marRight w:val="0"/>
              <w:marTop w:val="0"/>
              <w:marBottom w:val="0"/>
              <w:divBdr>
                <w:top w:val="none" w:sz="0" w:space="0" w:color="auto"/>
                <w:left w:val="none" w:sz="0" w:space="0" w:color="auto"/>
                <w:bottom w:val="none" w:sz="0" w:space="0" w:color="auto"/>
                <w:right w:val="none" w:sz="0" w:space="0" w:color="auto"/>
              </w:divBdr>
              <w:divsChild>
                <w:div w:id="1225095680">
                  <w:marLeft w:val="0"/>
                  <w:marRight w:val="0"/>
                  <w:marTop w:val="0"/>
                  <w:marBottom w:val="225"/>
                  <w:divBdr>
                    <w:top w:val="none" w:sz="0" w:space="0" w:color="auto"/>
                    <w:left w:val="none" w:sz="0" w:space="0" w:color="auto"/>
                    <w:bottom w:val="none" w:sz="0" w:space="0" w:color="auto"/>
                    <w:right w:val="none" w:sz="0" w:space="0" w:color="auto"/>
                  </w:divBdr>
                  <w:divsChild>
                    <w:div w:id="4534071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51830069">
      <w:bodyDiv w:val="1"/>
      <w:marLeft w:val="0"/>
      <w:marRight w:val="0"/>
      <w:marTop w:val="0"/>
      <w:marBottom w:val="0"/>
      <w:divBdr>
        <w:top w:val="none" w:sz="0" w:space="0" w:color="auto"/>
        <w:left w:val="none" w:sz="0" w:space="0" w:color="auto"/>
        <w:bottom w:val="none" w:sz="0" w:space="0" w:color="auto"/>
        <w:right w:val="none" w:sz="0" w:space="0" w:color="auto"/>
      </w:divBdr>
      <w:divsChild>
        <w:div w:id="1641501426">
          <w:marLeft w:val="0"/>
          <w:marRight w:val="0"/>
          <w:marTop w:val="0"/>
          <w:marBottom w:val="0"/>
          <w:divBdr>
            <w:top w:val="none" w:sz="0" w:space="0" w:color="auto"/>
            <w:left w:val="none" w:sz="0" w:space="0" w:color="auto"/>
            <w:bottom w:val="none" w:sz="0" w:space="0" w:color="auto"/>
            <w:right w:val="none" w:sz="0" w:space="0" w:color="auto"/>
          </w:divBdr>
        </w:div>
      </w:divsChild>
    </w:div>
    <w:div w:id="1787889842">
      <w:bodyDiv w:val="1"/>
      <w:marLeft w:val="0"/>
      <w:marRight w:val="0"/>
      <w:marTop w:val="0"/>
      <w:marBottom w:val="0"/>
      <w:divBdr>
        <w:top w:val="none" w:sz="0" w:space="0" w:color="auto"/>
        <w:left w:val="none" w:sz="0" w:space="0" w:color="auto"/>
        <w:bottom w:val="none" w:sz="0" w:space="0" w:color="auto"/>
        <w:right w:val="none" w:sz="0" w:space="0" w:color="auto"/>
      </w:divBdr>
      <w:divsChild>
        <w:div w:id="2036033817">
          <w:marLeft w:val="0"/>
          <w:marRight w:val="0"/>
          <w:marTop w:val="750"/>
          <w:marBottom w:val="450"/>
          <w:divBdr>
            <w:top w:val="none" w:sz="0" w:space="0" w:color="auto"/>
            <w:left w:val="none" w:sz="0" w:space="0" w:color="auto"/>
            <w:bottom w:val="none" w:sz="0" w:space="0" w:color="auto"/>
            <w:right w:val="none" w:sz="0" w:space="0" w:color="auto"/>
          </w:divBdr>
        </w:div>
        <w:div w:id="292516448">
          <w:marLeft w:val="0"/>
          <w:marRight w:val="0"/>
          <w:marTop w:val="0"/>
          <w:marBottom w:val="0"/>
          <w:divBdr>
            <w:top w:val="none" w:sz="0" w:space="0" w:color="auto"/>
            <w:left w:val="none" w:sz="0" w:space="0" w:color="auto"/>
            <w:bottom w:val="none" w:sz="0" w:space="0" w:color="auto"/>
            <w:right w:val="none" w:sz="0" w:space="0" w:color="auto"/>
          </w:divBdr>
        </w:div>
        <w:div w:id="764960217">
          <w:marLeft w:val="0"/>
          <w:marRight w:val="0"/>
          <w:marTop w:val="0"/>
          <w:marBottom w:val="0"/>
          <w:divBdr>
            <w:top w:val="none" w:sz="0" w:space="0" w:color="auto"/>
            <w:left w:val="none" w:sz="0" w:space="0" w:color="auto"/>
            <w:bottom w:val="none" w:sz="0" w:space="0" w:color="auto"/>
            <w:right w:val="none" w:sz="0" w:space="0" w:color="auto"/>
          </w:divBdr>
          <w:divsChild>
            <w:div w:id="1637030601">
              <w:marLeft w:val="0"/>
              <w:marRight w:val="0"/>
              <w:marTop w:val="0"/>
              <w:marBottom w:val="0"/>
              <w:divBdr>
                <w:top w:val="none" w:sz="0" w:space="0" w:color="auto"/>
                <w:left w:val="none" w:sz="0" w:space="0" w:color="auto"/>
                <w:bottom w:val="none" w:sz="0" w:space="0" w:color="auto"/>
                <w:right w:val="none" w:sz="0" w:space="0" w:color="auto"/>
              </w:divBdr>
              <w:divsChild>
                <w:div w:id="764573036">
                  <w:marLeft w:val="0"/>
                  <w:marRight w:val="0"/>
                  <w:marTop w:val="0"/>
                  <w:marBottom w:val="225"/>
                  <w:divBdr>
                    <w:top w:val="none" w:sz="0" w:space="0" w:color="auto"/>
                    <w:left w:val="none" w:sz="0" w:space="0" w:color="auto"/>
                    <w:bottom w:val="none" w:sz="0" w:space="0" w:color="auto"/>
                    <w:right w:val="none" w:sz="0" w:space="0" w:color="auto"/>
                  </w:divBdr>
                  <w:divsChild>
                    <w:div w:id="1924099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yriam-Annick-d@bluewin.ch"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1159</Words>
  <Characters>6379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dc:creator>
  <cp:lastModifiedBy>myriam</cp:lastModifiedBy>
  <cp:revision>6</cp:revision>
  <cp:lastPrinted>2017-11-23T10:05:00Z</cp:lastPrinted>
  <dcterms:created xsi:type="dcterms:W3CDTF">2017-12-02T06:53:00Z</dcterms:created>
  <dcterms:modified xsi:type="dcterms:W3CDTF">2018-03-04T08:00:00Z</dcterms:modified>
</cp:coreProperties>
</file>