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7F" w:rsidRPr="006F439E" w:rsidRDefault="00E52F52">
      <w:pPr>
        <w:pStyle w:val="Title"/>
        <w:jc w:val="left"/>
        <w:rPr>
          <w:rFonts w:ascii="Gill Sans MT" w:hAnsi="Gill Sans MT"/>
          <w:color w:val="996633"/>
          <w:sz w:val="40"/>
          <w:szCs w:val="40"/>
        </w:rPr>
      </w:pPr>
      <w:r>
        <w:rPr>
          <w:noProof/>
          <w:color w:val="996633"/>
          <w:sz w:val="40"/>
          <w:szCs w:val="40"/>
          <w:lang w:val="en-CA" w:eastAsia="en-CA"/>
        </w:rPr>
        <w:drawing>
          <wp:anchor distT="36576" distB="36576" distL="36576" distR="36576" simplePos="0" relativeHeight="251657728" behindDoc="0" locked="0" layoutInCell="1" allowOverlap="1">
            <wp:simplePos x="0" y="0"/>
            <wp:positionH relativeFrom="column">
              <wp:posOffset>4810125</wp:posOffset>
            </wp:positionH>
            <wp:positionV relativeFrom="paragraph">
              <wp:posOffset>-495300</wp:posOffset>
            </wp:positionV>
            <wp:extent cx="1876425" cy="2667000"/>
            <wp:effectExtent l="19050" t="0" r="9525" b="0"/>
            <wp:wrapNone/>
            <wp:docPr id="2" name="Picture 2" descr="thumbnailCAV7KC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CAV7KCCJ"/>
                    <pic:cNvPicPr>
                      <a:picLocks noChangeAspect="1" noChangeArrowheads="1"/>
                    </pic:cNvPicPr>
                  </pic:nvPicPr>
                  <pic:blipFill>
                    <a:blip r:embed="rId5" cstate="print"/>
                    <a:srcRect/>
                    <a:stretch>
                      <a:fillRect/>
                    </a:stretch>
                  </pic:blipFill>
                  <pic:spPr bwMode="auto">
                    <a:xfrm>
                      <a:off x="0" y="0"/>
                      <a:ext cx="1876425" cy="2667000"/>
                    </a:xfrm>
                    <a:prstGeom prst="rect">
                      <a:avLst/>
                    </a:prstGeom>
                    <a:noFill/>
                    <a:ln w="9525" algn="in">
                      <a:noFill/>
                      <a:miter lim="800000"/>
                      <a:headEnd/>
                      <a:tailEnd/>
                    </a:ln>
                    <a:effectLst/>
                  </pic:spPr>
                </pic:pic>
              </a:graphicData>
            </a:graphic>
          </wp:anchor>
        </w:drawing>
      </w:r>
      <w:r w:rsidR="00086C7F" w:rsidRPr="006F439E">
        <w:rPr>
          <w:rFonts w:ascii="Gill Sans MT" w:hAnsi="Gill Sans MT"/>
          <w:color w:val="996633"/>
          <w:sz w:val="40"/>
          <w:szCs w:val="40"/>
        </w:rPr>
        <w:t>Degenerative Disk Disorders</w:t>
      </w:r>
    </w:p>
    <w:p w:rsidR="00086C7F" w:rsidRDefault="00086C7F">
      <w:pPr>
        <w:pStyle w:val="Title"/>
        <w:rPr>
          <w:rFonts w:ascii="Gill Sans MT" w:hAnsi="Gill Sans MT"/>
          <w:b w:val="0"/>
          <w:bCs w:val="0"/>
          <w:sz w:val="24"/>
          <w:u w:val="none"/>
        </w:rPr>
      </w:pPr>
    </w:p>
    <w:p w:rsidR="00086C7F" w:rsidRDefault="00086C7F">
      <w:pPr>
        <w:pStyle w:val="BodyText"/>
        <w:rPr>
          <w:rFonts w:ascii="Gill Sans MT" w:hAnsi="Gill Sans MT"/>
        </w:rPr>
      </w:pPr>
      <w:r>
        <w:rPr>
          <w:rFonts w:ascii="Gill Sans MT" w:hAnsi="Gill Sans MT"/>
          <w:b/>
          <w:bCs/>
          <w:u w:val="single"/>
        </w:rPr>
        <w:t>Causes of Degenerative Disk Disorders</w:t>
      </w:r>
      <w:r>
        <w:rPr>
          <w:rFonts w:ascii="Gill Sans MT" w:hAnsi="Gill Sans MT"/>
        </w:rPr>
        <w:t xml:space="preserve"> </w:t>
      </w:r>
    </w:p>
    <w:p w:rsidR="00086C7F" w:rsidRDefault="00086C7F" w:rsidP="00E52F52">
      <w:pPr>
        <w:pStyle w:val="BodyText"/>
        <w:numPr>
          <w:ilvl w:val="0"/>
          <w:numId w:val="6"/>
        </w:numPr>
        <w:rPr>
          <w:rFonts w:ascii="Gill Sans MT" w:hAnsi="Gill Sans MT"/>
        </w:rPr>
      </w:pPr>
      <w:r>
        <w:rPr>
          <w:rFonts w:ascii="Gill Sans MT" w:hAnsi="Gill Sans MT"/>
        </w:rPr>
        <w:t>some are genetic (such as spondylosis)</w:t>
      </w:r>
    </w:p>
    <w:p w:rsidR="00086C7F" w:rsidRDefault="00086C7F" w:rsidP="00E52F52">
      <w:pPr>
        <w:pStyle w:val="BodyText"/>
        <w:numPr>
          <w:ilvl w:val="0"/>
          <w:numId w:val="6"/>
        </w:numPr>
        <w:rPr>
          <w:rFonts w:ascii="Gill Sans MT" w:hAnsi="Gill Sans MT"/>
        </w:rPr>
      </w:pPr>
      <w:r>
        <w:rPr>
          <w:rFonts w:ascii="Gill Sans MT" w:hAnsi="Gill Sans MT"/>
        </w:rPr>
        <w:t>some are as a result of nutritional deficiencies</w:t>
      </w:r>
    </w:p>
    <w:p w:rsidR="006F439E" w:rsidRDefault="00086C7F" w:rsidP="00E52F52">
      <w:pPr>
        <w:pStyle w:val="BodyText"/>
        <w:numPr>
          <w:ilvl w:val="0"/>
          <w:numId w:val="6"/>
        </w:numPr>
        <w:rPr>
          <w:rFonts w:ascii="Gill Sans MT" w:hAnsi="Gill Sans MT"/>
        </w:rPr>
      </w:pPr>
      <w:r>
        <w:rPr>
          <w:rFonts w:ascii="Gill Sans MT" w:hAnsi="Gill Sans MT"/>
        </w:rPr>
        <w:t xml:space="preserve">some are as a result of liver dysfunction (the liver does not produce </w:t>
      </w:r>
    </w:p>
    <w:p w:rsidR="00086C7F" w:rsidRDefault="00E52F52" w:rsidP="00E52F52">
      <w:pPr>
        <w:pStyle w:val="BodyText"/>
        <w:rPr>
          <w:rFonts w:ascii="Gill Sans MT" w:hAnsi="Gill Sans MT"/>
        </w:rPr>
      </w:pPr>
      <w:r>
        <w:rPr>
          <w:rFonts w:ascii="Gill Sans MT" w:hAnsi="Gill Sans MT"/>
        </w:rPr>
        <w:t xml:space="preserve">      </w:t>
      </w:r>
      <w:r w:rsidR="00086C7F">
        <w:rPr>
          <w:rFonts w:ascii="Gill Sans MT" w:hAnsi="Gill Sans MT"/>
        </w:rPr>
        <w:t>enough glucosamine)</w:t>
      </w:r>
    </w:p>
    <w:p w:rsidR="00086C7F" w:rsidRDefault="00086C7F" w:rsidP="00E52F52">
      <w:pPr>
        <w:pStyle w:val="BodyText"/>
        <w:numPr>
          <w:ilvl w:val="0"/>
          <w:numId w:val="6"/>
        </w:numPr>
        <w:rPr>
          <w:rFonts w:ascii="Gill Sans MT" w:hAnsi="Gill Sans MT"/>
        </w:rPr>
      </w:pPr>
      <w:r>
        <w:rPr>
          <w:rFonts w:ascii="Gill Sans MT" w:hAnsi="Gill Sans MT"/>
        </w:rPr>
        <w:t>some are the result of an injury</w:t>
      </w:r>
    </w:p>
    <w:p w:rsidR="00086C7F" w:rsidRDefault="00086C7F" w:rsidP="00E52F52">
      <w:pPr>
        <w:pStyle w:val="BodyText"/>
        <w:numPr>
          <w:ilvl w:val="0"/>
          <w:numId w:val="6"/>
        </w:numPr>
        <w:rPr>
          <w:rFonts w:ascii="Gill Sans MT" w:hAnsi="Gill Sans MT"/>
        </w:rPr>
      </w:pPr>
      <w:r>
        <w:rPr>
          <w:rFonts w:ascii="Gill Sans MT" w:hAnsi="Gill Sans MT"/>
        </w:rPr>
        <w:t>etc.</w:t>
      </w:r>
    </w:p>
    <w:p w:rsidR="00086C7F" w:rsidRDefault="00086C7F">
      <w:pPr>
        <w:pStyle w:val="BodyText"/>
        <w:rPr>
          <w:rFonts w:ascii="Gill Sans MT" w:hAnsi="Gill Sans MT"/>
        </w:rPr>
      </w:pPr>
    </w:p>
    <w:p w:rsidR="00086C7F" w:rsidRDefault="00086C7F">
      <w:pPr>
        <w:pStyle w:val="BodyText"/>
        <w:rPr>
          <w:rFonts w:ascii="Gill Sans MT" w:hAnsi="Gill Sans MT"/>
          <w:b/>
          <w:bCs/>
          <w:u w:val="single"/>
        </w:rPr>
      </w:pPr>
      <w:r>
        <w:rPr>
          <w:rFonts w:ascii="Gill Sans MT" w:hAnsi="Gill Sans MT"/>
          <w:b/>
          <w:bCs/>
          <w:u w:val="single"/>
        </w:rPr>
        <w:t>Symptoms:</w:t>
      </w:r>
    </w:p>
    <w:p w:rsidR="00086C7F" w:rsidRDefault="00086C7F" w:rsidP="00E52F52">
      <w:pPr>
        <w:pStyle w:val="BodyText"/>
        <w:numPr>
          <w:ilvl w:val="0"/>
          <w:numId w:val="7"/>
        </w:numPr>
        <w:rPr>
          <w:rFonts w:ascii="Gill Sans MT" w:hAnsi="Gill Sans MT"/>
          <w:b/>
          <w:bCs/>
          <w:u w:val="single"/>
        </w:rPr>
      </w:pPr>
      <w:r>
        <w:rPr>
          <w:rFonts w:ascii="Gill Sans MT" w:hAnsi="Gill Sans MT"/>
        </w:rPr>
        <w:t>restriction of movement …… pain</w:t>
      </w:r>
    </w:p>
    <w:p w:rsidR="00086C7F" w:rsidRDefault="00086C7F">
      <w:pPr>
        <w:pStyle w:val="BodyText"/>
        <w:rPr>
          <w:rFonts w:ascii="Gill Sans MT" w:hAnsi="Gill Sans MT"/>
        </w:rPr>
      </w:pPr>
    </w:p>
    <w:p w:rsidR="00086C7F" w:rsidRDefault="00086C7F">
      <w:pPr>
        <w:pStyle w:val="BodyText"/>
        <w:rPr>
          <w:rFonts w:ascii="Gill Sans MT" w:hAnsi="Gill Sans MT"/>
          <w:b/>
          <w:bCs/>
          <w:u w:val="single"/>
        </w:rPr>
      </w:pPr>
      <w:r>
        <w:rPr>
          <w:rFonts w:ascii="Gill Sans MT" w:hAnsi="Gill Sans MT"/>
          <w:b/>
          <w:bCs/>
          <w:u w:val="single"/>
        </w:rPr>
        <w:t>Considerations:</w:t>
      </w:r>
    </w:p>
    <w:p w:rsidR="00086C7F" w:rsidRDefault="00086C7F" w:rsidP="00E52F52">
      <w:pPr>
        <w:pStyle w:val="BodyText"/>
        <w:numPr>
          <w:ilvl w:val="0"/>
          <w:numId w:val="7"/>
        </w:numPr>
        <w:rPr>
          <w:rFonts w:ascii="Gill Sans MT" w:hAnsi="Gill Sans MT"/>
        </w:rPr>
      </w:pPr>
      <w:r>
        <w:rPr>
          <w:rFonts w:ascii="Gill Sans MT" w:hAnsi="Gill Sans MT"/>
        </w:rPr>
        <w:t xml:space="preserve">There is a basic body health principle that applies to degenerative disk disorder:  whenever the body is out of balance or stressed …… the need for nutrients is always accelerated (usually at least 6 to 7 times greater than simple nutritional maintenance).   </w:t>
      </w:r>
    </w:p>
    <w:p w:rsidR="00086C7F" w:rsidRDefault="00086C7F" w:rsidP="00E52F52">
      <w:pPr>
        <w:pStyle w:val="BodyText"/>
        <w:numPr>
          <w:ilvl w:val="0"/>
          <w:numId w:val="7"/>
        </w:numPr>
        <w:rPr>
          <w:rFonts w:ascii="Gill Sans MT" w:hAnsi="Gill Sans MT"/>
        </w:rPr>
      </w:pPr>
      <w:r>
        <w:rPr>
          <w:rFonts w:ascii="Gill Sans MT" w:hAnsi="Gill Sans MT"/>
        </w:rPr>
        <w:t>Therefore, the patient is ALWAYS wise to provide higher levels of daily nutrients in order to meet the increased requirements.</w:t>
      </w:r>
    </w:p>
    <w:p w:rsidR="00086C7F" w:rsidRDefault="00086C7F" w:rsidP="00E52F52">
      <w:pPr>
        <w:pStyle w:val="BodyText"/>
        <w:numPr>
          <w:ilvl w:val="0"/>
          <w:numId w:val="7"/>
        </w:numPr>
        <w:rPr>
          <w:rFonts w:ascii="Gill Sans MT" w:hAnsi="Gill Sans MT"/>
        </w:rPr>
      </w:pPr>
      <w:r>
        <w:rPr>
          <w:rFonts w:ascii="Gill Sans MT" w:hAnsi="Gill Sans MT"/>
        </w:rPr>
        <w:t>The results vary – anecdotal evidence has shown the following results:</w:t>
      </w:r>
    </w:p>
    <w:p w:rsidR="00086C7F" w:rsidRDefault="00086C7F">
      <w:pPr>
        <w:pStyle w:val="BodyText"/>
        <w:numPr>
          <w:ilvl w:val="0"/>
          <w:numId w:val="5"/>
        </w:numPr>
        <w:rPr>
          <w:rFonts w:ascii="Gill Sans MT" w:hAnsi="Gill Sans MT"/>
        </w:rPr>
      </w:pPr>
      <w:r>
        <w:rPr>
          <w:rFonts w:ascii="Gill Sans MT" w:hAnsi="Gill Sans MT"/>
        </w:rPr>
        <w:t>progression of the degeneration is reduced</w:t>
      </w:r>
    </w:p>
    <w:p w:rsidR="00086C7F" w:rsidRDefault="00086C7F">
      <w:pPr>
        <w:pStyle w:val="BodyText"/>
        <w:numPr>
          <w:ilvl w:val="0"/>
          <w:numId w:val="5"/>
        </w:numPr>
        <w:rPr>
          <w:rFonts w:ascii="Gill Sans MT" w:hAnsi="Gill Sans MT"/>
        </w:rPr>
      </w:pPr>
      <w:r>
        <w:rPr>
          <w:rFonts w:ascii="Gill Sans MT" w:hAnsi="Gill Sans MT"/>
        </w:rPr>
        <w:t>progression of the degeneration is stopped</w:t>
      </w:r>
    </w:p>
    <w:p w:rsidR="00086C7F" w:rsidRDefault="00086C7F">
      <w:pPr>
        <w:pStyle w:val="BodyText"/>
        <w:numPr>
          <w:ilvl w:val="0"/>
          <w:numId w:val="5"/>
        </w:numPr>
        <w:rPr>
          <w:rFonts w:ascii="Gill Sans MT" w:hAnsi="Gill Sans MT"/>
        </w:rPr>
      </w:pPr>
      <w:r>
        <w:rPr>
          <w:rFonts w:ascii="Gill Sans MT" w:hAnsi="Gill Sans MT"/>
        </w:rPr>
        <w:t>some patients have experienced remarkable improvement</w:t>
      </w:r>
    </w:p>
    <w:p w:rsidR="00086C7F" w:rsidRDefault="00086C7F">
      <w:pPr>
        <w:pStyle w:val="BodyText"/>
        <w:rPr>
          <w:rFonts w:ascii="Gill Sans MT" w:hAnsi="Gill Sans MT"/>
        </w:rPr>
      </w:pPr>
    </w:p>
    <w:p w:rsidR="00086C7F" w:rsidRDefault="00086C7F">
      <w:pPr>
        <w:pStyle w:val="BodyText"/>
        <w:rPr>
          <w:rFonts w:ascii="Gill Sans MT" w:hAnsi="Gill Sans MT"/>
          <w:b/>
          <w:bCs/>
          <w:u w:val="single"/>
        </w:rPr>
      </w:pPr>
      <w:r>
        <w:rPr>
          <w:rFonts w:ascii="Gill Sans MT" w:hAnsi="Gill Sans MT"/>
          <w:b/>
          <w:bCs/>
          <w:u w:val="single"/>
        </w:rPr>
        <w:t>Suggestions:</w:t>
      </w:r>
    </w:p>
    <w:p w:rsidR="00086C7F" w:rsidRDefault="00086C7F">
      <w:pPr>
        <w:pStyle w:val="BodyText"/>
        <w:rPr>
          <w:rFonts w:ascii="Gill Sans MT" w:hAnsi="Gill Sans MT"/>
        </w:rPr>
      </w:pPr>
      <w:r>
        <w:rPr>
          <w:rFonts w:ascii="Gill Sans MT" w:hAnsi="Gill Sans MT"/>
        </w:rPr>
        <w:t>The questions are always …. Where do I start?   What do I take?   and    How much do I take?</w:t>
      </w:r>
    </w:p>
    <w:p w:rsidR="00086C7F" w:rsidRDefault="00086C7F">
      <w:pPr>
        <w:pStyle w:val="BodyText"/>
        <w:rPr>
          <w:rFonts w:ascii="Gill Sans MT" w:hAnsi="Gill Sans MT"/>
        </w:rPr>
      </w:pPr>
      <w:r>
        <w:rPr>
          <w:rFonts w:ascii="Gill Sans MT" w:hAnsi="Gill Sans MT"/>
        </w:rPr>
        <w:t xml:space="preserve">Since everyone is totally unique, the answers are not the same for everyone.  However, there are some basic nutritional needs that apply to everyone ….. therefore, it is essential to have a start-up “road map”, which is provided below.  </w:t>
      </w:r>
    </w:p>
    <w:p w:rsidR="00086C7F" w:rsidRDefault="00086C7F">
      <w:pPr>
        <w:pStyle w:val="BodyText"/>
        <w:rPr>
          <w:rFonts w:ascii="Gill Sans MT" w:hAnsi="Gill Sans MT"/>
        </w:rPr>
      </w:pPr>
    </w:p>
    <w:p w:rsidR="00086C7F" w:rsidRDefault="00086C7F">
      <w:pPr>
        <w:pStyle w:val="BodyText"/>
        <w:rPr>
          <w:rFonts w:ascii="Gill Sans MT" w:hAnsi="Gill Sans MT"/>
        </w:rPr>
      </w:pPr>
      <w:r>
        <w:rPr>
          <w:rFonts w:ascii="Gill Sans MT" w:hAnsi="Gill Sans MT"/>
        </w:rPr>
        <w:t>Picture the bloodstream as the smorgasbord table for the cells of the body.  That is where the cells gather their fuel.  If the nutrient needs are greater, the smorgasbord table must be more amply supplied.  In order to meet the increased nutrient needs, the following “roadmap” is provided in a four step program for the average adult sized body (for best results, Step</w:t>
      </w:r>
      <w:r w:rsidR="006F439E">
        <w:rPr>
          <w:rFonts w:ascii="Gill Sans MT" w:hAnsi="Gill Sans MT"/>
        </w:rPr>
        <w:t>s</w:t>
      </w:r>
      <w:r>
        <w:rPr>
          <w:rFonts w:ascii="Gill Sans MT" w:hAnsi="Gill Sans MT"/>
        </w:rPr>
        <w:t xml:space="preserve"> 1 to 3 are recommended as a starter point: </w:t>
      </w:r>
    </w:p>
    <w:p w:rsidR="00086C7F" w:rsidRDefault="00086C7F">
      <w:pPr>
        <w:pStyle w:val="BodyText"/>
        <w:rPr>
          <w:rFonts w:ascii="Gill Sans MT" w:hAnsi="Gill Sans MT"/>
        </w:rPr>
      </w:pPr>
    </w:p>
    <w:p w:rsidR="00086C7F" w:rsidRDefault="00086C7F">
      <w:pPr>
        <w:pStyle w:val="BodyText"/>
        <w:rPr>
          <w:rFonts w:ascii="Gill Sans MT" w:hAnsi="Gill Sans MT"/>
        </w:rPr>
      </w:pPr>
      <w:r>
        <w:rPr>
          <w:rFonts w:ascii="Gill Sans MT" w:hAnsi="Gill Sans MT"/>
        </w:rPr>
        <w:t>Step 1:</w:t>
      </w:r>
      <w:r>
        <w:rPr>
          <w:rFonts w:ascii="Gill Sans MT" w:hAnsi="Gill Sans MT"/>
        </w:rPr>
        <w:tab/>
      </w:r>
      <w:r w:rsidR="006F439E">
        <w:rPr>
          <w:rFonts w:ascii="Gill Sans MT" w:hAnsi="Gill Sans MT"/>
        </w:rPr>
        <w:tab/>
      </w:r>
      <w:r>
        <w:rPr>
          <w:rFonts w:ascii="Gill Sans MT" w:hAnsi="Gill Sans MT"/>
        </w:rPr>
        <w:t>Vita Lea (Multivitamin/mineral) - 2 to 4 daily</w:t>
      </w:r>
    </w:p>
    <w:p w:rsidR="00086C7F" w:rsidRDefault="00086C7F">
      <w:pPr>
        <w:pStyle w:val="BodyText"/>
        <w:rPr>
          <w:rFonts w:ascii="Gill Sans MT" w:hAnsi="Gill Sans MT"/>
        </w:rPr>
      </w:pPr>
      <w:r>
        <w:rPr>
          <w:rFonts w:ascii="Gill Sans MT" w:hAnsi="Gill Sans MT"/>
        </w:rPr>
        <w:tab/>
      </w:r>
      <w:r>
        <w:rPr>
          <w:rFonts w:ascii="Gill Sans MT" w:hAnsi="Gill Sans MT"/>
        </w:rPr>
        <w:tab/>
        <w:t>Vitamin C – 2 to 4 daily</w:t>
      </w:r>
    </w:p>
    <w:p w:rsidR="00086C7F" w:rsidRDefault="00086C7F">
      <w:pPr>
        <w:pStyle w:val="BodyText"/>
        <w:rPr>
          <w:rFonts w:ascii="Gill Sans MT" w:hAnsi="Gill Sans MT"/>
        </w:rPr>
      </w:pPr>
      <w:r>
        <w:rPr>
          <w:rFonts w:ascii="Gill Sans MT" w:hAnsi="Gill Sans MT"/>
        </w:rPr>
        <w:tab/>
      </w:r>
      <w:r>
        <w:rPr>
          <w:rFonts w:ascii="Gill Sans MT" w:hAnsi="Gill Sans MT"/>
        </w:rPr>
        <w:tab/>
        <w:t xml:space="preserve">Alfalfa – 3 to 6 each meal </w:t>
      </w:r>
      <w:r>
        <w:rPr>
          <w:rFonts w:ascii="Gill Sans MT" w:hAnsi="Gill Sans MT"/>
          <w:sz w:val="20"/>
        </w:rPr>
        <w:t>(high potency minerals for healing &amp; anti-inflammatory)</w:t>
      </w:r>
    </w:p>
    <w:p w:rsidR="00086C7F" w:rsidRDefault="00086C7F">
      <w:pPr>
        <w:pStyle w:val="BodyText"/>
        <w:rPr>
          <w:rFonts w:ascii="Gill Sans MT" w:hAnsi="Gill Sans MT"/>
        </w:rPr>
      </w:pPr>
    </w:p>
    <w:p w:rsidR="00086C7F" w:rsidRDefault="00086C7F">
      <w:pPr>
        <w:pStyle w:val="BodyText"/>
        <w:rPr>
          <w:rFonts w:ascii="Gill Sans MT" w:hAnsi="Gill Sans MT"/>
          <w:sz w:val="20"/>
        </w:rPr>
      </w:pPr>
      <w:r>
        <w:rPr>
          <w:rFonts w:ascii="Gill Sans MT" w:hAnsi="Gill Sans MT"/>
        </w:rPr>
        <w:t>Step 2:</w:t>
      </w:r>
      <w:r>
        <w:rPr>
          <w:rFonts w:ascii="Gill Sans MT" w:hAnsi="Gill Sans MT"/>
        </w:rPr>
        <w:tab/>
      </w:r>
      <w:r w:rsidR="006F439E">
        <w:rPr>
          <w:rFonts w:ascii="Gill Sans MT" w:hAnsi="Gill Sans MT"/>
        </w:rPr>
        <w:tab/>
      </w:r>
      <w:r>
        <w:rPr>
          <w:rFonts w:ascii="Gill Sans MT" w:hAnsi="Gill Sans MT"/>
        </w:rPr>
        <w:t xml:space="preserve">Soy Protein – 3 to 6 tablespoons daily </w:t>
      </w:r>
      <w:r>
        <w:rPr>
          <w:rFonts w:ascii="Gill Sans MT" w:hAnsi="Gill Sans MT"/>
          <w:sz w:val="20"/>
        </w:rPr>
        <w:t>(Multiple Essential Amino Acids)</w:t>
      </w:r>
    </w:p>
    <w:p w:rsidR="00086C7F" w:rsidRDefault="00086C7F">
      <w:pPr>
        <w:pStyle w:val="BodyText"/>
        <w:rPr>
          <w:rFonts w:ascii="Gill Sans MT" w:hAnsi="Gill Sans MT"/>
          <w:sz w:val="20"/>
        </w:rPr>
      </w:pPr>
      <w:r>
        <w:rPr>
          <w:rFonts w:ascii="Gill Sans MT" w:hAnsi="Gill Sans MT"/>
        </w:rPr>
        <w:tab/>
      </w:r>
      <w:r>
        <w:rPr>
          <w:rFonts w:ascii="Gill Sans MT" w:hAnsi="Gill Sans MT"/>
        </w:rPr>
        <w:tab/>
        <w:t xml:space="preserve">Joint Health Complex (glucosamine hydrochloride) – 2 to 3 daily </w:t>
      </w:r>
      <w:r>
        <w:rPr>
          <w:rFonts w:ascii="Gill Sans MT" w:hAnsi="Gill Sans MT"/>
          <w:sz w:val="18"/>
        </w:rPr>
        <w:t>(repairs cartilage)</w:t>
      </w:r>
    </w:p>
    <w:p w:rsidR="00086C7F" w:rsidRDefault="00086C7F">
      <w:pPr>
        <w:pStyle w:val="BodyText"/>
        <w:rPr>
          <w:rFonts w:ascii="Gill Sans MT" w:hAnsi="Gill Sans MT"/>
          <w:sz w:val="20"/>
        </w:rPr>
      </w:pPr>
      <w:r>
        <w:rPr>
          <w:rFonts w:ascii="Gill Sans MT" w:hAnsi="Gill Sans MT"/>
        </w:rPr>
        <w:tab/>
      </w:r>
      <w:r>
        <w:rPr>
          <w:rFonts w:ascii="Gill Sans MT" w:hAnsi="Gill Sans MT"/>
        </w:rPr>
        <w:tab/>
        <w:t xml:space="preserve">Optiflora – 1 daily </w:t>
      </w:r>
      <w:r>
        <w:rPr>
          <w:rFonts w:ascii="Gill Sans MT" w:hAnsi="Gill Sans MT"/>
          <w:sz w:val="20"/>
        </w:rPr>
        <w:t>(improves mineral absorption &amp; strengthens immune system)</w:t>
      </w:r>
    </w:p>
    <w:p w:rsidR="00086C7F" w:rsidRDefault="00086C7F">
      <w:pPr>
        <w:pStyle w:val="BodyText"/>
        <w:ind w:left="1440"/>
        <w:rPr>
          <w:rFonts w:ascii="Gill Sans MT" w:hAnsi="Gill Sans MT"/>
          <w:sz w:val="20"/>
        </w:rPr>
      </w:pPr>
      <w:r>
        <w:rPr>
          <w:rFonts w:ascii="Gill Sans MT" w:hAnsi="Gill Sans MT"/>
          <w:sz w:val="24"/>
        </w:rPr>
        <w:t xml:space="preserve">OsteoMatrix (U.S.) / Super Calcium Magnesium (Canada) – 4 daily </w:t>
      </w:r>
      <w:r>
        <w:rPr>
          <w:rFonts w:ascii="Gill Sans MT" w:hAnsi="Gill Sans MT"/>
          <w:sz w:val="20"/>
        </w:rPr>
        <w:t>(essential cellular building minerals)</w:t>
      </w:r>
    </w:p>
    <w:p w:rsidR="00086C7F" w:rsidRDefault="00086C7F">
      <w:pPr>
        <w:pStyle w:val="BodyText"/>
        <w:rPr>
          <w:rFonts w:ascii="Gill Sans MT" w:hAnsi="Gill Sans MT"/>
        </w:rPr>
      </w:pPr>
    </w:p>
    <w:p w:rsidR="00086C7F" w:rsidRDefault="00086C7F">
      <w:pPr>
        <w:pStyle w:val="BodyText"/>
        <w:ind w:left="1440" w:hanging="1440"/>
        <w:rPr>
          <w:rFonts w:ascii="Gill Sans MT" w:hAnsi="Gill Sans MT"/>
          <w:sz w:val="20"/>
        </w:rPr>
      </w:pPr>
      <w:r>
        <w:rPr>
          <w:rFonts w:ascii="Gill Sans MT" w:hAnsi="Gill Sans MT"/>
        </w:rPr>
        <w:t>Step 3:</w:t>
      </w:r>
      <w:r>
        <w:rPr>
          <w:rFonts w:ascii="Gill Sans MT" w:hAnsi="Gill Sans MT"/>
        </w:rPr>
        <w:tab/>
        <w:t xml:space="preserve">OmegaGuard and/or Flaxseed Oil Capsules (Canada) – 2 to 3 daily </w:t>
      </w:r>
      <w:r>
        <w:rPr>
          <w:rFonts w:ascii="Gill Sans MT" w:hAnsi="Gill Sans MT"/>
          <w:sz w:val="20"/>
        </w:rPr>
        <w:t>(nourishes and lubricates joints)</w:t>
      </w:r>
    </w:p>
    <w:p w:rsidR="00086C7F" w:rsidRDefault="00086C7F">
      <w:pPr>
        <w:pStyle w:val="BodyText"/>
        <w:rPr>
          <w:rFonts w:ascii="Gill Sans MT" w:hAnsi="Gill Sans MT"/>
          <w:sz w:val="20"/>
        </w:rPr>
      </w:pPr>
      <w:r>
        <w:rPr>
          <w:rFonts w:ascii="Gill Sans MT" w:hAnsi="Gill Sans MT"/>
        </w:rPr>
        <w:tab/>
      </w:r>
      <w:r>
        <w:rPr>
          <w:rFonts w:ascii="Gill Sans MT" w:hAnsi="Gill Sans MT"/>
        </w:rPr>
        <w:tab/>
        <w:t xml:space="preserve">Vitamin E – 1 daily </w:t>
      </w:r>
      <w:r>
        <w:rPr>
          <w:rFonts w:ascii="Gill Sans MT" w:hAnsi="Gill Sans MT"/>
          <w:sz w:val="20"/>
        </w:rPr>
        <w:t>(antioxidant and healer)</w:t>
      </w:r>
    </w:p>
    <w:p w:rsidR="00086C7F" w:rsidRDefault="00086C7F">
      <w:pPr>
        <w:pStyle w:val="BodyText"/>
        <w:rPr>
          <w:rFonts w:ascii="Gill Sans MT" w:hAnsi="Gill Sans MT"/>
        </w:rPr>
      </w:pPr>
    </w:p>
    <w:p w:rsidR="00086C7F" w:rsidRDefault="00086C7F">
      <w:pPr>
        <w:pStyle w:val="BodyText"/>
        <w:rPr>
          <w:rFonts w:ascii="Gill Sans MT" w:hAnsi="Gill Sans MT"/>
        </w:rPr>
      </w:pPr>
      <w:r>
        <w:rPr>
          <w:rFonts w:ascii="Gill Sans MT" w:hAnsi="Gill Sans MT"/>
        </w:rPr>
        <w:t>Step 4:</w:t>
      </w:r>
      <w:r>
        <w:rPr>
          <w:rFonts w:ascii="Gill Sans MT" w:hAnsi="Gill Sans MT"/>
        </w:rPr>
        <w:tab/>
      </w:r>
      <w:r>
        <w:rPr>
          <w:rFonts w:ascii="Gill Sans MT" w:hAnsi="Gill Sans MT"/>
        </w:rPr>
        <w:tab/>
        <w:t>Other Nutrients, based on personal health appraisal</w:t>
      </w:r>
    </w:p>
    <w:p w:rsidR="00086C7F" w:rsidRDefault="00E52F52">
      <w:pPr>
        <w:pStyle w:val="BodyText"/>
        <w:rPr>
          <w:rFonts w:ascii="Gill Sans MT" w:hAnsi="Gill Sans MT"/>
          <w:b/>
          <w:bCs/>
        </w:rPr>
      </w:pPr>
      <w:r w:rsidRPr="00E52F52">
        <w:rPr>
          <w:rFonts w:ascii="Gill Sans MT" w:hAnsi="Gill Sans MT"/>
          <w:b/>
          <w:bCs/>
          <w:noProof/>
          <w:bdr w:val="single" w:sz="4" w:space="0" w:color="auto"/>
          <w:lang w:eastAsia="zh-TW"/>
        </w:rPr>
        <w:pict>
          <v:shapetype id="_x0000_t202" coordsize="21600,21600" o:spt="202" path="m,l,21600r21600,l21600,xe">
            <v:stroke joinstyle="miter"/>
            <v:path gradientshapeok="t" o:connecttype="rect"/>
          </v:shapetype>
          <v:shape id="_x0000_s1027" type="#_x0000_t202" style="position:absolute;margin-left:1.65pt;margin-top:14.1pt;width:489.75pt;height:23.55pt;z-index:251660288;mso-width-relative:margin;mso-height-relative:margin">
            <v:textbox>
              <w:txbxContent>
                <w:p w:rsidR="00E52F52" w:rsidRPr="00E52F52" w:rsidRDefault="00E52F52" w:rsidP="00E52F52">
                  <w:pPr>
                    <w:jc w:val="center"/>
                    <w:rPr>
                      <w:rFonts w:ascii="Gill Sans MT" w:hAnsi="Gill Sans MT"/>
                      <w:b/>
                    </w:rPr>
                  </w:pPr>
                  <w:r w:rsidRPr="00E52F52">
                    <w:rPr>
                      <w:rFonts w:ascii="Gill Sans MT" w:hAnsi="Gill Sans MT"/>
                      <w:b/>
                    </w:rPr>
                    <w:t>Health is like “Life Insurance” … each person has to decide how much to invest in it</w:t>
                  </w:r>
                </w:p>
              </w:txbxContent>
            </v:textbox>
          </v:shape>
        </w:pict>
      </w:r>
    </w:p>
    <w:sectPr w:rsidR="00086C7F">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EAB"/>
    <w:multiLevelType w:val="hybridMultilevel"/>
    <w:tmpl w:val="9C201C22"/>
    <w:lvl w:ilvl="0" w:tplc="08B8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87DEF"/>
    <w:multiLevelType w:val="hybridMultilevel"/>
    <w:tmpl w:val="43D842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11CA1524"/>
    <w:multiLevelType w:val="hybridMultilevel"/>
    <w:tmpl w:val="52FC0E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4104666D"/>
    <w:multiLevelType w:val="hybridMultilevel"/>
    <w:tmpl w:val="D0D659D0"/>
    <w:lvl w:ilvl="0" w:tplc="08B8ECB2">
      <w:numFmt w:val="bullet"/>
      <w:lvlText w:val="–"/>
      <w:lvlJc w:val="left"/>
      <w:pPr>
        <w:tabs>
          <w:tab w:val="num" w:pos="720"/>
        </w:tabs>
        <w:ind w:left="720" w:hanging="360"/>
      </w:pPr>
      <w:rPr>
        <w:rFonts w:ascii="Times New Roman" w:eastAsia="Times New Roman" w:hAnsi="Times New Roman" w:cs="Times New Roman" w:hint="default"/>
      </w:rPr>
    </w:lvl>
    <w:lvl w:ilvl="1" w:tplc="E074594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6C5B00"/>
    <w:multiLevelType w:val="hybridMultilevel"/>
    <w:tmpl w:val="9C201C2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394D52"/>
    <w:multiLevelType w:val="hybridMultilevel"/>
    <w:tmpl w:val="EA8CB5E6"/>
    <w:lvl w:ilvl="0" w:tplc="08B8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6F421A"/>
    <w:multiLevelType w:val="hybridMultilevel"/>
    <w:tmpl w:val="40AEDDB4"/>
    <w:lvl w:ilvl="0" w:tplc="08B8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6F439E"/>
    <w:rsid w:val="00086C7F"/>
    <w:rsid w:val="006F439E"/>
    <w:rsid w:val="00E52F5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odyText">
    <w:name w:val="Body Text"/>
    <w:basedOn w:val="Normal"/>
    <w:semiHidden/>
    <w:rPr>
      <w:sz w:val="22"/>
    </w:rPr>
  </w:style>
  <w:style w:type="paragraph" w:styleId="BalloonText">
    <w:name w:val="Balloon Text"/>
    <w:basedOn w:val="Normal"/>
    <w:link w:val="BalloonTextChar"/>
    <w:uiPriority w:val="99"/>
    <w:semiHidden/>
    <w:unhideWhenUsed/>
    <w:rsid w:val="00E52F52"/>
    <w:rPr>
      <w:rFonts w:ascii="Tahoma" w:hAnsi="Tahoma" w:cs="Tahoma"/>
      <w:sz w:val="16"/>
      <w:szCs w:val="16"/>
    </w:rPr>
  </w:style>
  <w:style w:type="character" w:customStyle="1" w:styleId="BalloonTextChar">
    <w:name w:val="Balloon Text Char"/>
    <w:basedOn w:val="DefaultParagraphFont"/>
    <w:link w:val="BalloonText"/>
    <w:uiPriority w:val="99"/>
    <w:semiHidden/>
    <w:rsid w:val="00E52F5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Degenerative Disk Disorders</vt:lpstr>
    </vt:vector>
  </TitlesOfParts>
  <Company>I.M. Associates</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Degenerative Disk Disorders</dc:title>
  <dc:creator>Ivan &amp; Martha Willmore</dc:creator>
  <cp:lastModifiedBy>Ivan</cp:lastModifiedBy>
  <cp:revision>2</cp:revision>
  <cp:lastPrinted>2003-05-22T23:25:00Z</cp:lastPrinted>
  <dcterms:created xsi:type="dcterms:W3CDTF">2013-05-21T14:25:00Z</dcterms:created>
  <dcterms:modified xsi:type="dcterms:W3CDTF">2013-05-21T14:25:00Z</dcterms:modified>
</cp:coreProperties>
</file>