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B58" w:rsidRDefault="003A7B58" w:rsidP="003A7B58">
      <w:pPr>
        <w:rPr>
          <w:rFonts w:ascii="Arial" w:hAnsi="Arial" w:cs="Arial"/>
          <w:b/>
          <w:color w:val="1F497D" w:themeColor="text2"/>
          <w:sz w:val="36"/>
        </w:rPr>
      </w:pPr>
      <w:r>
        <w:rPr>
          <w:rFonts w:ascii="Arial" w:hAnsi="Arial" w:cs="Arial"/>
          <w:b/>
          <w:noProof/>
          <w:color w:val="1F497D" w:themeColor="text2"/>
          <w:sz w:val="28"/>
          <w:szCs w:val="28"/>
          <w:lang w:eastAsia="en-GB"/>
        </w:rPr>
        <mc:AlternateContent>
          <mc:Choice Requires="wps">
            <w:drawing>
              <wp:anchor distT="0" distB="0" distL="114300" distR="114300" simplePos="0" relativeHeight="251659264" behindDoc="0" locked="0" layoutInCell="1" allowOverlap="1" wp14:anchorId="439A1839" wp14:editId="09A01369">
                <wp:simplePos x="0" y="0"/>
                <wp:positionH relativeFrom="column">
                  <wp:posOffset>-1257935</wp:posOffset>
                </wp:positionH>
                <wp:positionV relativeFrom="paragraph">
                  <wp:posOffset>-979747</wp:posOffset>
                </wp:positionV>
                <wp:extent cx="8925560" cy="962025"/>
                <wp:effectExtent l="0" t="0" r="2794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25560" cy="962025"/>
                        </a:xfrm>
                        <a:prstGeom prst="rect">
                          <a:avLst/>
                        </a:prstGeom>
                        <a:solidFill>
                          <a:sysClr val="window" lastClr="FFFFFF"/>
                        </a:solidFill>
                        <a:ln w="6350">
                          <a:solidFill>
                            <a:prstClr val="black"/>
                          </a:solidFill>
                        </a:ln>
                        <a:effectLst/>
                      </wps:spPr>
                      <wps:txbx>
                        <w:txbxContent>
                          <w:p w:rsidR="003A7B58" w:rsidRPr="00A85BEA" w:rsidRDefault="003A7B58" w:rsidP="003A7B58">
                            <w:pPr>
                              <w:shd w:val="clear" w:color="auto" w:fill="4F81BD"/>
                              <w:jc w:val="center"/>
                              <w:rPr>
                                <w:rFonts w:ascii="Arial" w:hAnsi="Arial" w:cs="Arial"/>
                                <w:b/>
                                <w:color w:val="FFFFFF"/>
                              </w:rPr>
                            </w:pPr>
                          </w:p>
                          <w:p w:rsidR="003A7B58" w:rsidRPr="00A85BEA" w:rsidRDefault="003A7B58" w:rsidP="003A7B58">
                            <w:pPr>
                              <w:shd w:val="clear" w:color="auto" w:fill="4F81BD"/>
                              <w:jc w:val="center"/>
                              <w:rPr>
                                <w:rFonts w:ascii="Arial" w:hAnsi="Arial" w:cs="Arial"/>
                                <w:b/>
                                <w:color w:val="FFFFFF"/>
                              </w:rPr>
                            </w:pPr>
                            <w:r w:rsidRPr="00A85BEA">
                              <w:rPr>
                                <w:rFonts w:ascii="Arial" w:hAnsi="Arial" w:cs="Arial"/>
                                <w:b/>
                                <w:color w:val="FFFFFF"/>
                              </w:rPr>
                              <w:t>WWW.Strategic-Social-Marketing.Org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9.05pt;margin-top:-77.15pt;width:702.8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" fillcolor="window" strokeweight=".5pt">
                <v:path arrowok="t"/>
                <v:textbox>
                  <w:txbxContent>
                    <w:p w:rsidR="003A7B58" w:rsidRPr="00A85BEA" w:rsidRDefault="003A7B58" w:rsidP="003A7B58">
                      <w:pPr>
                        <w:shd w:val="clear" w:color="auto" w:fill="4F81BD"/>
                        <w:jc w:val="center"/>
                        <w:rPr>
                          <w:rFonts w:ascii="Arial" w:hAnsi="Arial" w:cs="Arial"/>
                          <w:b/>
                          <w:color w:val="FFFFFF"/>
                        </w:rPr>
                      </w:pPr>
                    </w:p>
                    <w:p w:rsidR="003A7B58" w:rsidRPr="00A85BEA" w:rsidRDefault="003A7B58" w:rsidP="003A7B58">
                      <w:pPr>
                        <w:shd w:val="clear" w:color="auto" w:fill="4F81BD"/>
                        <w:jc w:val="center"/>
                        <w:rPr>
                          <w:rFonts w:ascii="Arial" w:hAnsi="Arial" w:cs="Arial"/>
                          <w:b/>
                          <w:color w:val="FFFFFF"/>
                        </w:rPr>
                      </w:pPr>
                      <w:r w:rsidRPr="00A85BEA">
                        <w:rPr>
                          <w:rFonts w:ascii="Arial" w:hAnsi="Arial" w:cs="Arial"/>
                          <w:b/>
                          <w:color w:val="FFFFFF"/>
                        </w:rPr>
                        <w:t>WWW.Strategic-Social-Marketing.Org</w:t>
                      </w:r>
                    </w:p>
                  </w:txbxContent>
                </v:textbox>
              </v:shape>
            </w:pict>
          </mc:Fallback>
        </mc:AlternateContent>
      </w:r>
    </w:p>
    <w:p w:rsidR="003A7B58" w:rsidRPr="003A7B58" w:rsidRDefault="003A7B58" w:rsidP="003A7B58">
      <w:pPr>
        <w:rPr>
          <w:rFonts w:ascii="Arial" w:hAnsi="Arial" w:cs="Arial"/>
          <w:b/>
          <w:color w:val="4F81BD" w:themeColor="accent1"/>
          <w:sz w:val="36"/>
        </w:rPr>
      </w:pPr>
      <w:r>
        <w:rPr>
          <w:rFonts w:ascii="Arial" w:hAnsi="Arial" w:cs="Arial"/>
          <w:b/>
          <w:color w:val="4F81BD" w:themeColor="accent1"/>
          <w:sz w:val="36"/>
        </w:rPr>
        <w:t>Checklist: When to use mass and digital</w:t>
      </w:r>
      <w:bookmarkStart w:id="0" w:name="_GoBack"/>
      <w:bookmarkEnd w:id="0"/>
      <w:r w:rsidRPr="003A7B58">
        <w:rPr>
          <w:rFonts w:ascii="Arial" w:hAnsi="Arial" w:cs="Arial"/>
          <w:b/>
          <w:color w:val="4F81BD" w:themeColor="accent1"/>
          <w:sz w:val="36"/>
        </w:rPr>
        <w:t xml:space="preserve"> media</w:t>
      </w:r>
    </w:p>
    <w:p w:rsidR="003A7B58" w:rsidRPr="00414BA3" w:rsidRDefault="003A7B58" w:rsidP="003A7B58">
      <w:pPr>
        <w:jc w:val="both"/>
        <w:rPr>
          <w:rFonts w:ascii="Arial" w:hAnsi="Arial" w:cs="Arial"/>
        </w:rPr>
      </w:pPr>
      <w:r w:rsidRPr="00414BA3">
        <w:rPr>
          <w:rFonts w:ascii="Arial" w:hAnsi="Arial" w:cs="Arial"/>
        </w:rPr>
        <w:t>Some of the situations in which media have been found to be most appropriate are:</w:t>
      </w:r>
    </w:p>
    <w:p w:rsidR="003A7B58" w:rsidRPr="00414BA3" w:rsidRDefault="003A7B58" w:rsidP="003A7B58">
      <w:pPr>
        <w:numPr>
          <w:ilvl w:val="0"/>
          <w:numId w:val="1"/>
        </w:numPr>
        <w:spacing w:after="0" w:line="240" w:lineRule="auto"/>
        <w:jc w:val="both"/>
        <w:rPr>
          <w:rFonts w:ascii="Arial" w:hAnsi="Arial" w:cs="Arial"/>
        </w:rPr>
      </w:pPr>
      <w:r w:rsidRPr="003A7B58">
        <w:rPr>
          <w:rFonts w:ascii="Arial" w:hAnsi="Arial" w:cs="Arial"/>
          <w:i/>
          <w:color w:val="4F81BD" w:themeColor="accent1"/>
        </w:rPr>
        <w:t>When wide exposure is desired</w:t>
      </w:r>
      <w:r>
        <w:rPr>
          <w:rFonts w:ascii="Arial" w:hAnsi="Arial" w:cs="Arial"/>
          <w:i/>
        </w:rPr>
        <w:t>.</w:t>
      </w:r>
      <w:r w:rsidRPr="00414BA3">
        <w:rPr>
          <w:rFonts w:ascii="Arial" w:hAnsi="Arial" w:cs="Arial"/>
          <w:i/>
        </w:rPr>
        <w:t xml:space="preserve"> </w:t>
      </w:r>
      <w:r w:rsidRPr="00414BA3">
        <w:rPr>
          <w:rFonts w:ascii="Arial" w:hAnsi="Arial" w:cs="Arial"/>
        </w:rPr>
        <w:t>Mass media and digital offer the widest possible exposure</w:t>
      </w:r>
      <w:r>
        <w:rPr>
          <w:rFonts w:ascii="Arial" w:hAnsi="Arial" w:cs="Arial"/>
        </w:rPr>
        <w:t xml:space="preserve">. </w:t>
      </w:r>
      <w:r w:rsidRPr="00414BA3">
        <w:rPr>
          <w:rFonts w:ascii="Arial" w:hAnsi="Arial" w:cs="Arial"/>
        </w:rPr>
        <w:t>Cost-benefit considerations need to be considered when selecting channels.</w:t>
      </w:r>
    </w:p>
    <w:p w:rsidR="003A7B58" w:rsidRPr="00414BA3" w:rsidRDefault="003A7B58" w:rsidP="003A7B58">
      <w:pPr>
        <w:ind w:left="720"/>
        <w:jc w:val="both"/>
        <w:rPr>
          <w:rFonts w:ascii="Arial" w:hAnsi="Arial" w:cs="Arial"/>
        </w:rPr>
      </w:pPr>
    </w:p>
    <w:p w:rsidR="003A7B58" w:rsidRPr="00414BA3" w:rsidRDefault="003A7B58" w:rsidP="003A7B58">
      <w:pPr>
        <w:numPr>
          <w:ilvl w:val="0"/>
          <w:numId w:val="1"/>
        </w:numPr>
        <w:spacing w:after="0" w:line="240" w:lineRule="auto"/>
        <w:jc w:val="both"/>
        <w:rPr>
          <w:rFonts w:ascii="Arial" w:hAnsi="Arial" w:cs="Arial"/>
        </w:rPr>
      </w:pPr>
      <w:r w:rsidRPr="003A7B58">
        <w:rPr>
          <w:rFonts w:ascii="Arial" w:hAnsi="Arial" w:cs="Arial"/>
          <w:i/>
          <w:color w:val="4F81BD" w:themeColor="accent1"/>
        </w:rPr>
        <w:t>When the time frame is urgent</w:t>
      </w:r>
      <w:r w:rsidRPr="00414BA3">
        <w:rPr>
          <w:rFonts w:ascii="Arial" w:hAnsi="Arial" w:cs="Arial"/>
          <w:i/>
        </w:rPr>
        <w:t>.</w:t>
      </w:r>
      <w:r w:rsidRPr="00414BA3">
        <w:rPr>
          <w:rFonts w:ascii="Arial" w:hAnsi="Arial" w:cs="Arial"/>
        </w:rPr>
        <w:t xml:space="preserve">  Mass and digital media offer the best opportunity for reaching either large numbers of people or specific target groups within a short time frame.</w:t>
      </w:r>
    </w:p>
    <w:p w:rsidR="003A7B58" w:rsidRPr="00414BA3" w:rsidRDefault="003A7B58" w:rsidP="003A7B58">
      <w:pPr>
        <w:jc w:val="both"/>
        <w:rPr>
          <w:rFonts w:ascii="Arial" w:hAnsi="Arial" w:cs="Arial"/>
        </w:rPr>
      </w:pPr>
    </w:p>
    <w:p w:rsidR="003A7B58" w:rsidRPr="00414BA3" w:rsidRDefault="003A7B58" w:rsidP="003A7B58">
      <w:pPr>
        <w:numPr>
          <w:ilvl w:val="0"/>
          <w:numId w:val="1"/>
        </w:numPr>
        <w:spacing w:after="0" w:line="240" w:lineRule="auto"/>
        <w:jc w:val="both"/>
        <w:rPr>
          <w:rFonts w:ascii="Arial" w:hAnsi="Arial" w:cs="Arial"/>
        </w:rPr>
      </w:pPr>
      <w:r w:rsidRPr="003A7B58">
        <w:rPr>
          <w:rFonts w:ascii="Arial" w:hAnsi="Arial" w:cs="Arial"/>
          <w:i/>
          <w:color w:val="4F81BD" w:themeColor="accent1"/>
        </w:rPr>
        <w:t>When public discussion is likely to facilitate the educational process</w:t>
      </w:r>
      <w:r w:rsidRPr="00414BA3">
        <w:rPr>
          <w:rFonts w:ascii="Arial" w:hAnsi="Arial" w:cs="Arial"/>
          <w:i/>
        </w:rPr>
        <w:t>.</w:t>
      </w:r>
      <w:r w:rsidRPr="00414BA3">
        <w:rPr>
          <w:rFonts w:ascii="Arial" w:hAnsi="Arial" w:cs="Arial"/>
        </w:rPr>
        <w:t xml:space="preserve"> Media messages can be emotional and thought provoking.  Because of the possible breadth of coverage, intrusion can occur at many different levels, stimulating discussion and thereby expanding the impact of a message. However</w:t>
      </w:r>
      <w:r>
        <w:rPr>
          <w:rFonts w:ascii="Arial" w:hAnsi="Arial" w:cs="Arial"/>
        </w:rPr>
        <w:t>,</w:t>
      </w:r>
      <w:r w:rsidRPr="00414BA3">
        <w:rPr>
          <w:rFonts w:ascii="Arial" w:hAnsi="Arial" w:cs="Arial"/>
        </w:rPr>
        <w:t xml:space="preserve"> planning needs to be put in place to address counter</w:t>
      </w:r>
      <w:r>
        <w:rPr>
          <w:rFonts w:ascii="Arial" w:hAnsi="Arial" w:cs="Arial"/>
        </w:rPr>
        <w:t xml:space="preserve"> arguments an</w:t>
      </w:r>
      <w:r w:rsidRPr="00414BA3">
        <w:rPr>
          <w:rFonts w:ascii="Arial" w:hAnsi="Arial" w:cs="Arial"/>
        </w:rPr>
        <w:t>d</w:t>
      </w:r>
      <w:r>
        <w:rPr>
          <w:rFonts w:ascii="Arial" w:hAnsi="Arial" w:cs="Arial"/>
        </w:rPr>
        <w:t xml:space="preserve"> view</w:t>
      </w:r>
      <w:r w:rsidRPr="00414BA3">
        <w:rPr>
          <w:rFonts w:ascii="Arial" w:hAnsi="Arial" w:cs="Arial"/>
        </w:rPr>
        <w:t>s</w:t>
      </w:r>
      <w:r>
        <w:rPr>
          <w:rFonts w:ascii="Arial" w:hAnsi="Arial" w:cs="Arial"/>
        </w:rPr>
        <w:t xml:space="preserve"> </w:t>
      </w:r>
      <w:r w:rsidRPr="00414BA3">
        <w:rPr>
          <w:rFonts w:ascii="Arial" w:hAnsi="Arial" w:cs="Arial"/>
        </w:rPr>
        <w:t xml:space="preserve">that may arise as part of this process. </w:t>
      </w:r>
    </w:p>
    <w:p w:rsidR="003A7B58" w:rsidRPr="00414BA3" w:rsidRDefault="003A7B58" w:rsidP="003A7B58">
      <w:pPr>
        <w:jc w:val="both"/>
        <w:rPr>
          <w:rFonts w:ascii="Arial" w:hAnsi="Arial" w:cs="Arial"/>
        </w:rPr>
      </w:pPr>
    </w:p>
    <w:p w:rsidR="003A7B58" w:rsidRPr="00414BA3" w:rsidRDefault="003A7B58" w:rsidP="003A7B58">
      <w:pPr>
        <w:numPr>
          <w:ilvl w:val="0"/>
          <w:numId w:val="1"/>
        </w:numPr>
        <w:spacing w:after="0" w:line="240" w:lineRule="auto"/>
        <w:jc w:val="both"/>
        <w:rPr>
          <w:rFonts w:ascii="Arial" w:hAnsi="Arial" w:cs="Arial"/>
        </w:rPr>
      </w:pPr>
      <w:r w:rsidRPr="003A7B58">
        <w:rPr>
          <w:rFonts w:ascii="Arial" w:hAnsi="Arial" w:cs="Arial"/>
          <w:i/>
          <w:color w:val="4F81BD" w:themeColor="accent1"/>
        </w:rPr>
        <w:t>When awareness and attitude change are main goals</w:t>
      </w:r>
      <w:r w:rsidRPr="00414BA3">
        <w:rPr>
          <w:rFonts w:ascii="Arial" w:hAnsi="Arial" w:cs="Arial"/>
          <w:i/>
        </w:rPr>
        <w:t>.</w:t>
      </w:r>
      <w:r w:rsidRPr="00414BA3">
        <w:rPr>
          <w:rFonts w:ascii="Arial" w:hAnsi="Arial" w:cs="Arial"/>
        </w:rPr>
        <w:t xml:space="preserve">  All forms of media are awareness- creating tools.  Where awareness of a health issue is important to the resolution of that issue, mass and digital media can increase awareness quickly and effectively.</w:t>
      </w:r>
    </w:p>
    <w:p w:rsidR="003A7B58" w:rsidRPr="00414BA3" w:rsidRDefault="003A7B58" w:rsidP="003A7B58">
      <w:pPr>
        <w:jc w:val="both"/>
        <w:rPr>
          <w:rFonts w:ascii="Arial" w:hAnsi="Arial" w:cs="Arial"/>
        </w:rPr>
      </w:pPr>
    </w:p>
    <w:p w:rsidR="003A7B58" w:rsidRPr="00414BA3" w:rsidRDefault="003A7B58" w:rsidP="003A7B58">
      <w:pPr>
        <w:numPr>
          <w:ilvl w:val="0"/>
          <w:numId w:val="1"/>
        </w:numPr>
        <w:spacing w:after="0" w:line="240" w:lineRule="auto"/>
        <w:jc w:val="both"/>
        <w:rPr>
          <w:rFonts w:ascii="Arial" w:hAnsi="Arial" w:cs="Arial"/>
        </w:rPr>
      </w:pPr>
      <w:r w:rsidRPr="00414BA3">
        <w:rPr>
          <w:rFonts w:ascii="Arial" w:hAnsi="Arial" w:cs="Arial"/>
          <w:i/>
        </w:rPr>
        <w:t>When the mass media sector is ‘on-</w:t>
      </w:r>
      <w:r w:rsidRPr="00414BA3">
        <w:rPr>
          <w:rFonts w:ascii="Arial" w:hAnsi="Arial" w:cs="Arial"/>
        </w:rPr>
        <w:t>side’.  Where journalists, editors and programmers are supportive and well briefed and open access has been established to on-going</w:t>
      </w:r>
      <w:r>
        <w:rPr>
          <w:rFonts w:ascii="Arial" w:hAnsi="Arial" w:cs="Arial"/>
        </w:rPr>
        <w:t xml:space="preserve"> expert briefing fro</w:t>
      </w:r>
      <w:r w:rsidRPr="00414BA3">
        <w:rPr>
          <w:rFonts w:ascii="Arial" w:hAnsi="Arial" w:cs="Arial"/>
        </w:rPr>
        <w:t>m public health authorities</w:t>
      </w:r>
    </w:p>
    <w:p w:rsidR="003A7B58" w:rsidRPr="00414BA3" w:rsidRDefault="003A7B58" w:rsidP="003A7B58">
      <w:pPr>
        <w:pStyle w:val="ListParagraph"/>
        <w:rPr>
          <w:rFonts w:ascii="Arial" w:hAnsi="Arial" w:cs="Arial"/>
        </w:rPr>
      </w:pPr>
    </w:p>
    <w:p w:rsidR="003A7B58" w:rsidRPr="003A7B58" w:rsidRDefault="003A7B58" w:rsidP="003A7B58">
      <w:pPr>
        <w:spacing w:after="0" w:line="240" w:lineRule="auto"/>
        <w:ind w:left="720"/>
        <w:jc w:val="both"/>
        <w:rPr>
          <w:rFonts w:ascii="Arial" w:hAnsi="Arial" w:cs="Arial"/>
          <w:i/>
          <w:color w:val="4F81BD" w:themeColor="accent1"/>
        </w:rPr>
      </w:pPr>
    </w:p>
    <w:p w:rsidR="003A7B58" w:rsidRPr="00414BA3" w:rsidRDefault="003A7B58" w:rsidP="003A7B58">
      <w:pPr>
        <w:numPr>
          <w:ilvl w:val="0"/>
          <w:numId w:val="1"/>
        </w:numPr>
        <w:spacing w:after="0" w:line="240" w:lineRule="auto"/>
        <w:jc w:val="both"/>
        <w:rPr>
          <w:rFonts w:ascii="Arial" w:hAnsi="Arial" w:cs="Arial"/>
        </w:rPr>
      </w:pPr>
      <w:r w:rsidRPr="003A7B58">
        <w:rPr>
          <w:rFonts w:ascii="Arial" w:hAnsi="Arial" w:cs="Arial"/>
          <w:i/>
          <w:color w:val="4F81BD" w:themeColor="accent1"/>
        </w:rPr>
        <w:t>When accompanying on-the-ground back-up can be provided.</w:t>
      </w:r>
      <w:r w:rsidRPr="003A7B58">
        <w:rPr>
          <w:rFonts w:ascii="Arial" w:hAnsi="Arial" w:cs="Arial"/>
          <w:color w:val="4F81BD" w:themeColor="accent1"/>
        </w:rPr>
        <w:t xml:space="preserve">  </w:t>
      </w:r>
      <w:r w:rsidRPr="00414BA3">
        <w:rPr>
          <w:rFonts w:ascii="Arial" w:hAnsi="Arial" w:cs="Arial"/>
        </w:rPr>
        <w:t>Regardless of whether media alone may be sufficient to influence health behaviour. Impacts will be more pronounced with the support of back-up community based program</w:t>
      </w:r>
      <w:r>
        <w:rPr>
          <w:rFonts w:ascii="Arial" w:hAnsi="Arial" w:cs="Arial"/>
        </w:rPr>
        <w:t>me</w:t>
      </w:r>
      <w:r w:rsidRPr="00414BA3">
        <w:rPr>
          <w:rFonts w:ascii="Arial" w:hAnsi="Arial" w:cs="Arial"/>
        </w:rPr>
        <w:t>s and services. Most health behaviour changes require constant reinforcement.  Media program</w:t>
      </w:r>
      <w:r>
        <w:rPr>
          <w:rFonts w:ascii="Arial" w:hAnsi="Arial" w:cs="Arial"/>
        </w:rPr>
        <w:t>me</w:t>
      </w:r>
      <w:r w:rsidRPr="00414BA3">
        <w:rPr>
          <w:rFonts w:ascii="Arial" w:hAnsi="Arial" w:cs="Arial"/>
        </w:rPr>
        <w:t>s are most effective where the opportunity exists for long-term follow up.  This can take the form of short bursts of media activity over an extended period, and or follow up activities related to media intervention.</w:t>
      </w:r>
    </w:p>
    <w:p w:rsidR="003A7B58" w:rsidRPr="00414BA3" w:rsidRDefault="003A7B58" w:rsidP="003A7B58">
      <w:pPr>
        <w:jc w:val="both"/>
        <w:rPr>
          <w:rFonts w:ascii="Arial" w:hAnsi="Arial" w:cs="Arial"/>
        </w:rPr>
      </w:pPr>
    </w:p>
    <w:p w:rsidR="003A7B58" w:rsidRPr="00414BA3" w:rsidRDefault="003A7B58" w:rsidP="003A7B58">
      <w:pPr>
        <w:numPr>
          <w:ilvl w:val="0"/>
          <w:numId w:val="1"/>
        </w:numPr>
        <w:spacing w:after="0" w:line="240" w:lineRule="auto"/>
        <w:jc w:val="both"/>
        <w:rPr>
          <w:rFonts w:ascii="Arial" w:hAnsi="Arial" w:cs="Arial"/>
        </w:rPr>
      </w:pPr>
      <w:r w:rsidRPr="003A7B58">
        <w:rPr>
          <w:rFonts w:ascii="Arial" w:hAnsi="Arial" w:cs="Arial"/>
          <w:i/>
          <w:color w:val="4F81BD" w:themeColor="accent1"/>
        </w:rPr>
        <w:t>When a sufficient budget exists</w:t>
      </w:r>
      <w:r w:rsidRPr="00414BA3">
        <w:rPr>
          <w:rFonts w:ascii="Arial" w:hAnsi="Arial" w:cs="Arial"/>
          <w:i/>
        </w:rPr>
        <w:t>.</w:t>
      </w:r>
      <w:r w:rsidRPr="00414BA3">
        <w:rPr>
          <w:rFonts w:ascii="Arial" w:hAnsi="Arial" w:cs="Arial"/>
        </w:rPr>
        <w:t xml:space="preserve">  Paid advertising, especially via television, can be very expensive, and the development and maintenance of bespoke interactive digital services also require substantial funds.  Even limited reach media such as pamphlets and posters can be expensive, depending </w:t>
      </w:r>
      <w:r>
        <w:rPr>
          <w:rFonts w:ascii="Arial" w:hAnsi="Arial" w:cs="Arial"/>
        </w:rPr>
        <w:t xml:space="preserve">on </w:t>
      </w:r>
      <w:r w:rsidRPr="00414BA3">
        <w:rPr>
          <w:rFonts w:ascii="Arial" w:hAnsi="Arial" w:cs="Arial"/>
        </w:rPr>
        <w:t xml:space="preserve">quality and quantity and the population penetration required.  </w:t>
      </w:r>
    </w:p>
    <w:p w:rsidR="003A7B58" w:rsidRPr="00414BA3" w:rsidRDefault="003A7B58" w:rsidP="003A7B58">
      <w:pPr>
        <w:jc w:val="both"/>
        <w:rPr>
          <w:rFonts w:ascii="Arial" w:hAnsi="Arial" w:cs="Arial"/>
        </w:rPr>
      </w:pPr>
    </w:p>
    <w:p w:rsidR="003A7B58" w:rsidRPr="00414BA3" w:rsidRDefault="003A7B58" w:rsidP="003A7B58">
      <w:pPr>
        <w:numPr>
          <w:ilvl w:val="0"/>
          <w:numId w:val="1"/>
        </w:numPr>
        <w:spacing w:after="0" w:line="240" w:lineRule="auto"/>
        <w:jc w:val="both"/>
        <w:rPr>
          <w:rFonts w:ascii="Arial" w:hAnsi="Arial" w:cs="Arial"/>
        </w:rPr>
      </w:pPr>
      <w:r w:rsidRPr="003A7B58">
        <w:rPr>
          <w:rFonts w:ascii="Arial" w:hAnsi="Arial" w:cs="Arial"/>
          <w:i/>
          <w:color w:val="4F81BD" w:themeColor="accent1"/>
        </w:rPr>
        <w:t>When the communication goal is simple</w:t>
      </w:r>
      <w:r w:rsidRPr="00414BA3">
        <w:rPr>
          <w:rFonts w:ascii="Arial" w:hAnsi="Arial" w:cs="Arial"/>
          <w:i/>
        </w:rPr>
        <w:t>.</w:t>
      </w:r>
      <w:r w:rsidRPr="00414BA3">
        <w:rPr>
          <w:rFonts w:ascii="Arial" w:hAnsi="Arial" w:cs="Arial"/>
        </w:rPr>
        <w:t xml:space="preserve">  In general, the more complex the targeted change, the more back</w:t>
      </w:r>
      <w:r>
        <w:rPr>
          <w:rFonts w:ascii="Arial" w:hAnsi="Arial" w:cs="Arial"/>
        </w:rPr>
        <w:t xml:space="preserve"> up is required to supplement</w:t>
      </w:r>
      <w:r w:rsidRPr="00414BA3">
        <w:rPr>
          <w:rFonts w:ascii="Arial" w:hAnsi="Arial" w:cs="Arial"/>
        </w:rPr>
        <w:t xml:space="preserve"> informational health programmes.</w:t>
      </w:r>
    </w:p>
    <w:p w:rsidR="008476D1" w:rsidRDefault="008476D1"/>
    <w:sectPr w:rsidR="008476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402CFE"/>
    <w:multiLevelType w:val="hybridMultilevel"/>
    <w:tmpl w:val="96129FC4"/>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B58"/>
    <w:rsid w:val="003A7B58"/>
    <w:rsid w:val="00847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B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A7B58"/>
    <w:pPr>
      <w:spacing w:after="0" w:line="240" w:lineRule="auto"/>
      <w:ind w:left="720"/>
    </w:pPr>
    <w:rPr>
      <w:rFonts w:ascii="Calibri" w:hAnsi="Calibri" w:cs="Calibri"/>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B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A7B58"/>
    <w:pPr>
      <w:spacing w:after="0" w:line="240" w:lineRule="auto"/>
      <w:ind w:left="720"/>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FRENCH</dc:creator>
  <cp:lastModifiedBy>JEFF FRENCH</cp:lastModifiedBy>
  <cp:revision>1</cp:revision>
  <dcterms:created xsi:type="dcterms:W3CDTF">2012-11-23T08:41:00Z</dcterms:created>
  <dcterms:modified xsi:type="dcterms:W3CDTF">2012-11-23T08:43:00Z</dcterms:modified>
</cp:coreProperties>
</file>