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B5" w:rsidRPr="007D6FB5" w:rsidRDefault="007D6FB5">
      <w:pPr>
        <w:rPr>
          <w:sz w:val="40"/>
          <w:szCs w:val="40"/>
        </w:rPr>
      </w:pPr>
      <w:r w:rsidRPr="007D6FB5">
        <w:rPr>
          <w:sz w:val="40"/>
          <w:szCs w:val="40"/>
        </w:rPr>
        <w:t>GLI SCONTI FISCALI SARANNO LEGATI ALLA NUOVA ISEE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D6FB5" w:rsidTr="007D6FB5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Bold" w:hAnsi="Formata-Bold" w:cs="Formata-Bold"/>
                <w:b/>
                <w:bCs/>
                <w:sz w:val="75"/>
                <w:szCs w:val="75"/>
              </w:rPr>
              <w:t xml:space="preserve">E’ </w:t>
            </w:r>
            <w:r>
              <w:rPr>
                <w:rFonts w:ascii="Formata-Regular" w:hAnsi="Formata-Regular" w:cs="Formata-Regular"/>
                <w:sz w:val="20"/>
                <w:szCs w:val="20"/>
              </w:rPr>
              <w:t>prevista la revisione delle modalità di calcolo e dei campi di applicazione dell’ISEE (Indicatore della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Regular" w:hAnsi="Formata-Regular" w:cs="Formata-Regular"/>
                <w:sz w:val="20"/>
                <w:szCs w:val="20"/>
              </w:rPr>
              <w:t>Situazione Economica Equivalente), il parametro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Regular" w:hAnsi="Formata-Regular" w:cs="Formata-Regular"/>
                <w:sz w:val="20"/>
                <w:szCs w:val="20"/>
              </w:rPr>
              <w:t>utilizzato per il riconoscimento di prestazioni o servizi sociali o assistenziali non destinati alla generalità dei cittadini o comunque collegati (nella misura o nel costo) a precise situazioni economiche (art. 5). Fra le prestazioni erogate in base all’ISEE: a livello nazionale l’assegno per i nuclei familiari con almeno tre figli, gli assegni di maternità per madri prive di altra garanzia assicurativa, la fornitura gratuita o semigratuita di libri di testo, l’erogazione di borse di studio, la tariffa sociale per la fornitura di energia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Regular" w:hAnsi="Formata-Regular" w:cs="Formata-Regular"/>
                <w:sz w:val="20"/>
                <w:szCs w:val="20"/>
              </w:rPr>
              <w:t>elettrica, le agevolazioni per il canone telefonico; a livello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Regular" w:hAnsi="Formata-Regular" w:cs="Formata-Regular"/>
                <w:sz w:val="20"/>
                <w:szCs w:val="20"/>
              </w:rPr>
              <w:t>locale, gli asili nidi, le mense scolastiche, i servizi sociosanitari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Regular" w:hAnsi="Formata-Regular" w:cs="Formata-Regular"/>
                <w:sz w:val="20"/>
                <w:szCs w:val="20"/>
              </w:rPr>
              <w:t>diurni e residenziali, altre prestazioni assistenziali.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Regular" w:hAnsi="Formata-Regular" w:cs="Formata-Regular"/>
                <w:sz w:val="20"/>
                <w:szCs w:val="20"/>
              </w:rPr>
              <w:t>In base alla disciplina attuale, il patrimonio immobiliare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Regular" w:hAnsi="Formata-Regular" w:cs="Formata-Regular"/>
                <w:sz w:val="20"/>
                <w:szCs w:val="20"/>
              </w:rPr>
              <w:t>del nucleo familiare, al netto della casa di abitazione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Regular" w:hAnsi="Formata-Regular" w:cs="Formata-Regular"/>
                <w:sz w:val="20"/>
                <w:szCs w:val="20"/>
              </w:rPr>
              <w:t>se di proprietà (con una franchigia massima di 51.646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Regular" w:hAnsi="Formata-Regular" w:cs="Formata-Regular"/>
                <w:sz w:val="20"/>
                <w:szCs w:val="20"/>
              </w:rPr>
              <w:t>euro), e il patrimonio mobiliare, al netto di una franchigia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Regular" w:hAnsi="Formata-Regular" w:cs="Formata-Regular"/>
                <w:sz w:val="20"/>
                <w:szCs w:val="20"/>
              </w:rPr>
              <w:t>di 15.494 euro, contribuiscono alla formazione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Regular" w:hAnsi="Formata-Regular" w:cs="Formata-Regular"/>
                <w:sz w:val="20"/>
                <w:szCs w:val="20"/>
              </w:rPr>
              <w:t>dell’ISEE soltanto per il 20% della somma del loro ammontare.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Regular" w:hAnsi="Formata-Regular" w:cs="Formata-Regular"/>
                <w:sz w:val="20"/>
                <w:szCs w:val="20"/>
              </w:rPr>
              <w:t>Inoltre, restano fuori dalla determinazione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Regular" w:hAnsi="Formata-Regular" w:cs="Formata-Regular"/>
                <w:sz w:val="20"/>
                <w:szCs w:val="20"/>
              </w:rPr>
              <w:t>dell’indicatore i redditi esenti ai fini IRPEF (ad esempio,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Regular" w:hAnsi="Formata-Regular" w:cs="Formata-Regular"/>
                <w:sz w:val="20"/>
                <w:szCs w:val="20"/>
              </w:rPr>
              <w:t>le pensioni sociali, gli assegni e le maggiorazioni sociali,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Regular" w:hAnsi="Formata-Regular" w:cs="Formata-Regular"/>
                <w:sz w:val="20"/>
                <w:szCs w:val="20"/>
              </w:rPr>
              <w:t>le pensioni e le indennità erogate agli invalidi civili, alcune borse di studio corrisposte a studenti universitari, le rendite erogate dall’INAIL per invalidità o per morte, le pensioni di guerra, quelle privilegiate corrisposte ai militari di leva).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Regular" w:hAnsi="Formata-Regular" w:cs="Formata-Regular"/>
                <w:sz w:val="20"/>
                <w:szCs w:val="20"/>
              </w:rPr>
              <w:t>Entro la fine del prossimo mese di maggio, un decreto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Regular" w:hAnsi="Formata-Regular" w:cs="Formata-Regular"/>
                <w:sz w:val="20"/>
                <w:szCs w:val="20"/>
              </w:rPr>
              <w:t>del Presidente del Consiglio dei Ministri dovrà dettare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Regular" w:hAnsi="Formata-Regular" w:cs="Formata-Regular"/>
                <w:sz w:val="20"/>
                <w:szCs w:val="20"/>
              </w:rPr>
              <w:t>le nuove modalità di calcolo dell’ISEE, che tengano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Regular" w:hAnsi="Formata-Regular" w:cs="Formata-Regular"/>
                <w:sz w:val="20"/>
                <w:szCs w:val="20"/>
              </w:rPr>
              <w:t>conto anche delle somme esenti da imposizione fiscale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Regular" w:hAnsi="Formata-Regular" w:cs="Formata-Regular"/>
                <w:sz w:val="20"/>
                <w:szCs w:val="20"/>
              </w:rPr>
              <w:t>e attribuiscano maggiore rilevanza agli elementi che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Regular" w:hAnsi="Formata-Regular" w:cs="Formata-Regular"/>
                <w:sz w:val="20"/>
                <w:szCs w:val="20"/>
              </w:rPr>
              <w:t>compongono la ricchezza patrimoniale (sia in Italia che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Regular" w:hAnsi="Formata-Regular" w:cs="Formata-Regular"/>
                <w:sz w:val="20"/>
                <w:szCs w:val="20"/>
              </w:rPr>
              <w:t>all’estero), ai redditi percepiti dai diversi componenti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Regular" w:hAnsi="Formata-Regular" w:cs="Formata-Regular"/>
                <w:sz w:val="20"/>
                <w:szCs w:val="20"/>
              </w:rPr>
              <w:t>della famiglia e ai carichi familiari, in particolare i figli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Regular" w:hAnsi="Formata-Regular" w:cs="Formata-Regular"/>
                <w:sz w:val="20"/>
                <w:szCs w:val="20"/>
              </w:rPr>
              <w:t>successivi al secondo e le persone disabili a carico. Sono,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proofErr w:type="spellStart"/>
            <w:r>
              <w:rPr>
                <w:rFonts w:ascii="Formata-Regular" w:hAnsi="Formata-Regular" w:cs="Formata-Regular"/>
                <w:sz w:val="20"/>
                <w:szCs w:val="20"/>
              </w:rPr>
              <w:t>inol</w:t>
            </w:r>
            <w:proofErr w:type="spellEnd"/>
            <w:r>
              <w:rPr>
                <w:rFonts w:ascii="Formata-Regular" w:hAnsi="Formata-Regular" w:cs="Formata-Regular"/>
                <w:sz w:val="20"/>
                <w:szCs w:val="20"/>
              </w:rPr>
              <w:t xml:space="preserve"> t re, “</w:t>
            </w:r>
            <w:proofErr w:type="spellStart"/>
            <w:r>
              <w:rPr>
                <w:rFonts w:ascii="Formata-Regular" w:hAnsi="Formata-Regular" w:cs="Formata-Regular"/>
                <w:sz w:val="20"/>
                <w:szCs w:val="20"/>
              </w:rPr>
              <w:t>programmat</w:t>
            </w:r>
            <w:proofErr w:type="spellEnd"/>
            <w:r>
              <w:rPr>
                <w:rFonts w:ascii="Formata-Regular" w:hAnsi="Formata-Regular" w:cs="Formata-Regular"/>
                <w:sz w:val="20"/>
                <w:szCs w:val="20"/>
              </w:rPr>
              <w:t xml:space="preserve"> i ” : una di f </w:t>
            </w:r>
            <w:proofErr w:type="spellStart"/>
            <w:r>
              <w:rPr>
                <w:rFonts w:ascii="Formata-Regular" w:hAnsi="Formata-Regular" w:cs="Formata-Regular"/>
                <w:sz w:val="20"/>
                <w:szCs w:val="20"/>
              </w:rPr>
              <w:t>ferenz</w:t>
            </w:r>
            <w:proofErr w:type="spellEnd"/>
            <w:r>
              <w:rPr>
                <w:rFonts w:ascii="Formata-Regular" w:hAnsi="Formata-Regular" w:cs="Formata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rmata-Regular" w:hAnsi="Formata-Regular" w:cs="Formata-Regular"/>
                <w:sz w:val="20"/>
                <w:szCs w:val="20"/>
              </w:rPr>
              <w:t>iaz</w:t>
            </w:r>
            <w:proofErr w:type="spellEnd"/>
            <w:r>
              <w:rPr>
                <w:rFonts w:ascii="Formata-Regular" w:hAnsi="Formata-Regular" w:cs="Formata-Regular"/>
                <w:sz w:val="20"/>
                <w:szCs w:val="20"/>
              </w:rPr>
              <w:t xml:space="preserve"> ione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Regular" w:hAnsi="Formata-Regular" w:cs="Formata-Regular"/>
                <w:sz w:val="20"/>
                <w:szCs w:val="20"/>
              </w:rPr>
              <w:t>dell’indicatore per le diverse tipologie di prestazioni, il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Regular" w:hAnsi="Formata-Regular" w:cs="Formata-Regular"/>
                <w:sz w:val="20"/>
                <w:szCs w:val="20"/>
              </w:rPr>
              <w:t>rafforzamento del sistema dei controlli e l’istituzione,</w:t>
            </w:r>
          </w:p>
          <w:p w:rsidR="007D6FB5" w:rsidRDefault="007D6FB5" w:rsidP="007D6FB5">
            <w:pPr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Regular" w:hAnsi="Formata-Regular" w:cs="Formata-Regular"/>
                <w:sz w:val="20"/>
                <w:szCs w:val="20"/>
              </w:rPr>
              <w:t>presso l’INPS, di una banca dati delle prestazioni sociali</w:t>
            </w:r>
          </w:p>
          <w:p w:rsidR="007D6FB5" w:rsidRDefault="007D6FB5" w:rsidP="007D6FB5">
            <w:r>
              <w:rPr>
                <w:rFonts w:ascii="Formata-Regular" w:hAnsi="Formata-Regular" w:cs="Formata-Regular"/>
                <w:sz w:val="20"/>
                <w:szCs w:val="20"/>
              </w:rPr>
              <w:t>agevolate condizionate all’ISEE.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  <w:r>
              <w:rPr>
                <w:rFonts w:ascii="Formata-Bold" w:hAnsi="Formata-Bold" w:cs="Formata-Bold"/>
                <w:b/>
                <w:bCs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137160</wp:posOffset>
                  </wp:positionV>
                  <wp:extent cx="2691765" cy="2264410"/>
                  <wp:effectExtent l="1905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765" cy="226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  <w:r>
              <w:rPr>
                <w:rFonts w:ascii="Formata-Bold" w:hAnsi="Formata-Bold" w:cs="Formata-Bold"/>
                <w:b/>
                <w:bCs/>
                <w:sz w:val="20"/>
                <w:szCs w:val="20"/>
              </w:rPr>
              <w:t>Lo stesso DPCM – e questa è la novità assoluta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  <w:r>
              <w:rPr>
                <w:rFonts w:ascii="Formata-Bold" w:hAnsi="Formata-Bold" w:cs="Formata-Bold"/>
                <w:b/>
                <w:bCs/>
                <w:sz w:val="20"/>
                <w:szCs w:val="20"/>
              </w:rPr>
              <w:t>che dovrebbe rivoluzionare i criteri di spettanza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  <w:r>
              <w:rPr>
                <w:rFonts w:ascii="Formata-Bold" w:hAnsi="Formata-Bold" w:cs="Formata-Bold"/>
                <w:b/>
                <w:bCs/>
                <w:sz w:val="20"/>
                <w:szCs w:val="20"/>
              </w:rPr>
              <w:t>delle diverse detrazioni d’imposta – dovrà individuare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  <w:r>
              <w:rPr>
                <w:rFonts w:ascii="Formata-Bold" w:hAnsi="Formata-Bold" w:cs="Formata-Bold"/>
                <w:b/>
                <w:bCs/>
                <w:sz w:val="20"/>
                <w:szCs w:val="20"/>
              </w:rPr>
              <w:t>sia le agevolazioni fiscali e tariffarie sia le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  <w:r>
              <w:rPr>
                <w:rFonts w:ascii="Formata-Bold" w:hAnsi="Formata-Bold" w:cs="Formata-Bold"/>
                <w:b/>
                <w:bCs/>
                <w:sz w:val="20"/>
                <w:szCs w:val="20"/>
              </w:rPr>
              <w:t>provvidenze di natura assistenziale che, a decorrere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  <w:r>
              <w:rPr>
                <w:rFonts w:ascii="Formata-Bold" w:hAnsi="Formata-Bold" w:cs="Formata-Bold"/>
                <w:b/>
                <w:bCs/>
                <w:sz w:val="20"/>
                <w:szCs w:val="20"/>
              </w:rPr>
              <w:t>dal 1° gennaio 2013, non saranno più riconosciute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  <w:r>
              <w:rPr>
                <w:rFonts w:ascii="Formata-Bold" w:hAnsi="Formata-Bold" w:cs="Formata-Bold"/>
                <w:b/>
                <w:bCs/>
                <w:sz w:val="20"/>
                <w:szCs w:val="20"/>
              </w:rPr>
              <w:t>a tutti i cittadini, ma soltanto a quelli in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  <w:r>
              <w:rPr>
                <w:rFonts w:ascii="Formata-Bold" w:hAnsi="Formata-Bold" w:cs="Formata-Bold"/>
                <w:b/>
                <w:bCs/>
                <w:sz w:val="20"/>
                <w:szCs w:val="20"/>
              </w:rPr>
              <w:t>possesso di un ISEE inferiore alla soglia individuata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  <w:r>
              <w:rPr>
                <w:rFonts w:ascii="Formata-Bold" w:hAnsi="Formata-Bold" w:cs="Formata-Bold"/>
                <w:b/>
                <w:bCs/>
                <w:sz w:val="20"/>
                <w:szCs w:val="20"/>
              </w:rPr>
              <w:t>dallo stesso decreto. Ciò vuol dire che tanti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  <w:r>
              <w:rPr>
                <w:rFonts w:ascii="Formata-Bold" w:hAnsi="Formata-Bold" w:cs="Formata-Bold"/>
                <w:b/>
                <w:bCs/>
                <w:sz w:val="20"/>
                <w:szCs w:val="20"/>
              </w:rPr>
              <w:t>oneri deducibili o detraibili (come, ad esempio,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  <w:r>
              <w:rPr>
                <w:rFonts w:ascii="Formata-Bold" w:hAnsi="Formata-Bold" w:cs="Formata-Bold"/>
                <w:b/>
                <w:bCs/>
                <w:sz w:val="20"/>
                <w:szCs w:val="20"/>
              </w:rPr>
              <w:t>gli interessi passivi sul mutuo ipotecario per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  <w:r>
              <w:rPr>
                <w:rFonts w:ascii="Formata-Bold" w:hAnsi="Formata-Bold" w:cs="Formata-Bold"/>
                <w:b/>
                <w:bCs/>
                <w:sz w:val="20"/>
                <w:szCs w:val="20"/>
              </w:rPr>
              <w:t>l’acquisto dell’abitazione principale, le spese mediche,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  <w:r>
              <w:rPr>
                <w:rFonts w:ascii="Formata-Bold" w:hAnsi="Formata-Bold" w:cs="Formata-Bold"/>
                <w:b/>
                <w:bCs/>
                <w:sz w:val="20"/>
                <w:szCs w:val="20"/>
              </w:rPr>
              <w:t>il bonus del 36% per le ristrutturazioni edilizie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  <w:r>
              <w:rPr>
                <w:rFonts w:ascii="Formata-Bold" w:hAnsi="Formata-Bold" w:cs="Formata-Bold"/>
                <w:b/>
                <w:bCs/>
                <w:sz w:val="20"/>
                <w:szCs w:val="20"/>
              </w:rPr>
              <w:t>o, ancora, quello del 55% per la riqualificazione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  <w:r>
              <w:rPr>
                <w:rFonts w:ascii="Formata-Bold" w:hAnsi="Formata-Bold" w:cs="Formata-Bold"/>
                <w:b/>
                <w:bCs/>
                <w:sz w:val="20"/>
                <w:szCs w:val="20"/>
              </w:rPr>
              <w:t>energetica degli edifici, solo per citarne alcuni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  <w:r>
              <w:rPr>
                <w:rFonts w:ascii="Formata-Bold" w:hAnsi="Formata-Bold" w:cs="Formata-Bold"/>
                <w:b/>
                <w:bCs/>
                <w:sz w:val="20"/>
                <w:szCs w:val="20"/>
              </w:rPr>
              <w:t>tra i più diffusi) potrebbero rientrare nel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  <w:r>
              <w:rPr>
                <w:rFonts w:ascii="Formata-Bold" w:hAnsi="Formata-Bold" w:cs="Formata-Bold"/>
                <w:b/>
                <w:bCs/>
                <w:sz w:val="20"/>
                <w:szCs w:val="20"/>
              </w:rPr>
              <w:t>meccanismo dell’ISEE e, di conseguenza, non portare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  <w:r>
              <w:rPr>
                <w:rFonts w:ascii="Formata-Bold" w:hAnsi="Formata-Bold" w:cs="Formata-Bold"/>
                <w:b/>
                <w:bCs/>
                <w:sz w:val="20"/>
                <w:szCs w:val="20"/>
              </w:rPr>
              <w:t>più alcun beneficio fiscale per un gran numero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Bold" w:hAnsi="Formata-Bold" w:cs="Formata-Bold"/>
                <w:b/>
                <w:bCs/>
                <w:sz w:val="20"/>
                <w:szCs w:val="20"/>
              </w:rPr>
            </w:pPr>
            <w:r>
              <w:rPr>
                <w:rFonts w:ascii="Formata-Bold" w:hAnsi="Formata-Bold" w:cs="Formata-Bold"/>
                <w:b/>
                <w:bCs/>
                <w:sz w:val="20"/>
                <w:szCs w:val="20"/>
              </w:rPr>
              <w:t>di contribuenti.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Regular" w:hAnsi="Formata-Regular" w:cs="Formata-Regular"/>
                <w:sz w:val="20"/>
                <w:szCs w:val="20"/>
              </w:rPr>
              <w:t>I risparmi ottenuti grazie alla revisione dell’ISEE saranno</w:t>
            </w:r>
          </w:p>
          <w:p w:rsidR="007D6FB5" w:rsidRDefault="007D6FB5" w:rsidP="007D6FB5">
            <w:pPr>
              <w:autoSpaceDE w:val="0"/>
              <w:autoSpaceDN w:val="0"/>
              <w:adjustRightInd w:val="0"/>
              <w:rPr>
                <w:rFonts w:ascii="Formata-Regular" w:hAnsi="Formata-Regular" w:cs="Formata-Regular"/>
                <w:sz w:val="20"/>
                <w:szCs w:val="20"/>
              </w:rPr>
            </w:pPr>
            <w:r>
              <w:rPr>
                <w:rFonts w:ascii="Formata-Regular" w:hAnsi="Formata-Regular" w:cs="Formata-Regular"/>
                <w:sz w:val="20"/>
                <w:szCs w:val="20"/>
              </w:rPr>
              <w:t>assegnati al Ministero del lavoro e delle politiche sociali</w:t>
            </w:r>
          </w:p>
          <w:p w:rsidR="007D6FB5" w:rsidRDefault="007D6FB5" w:rsidP="007D6FB5">
            <w:r>
              <w:rPr>
                <w:rFonts w:ascii="Formata-Regular" w:hAnsi="Formata-Regular" w:cs="Formata-Regular"/>
                <w:sz w:val="20"/>
                <w:szCs w:val="20"/>
              </w:rPr>
              <w:t>per essere destinati ad interventi in favore delle famiglie</w:t>
            </w:r>
          </w:p>
        </w:tc>
      </w:tr>
    </w:tbl>
    <w:p w:rsidR="00476B50" w:rsidRDefault="00476B50"/>
    <w:sectPr w:rsidR="00476B50" w:rsidSect="00476B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mat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rmat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D6FB5"/>
    <w:rsid w:val="00476B50"/>
    <w:rsid w:val="007D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B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6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2012-01-04T15:26:00Z</dcterms:created>
  <dcterms:modified xsi:type="dcterms:W3CDTF">2012-01-04T15:26:00Z</dcterms:modified>
</cp:coreProperties>
</file>