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59" w:rsidRPr="00E15159" w:rsidRDefault="00E15159" w:rsidP="00E15159">
      <w:pPr>
        <w:pStyle w:val="Heading2"/>
        <w:shd w:val="clear" w:color="auto" w:fill="FFFFFF"/>
        <w:spacing w:before="0" w:line="240" w:lineRule="auto"/>
        <w:rPr>
          <w:rFonts w:ascii="Arial" w:hAnsi="Arial" w:cs="Arial"/>
          <w:color w:val="auto"/>
          <w:sz w:val="32"/>
          <w:szCs w:val="32"/>
        </w:rPr>
      </w:pPr>
      <w:r w:rsidRPr="00E15159">
        <w:rPr>
          <w:rFonts w:ascii="Arial" w:hAnsi="Arial" w:cs="Arial"/>
          <w:color w:val="auto"/>
          <w:sz w:val="32"/>
          <w:szCs w:val="32"/>
        </w:rPr>
        <w:t>NVQ L2 Diploma in Trowel Occupations (Construction)</w:t>
      </w:r>
    </w:p>
    <w:p w:rsidR="00E15159" w:rsidRDefault="00E15159" w:rsidP="00E15159">
      <w:pPr>
        <w:pStyle w:val="NormalWeb"/>
        <w:shd w:val="clear" w:color="auto" w:fill="FFFFFF"/>
        <w:spacing w:before="0" w:beforeAutospacing="0"/>
        <w:rPr>
          <w:rFonts w:ascii="Arial" w:hAnsi="Arial" w:cs="Arial"/>
        </w:rPr>
      </w:pPr>
    </w:p>
    <w:p w:rsidR="00E15159" w:rsidRPr="00E15159" w:rsidRDefault="00E15159" w:rsidP="00E15159">
      <w:pPr>
        <w:pStyle w:val="NormalWeb"/>
        <w:shd w:val="clear" w:color="auto" w:fill="FFFFFF"/>
        <w:spacing w:before="0" w:beforeAutospacing="0" w:line="360" w:lineRule="auto"/>
        <w:rPr>
          <w:rFonts w:ascii="Arial" w:hAnsi="Arial" w:cs="Arial"/>
        </w:rPr>
      </w:pPr>
      <w:r w:rsidRPr="00E15159">
        <w:rPr>
          <w:rFonts w:ascii="Arial" w:hAnsi="Arial" w:cs="Arial"/>
        </w:rPr>
        <w:t>The Level 2 NVQ Diploma in T</w:t>
      </w:r>
      <w:r>
        <w:rPr>
          <w:rFonts w:ascii="Arial" w:hAnsi="Arial" w:cs="Arial"/>
        </w:rPr>
        <w:t xml:space="preserve">rowel Occupations </w:t>
      </w:r>
      <w:r w:rsidRPr="00E15159">
        <w:rPr>
          <w:rFonts w:ascii="Arial" w:hAnsi="Arial" w:cs="Arial"/>
        </w:rPr>
        <w:t>is designed to assess occupational competence in the workplace. Learners are required to demonstrate their skills, knowledge and experience in bricklaying. This qualification is suitable for practicing bricklayers.</w:t>
      </w:r>
      <w:r w:rsidR="00E029DA">
        <w:rPr>
          <w:rFonts w:ascii="Arial" w:hAnsi="Arial" w:cs="Arial"/>
        </w:rPr>
        <w:t xml:space="preserve"> </w:t>
      </w:r>
      <w:r w:rsidRPr="00E15159">
        <w:rPr>
          <w:rFonts w:ascii="Arial" w:hAnsi="Arial" w:cs="Arial"/>
        </w:rPr>
        <w:t>This NVQ provides formal recognition of practicing as a bricklayer.</w:t>
      </w:r>
    </w:p>
    <w:p w:rsidR="00E15159" w:rsidRPr="00E15159" w:rsidRDefault="00E15159" w:rsidP="00E15159">
      <w:pPr>
        <w:pStyle w:val="NormalWeb"/>
        <w:shd w:val="clear" w:color="auto" w:fill="FFFFFF"/>
        <w:spacing w:before="0" w:beforeAutospacing="0" w:line="360" w:lineRule="auto"/>
        <w:rPr>
          <w:rFonts w:ascii="Arial" w:hAnsi="Arial" w:cs="Arial"/>
        </w:rPr>
      </w:pPr>
      <w:r>
        <w:rPr>
          <w:rFonts w:ascii="Arial" w:hAnsi="Arial" w:cs="Arial"/>
        </w:rPr>
        <w:t xml:space="preserve">We </w:t>
      </w:r>
      <w:r w:rsidRPr="00E15159">
        <w:rPr>
          <w:rFonts w:ascii="Arial" w:hAnsi="Arial" w:cs="Arial"/>
        </w:rPr>
        <w:t>offer a nation</w:t>
      </w:r>
      <w:r>
        <w:rPr>
          <w:rFonts w:ascii="Arial" w:hAnsi="Arial" w:cs="Arial"/>
        </w:rPr>
        <w:t xml:space="preserve">wide NVQ service </w:t>
      </w:r>
      <w:r w:rsidRPr="00E15159">
        <w:rPr>
          <w:rFonts w:ascii="Arial" w:hAnsi="Arial" w:cs="Arial"/>
        </w:rPr>
        <w:t>using our on-line NVQ portfolio Learning Assistant. Your NVQ will be assessed using the product of your work e.g. contract documents. Your knowledge will be assessed using professional discussion or written reflective account.</w:t>
      </w:r>
    </w:p>
    <w:p w:rsidR="00E15159" w:rsidRPr="00E15159" w:rsidRDefault="00E15159" w:rsidP="00E15159">
      <w:pPr>
        <w:pStyle w:val="NormalWeb"/>
        <w:shd w:val="clear" w:color="auto" w:fill="FFFFFF"/>
        <w:spacing w:before="0" w:beforeAutospacing="0" w:line="360" w:lineRule="auto"/>
        <w:rPr>
          <w:rFonts w:ascii="Arial" w:hAnsi="Arial" w:cs="Arial"/>
        </w:rPr>
      </w:pPr>
      <w:r w:rsidRPr="00E15159">
        <w:rPr>
          <w:rStyle w:val="Strong"/>
          <w:rFonts w:ascii="Arial" w:eastAsiaTheme="majorEastAsia" w:hAnsi="Arial" w:cs="Arial"/>
        </w:rPr>
        <w:t>How much will my NVQ level 2 cost?</w:t>
      </w:r>
    </w:p>
    <w:p w:rsidR="00E15159" w:rsidRPr="00E15159" w:rsidRDefault="00BC11D1" w:rsidP="00E15159">
      <w:pPr>
        <w:pStyle w:val="NormalWeb"/>
        <w:shd w:val="clear" w:color="auto" w:fill="FFFFFF"/>
        <w:spacing w:before="0" w:beforeAutospacing="0" w:line="360" w:lineRule="auto"/>
        <w:rPr>
          <w:rFonts w:ascii="Arial" w:hAnsi="Arial" w:cs="Arial"/>
        </w:rPr>
      </w:pPr>
      <w:r>
        <w:rPr>
          <w:rFonts w:ascii="Arial" w:hAnsi="Arial" w:cs="Arial"/>
        </w:rPr>
        <w:t>Price:</w:t>
      </w:r>
      <w:r w:rsidR="00E15159">
        <w:rPr>
          <w:rFonts w:ascii="Arial" w:hAnsi="Arial" w:cs="Arial"/>
        </w:rPr>
        <w:t xml:space="preserve"> £700</w:t>
      </w:r>
    </w:p>
    <w:p w:rsidR="00E15159" w:rsidRPr="00E15159" w:rsidRDefault="00E15159" w:rsidP="00E15159">
      <w:pPr>
        <w:pStyle w:val="NormalWeb"/>
        <w:shd w:val="clear" w:color="auto" w:fill="FFFFFF"/>
        <w:spacing w:before="0" w:beforeAutospacing="0" w:line="360" w:lineRule="auto"/>
        <w:rPr>
          <w:rFonts w:ascii="Arial" w:hAnsi="Arial" w:cs="Arial"/>
        </w:rPr>
      </w:pPr>
      <w:r w:rsidRPr="00E15159">
        <w:rPr>
          <w:rStyle w:val="Strong"/>
          <w:rFonts w:ascii="Arial" w:eastAsiaTheme="majorEastAsia" w:hAnsi="Arial" w:cs="Arial"/>
        </w:rPr>
        <w:t>NVQ Payment Terms</w:t>
      </w:r>
    </w:p>
    <w:p w:rsidR="00E15159" w:rsidRPr="00E15159" w:rsidRDefault="00E15159" w:rsidP="00E15159">
      <w:pPr>
        <w:pStyle w:val="NormalWeb"/>
        <w:shd w:val="clear" w:color="auto" w:fill="FFFFFF"/>
        <w:spacing w:before="0" w:beforeAutospacing="0" w:line="360" w:lineRule="auto"/>
        <w:rPr>
          <w:rFonts w:ascii="Arial" w:hAnsi="Arial" w:cs="Arial"/>
        </w:rPr>
      </w:pPr>
      <w:r w:rsidRPr="00E15159">
        <w:rPr>
          <w:rFonts w:ascii="Arial" w:hAnsi="Arial" w:cs="Arial"/>
        </w:rPr>
        <w:t>50% to begin the NVQ process; followed by 50% upon completion.</w:t>
      </w:r>
    </w:p>
    <w:p w:rsidR="00E15159" w:rsidRPr="00E15159" w:rsidRDefault="00E15159" w:rsidP="00E15159">
      <w:pPr>
        <w:pStyle w:val="Heading2"/>
        <w:shd w:val="clear" w:color="auto" w:fill="FFFFFF"/>
        <w:spacing w:before="0" w:line="360" w:lineRule="auto"/>
        <w:rPr>
          <w:rFonts w:ascii="Arial" w:hAnsi="Arial" w:cs="Arial"/>
          <w:color w:val="auto"/>
          <w:sz w:val="24"/>
          <w:szCs w:val="24"/>
        </w:rPr>
      </w:pPr>
      <w:r w:rsidRPr="00E15159">
        <w:rPr>
          <w:rFonts w:ascii="Arial" w:hAnsi="Arial" w:cs="Arial"/>
          <w:color w:val="auto"/>
          <w:sz w:val="24"/>
          <w:szCs w:val="24"/>
        </w:rPr>
        <w:t>NVQ Entry Requirements</w:t>
      </w:r>
    </w:p>
    <w:p w:rsidR="00E15159" w:rsidRPr="00E15159" w:rsidRDefault="00E15159" w:rsidP="00E15159">
      <w:pPr>
        <w:pStyle w:val="NormalWeb"/>
        <w:shd w:val="clear" w:color="auto" w:fill="FFFFFF"/>
        <w:spacing w:before="0" w:beforeAutospacing="0" w:after="0" w:afterAutospacing="0" w:line="360" w:lineRule="auto"/>
        <w:rPr>
          <w:rFonts w:ascii="Arial" w:hAnsi="Arial" w:cs="Arial"/>
        </w:rPr>
      </w:pPr>
      <w:r w:rsidRPr="00E15159">
        <w:rPr>
          <w:rFonts w:ascii="Arial" w:hAnsi="Arial" w:cs="Arial"/>
        </w:rPr>
        <w:t>The potential learner must be able to demonstrate that they can meet the skills, knowledge and experience requirements of the NVQ before enrolment.</w:t>
      </w:r>
    </w:p>
    <w:p w:rsidR="00E15159" w:rsidRDefault="00E15159" w:rsidP="00E15159">
      <w:pPr>
        <w:pStyle w:val="Heading2"/>
        <w:shd w:val="clear" w:color="auto" w:fill="FFFFFF"/>
        <w:spacing w:before="0" w:line="360" w:lineRule="auto"/>
        <w:rPr>
          <w:rFonts w:ascii="Arial" w:hAnsi="Arial" w:cs="Arial"/>
          <w:color w:val="auto"/>
          <w:sz w:val="24"/>
          <w:szCs w:val="24"/>
        </w:rPr>
      </w:pPr>
    </w:p>
    <w:p w:rsidR="00E15159" w:rsidRPr="00E15159" w:rsidRDefault="00E15159" w:rsidP="00E15159">
      <w:pPr>
        <w:pStyle w:val="Heading2"/>
        <w:shd w:val="clear" w:color="auto" w:fill="FFFFFF"/>
        <w:spacing w:before="0" w:line="360" w:lineRule="auto"/>
        <w:rPr>
          <w:rFonts w:ascii="Arial" w:hAnsi="Arial" w:cs="Arial"/>
          <w:color w:val="auto"/>
          <w:sz w:val="24"/>
          <w:szCs w:val="24"/>
        </w:rPr>
      </w:pPr>
      <w:r w:rsidRPr="00E15159">
        <w:rPr>
          <w:rFonts w:ascii="Arial" w:hAnsi="Arial" w:cs="Arial"/>
          <w:color w:val="auto"/>
          <w:sz w:val="24"/>
          <w:szCs w:val="24"/>
        </w:rPr>
        <w:t>How long will my NVQ take to complete?</w:t>
      </w:r>
    </w:p>
    <w:p w:rsidR="00E15159" w:rsidRPr="00E15159" w:rsidRDefault="00E15159" w:rsidP="00E15159">
      <w:pPr>
        <w:shd w:val="clear" w:color="auto" w:fill="FFFFFF"/>
        <w:spacing w:line="360" w:lineRule="auto"/>
        <w:rPr>
          <w:rFonts w:ascii="Arial" w:hAnsi="Arial" w:cs="Arial"/>
          <w:sz w:val="24"/>
          <w:szCs w:val="24"/>
        </w:rPr>
      </w:pPr>
      <w:r w:rsidRPr="00E15159">
        <w:rPr>
          <w:rFonts w:ascii="Arial" w:hAnsi="Arial" w:cs="Arial"/>
          <w:sz w:val="24"/>
          <w:szCs w:val="24"/>
        </w:rPr>
        <w:t>An NVQ assessment plan will be agreed during your Initial NVQ assessment &amp; NVQ Induction; a planned end date will be agreed. However, we would expect your NVQ qualification to be complete with sixteen weeks.</w:t>
      </w:r>
    </w:p>
    <w:p w:rsidR="00E15159" w:rsidRPr="00E15159" w:rsidRDefault="00E15159" w:rsidP="00E15159">
      <w:pPr>
        <w:pStyle w:val="Heading2"/>
        <w:shd w:val="clear" w:color="auto" w:fill="FFFFFF"/>
        <w:spacing w:before="0" w:line="360" w:lineRule="auto"/>
        <w:rPr>
          <w:rFonts w:ascii="Arial" w:hAnsi="Arial" w:cs="Arial"/>
          <w:color w:val="auto"/>
          <w:sz w:val="24"/>
          <w:szCs w:val="24"/>
        </w:rPr>
      </w:pPr>
      <w:r w:rsidRPr="00E15159">
        <w:rPr>
          <w:rFonts w:ascii="Arial" w:hAnsi="Arial" w:cs="Arial"/>
          <w:color w:val="auto"/>
          <w:sz w:val="24"/>
          <w:szCs w:val="24"/>
        </w:rPr>
        <w:t>How is the NVQ qualification assessed?</w:t>
      </w:r>
    </w:p>
    <w:p w:rsidR="00E15159" w:rsidRDefault="00E15159" w:rsidP="00E15159">
      <w:pPr>
        <w:pStyle w:val="NormalWeb"/>
        <w:shd w:val="clear" w:color="auto" w:fill="FFFFFF"/>
        <w:spacing w:before="0" w:beforeAutospacing="0" w:line="360" w:lineRule="auto"/>
        <w:rPr>
          <w:rFonts w:ascii="Arial" w:hAnsi="Arial" w:cs="Arial"/>
        </w:rPr>
      </w:pPr>
      <w:r w:rsidRPr="00E15159">
        <w:rPr>
          <w:rFonts w:ascii="Arial" w:hAnsi="Arial" w:cs="Arial"/>
        </w:rPr>
        <w:t>Learning Assistant is the on-</w:t>
      </w:r>
      <w:r>
        <w:rPr>
          <w:rFonts w:ascii="Arial" w:hAnsi="Arial" w:cs="Arial"/>
        </w:rPr>
        <w:t xml:space="preserve">line NVQ portfolio used by our assessors. </w:t>
      </w:r>
      <w:r w:rsidRPr="00E15159">
        <w:rPr>
          <w:rFonts w:ascii="Arial" w:hAnsi="Arial" w:cs="Arial"/>
        </w:rPr>
        <w:t xml:space="preserve">During the Initial assessment your assessor will identify the most appropriate optional units and </w:t>
      </w:r>
      <w:r w:rsidRPr="00E15159">
        <w:rPr>
          <w:rFonts w:ascii="Arial" w:hAnsi="Arial" w:cs="Arial"/>
        </w:rPr>
        <w:lastRenderedPageBreak/>
        <w:t xml:space="preserve">provide advice and guidance regarding the range of evidence required. At this stage you will be introduced to Learning Assistant and uploading evidence for your NVQ. </w:t>
      </w:r>
    </w:p>
    <w:p w:rsidR="00E15159" w:rsidRPr="00E15159" w:rsidRDefault="00E15159" w:rsidP="00E15159">
      <w:pPr>
        <w:pStyle w:val="NormalWeb"/>
        <w:shd w:val="clear" w:color="auto" w:fill="FFFFFF"/>
        <w:spacing w:before="0" w:beforeAutospacing="0" w:line="360" w:lineRule="auto"/>
        <w:rPr>
          <w:rFonts w:ascii="Arial" w:hAnsi="Arial" w:cs="Arial"/>
        </w:rPr>
      </w:pPr>
      <w:r w:rsidRPr="00E15159">
        <w:rPr>
          <w:rFonts w:ascii="Arial" w:hAnsi="Arial" w:cs="Arial"/>
        </w:rPr>
        <w:t>Feedback regarding your progress will be provi</w:t>
      </w:r>
      <w:r>
        <w:rPr>
          <w:rFonts w:ascii="Arial" w:hAnsi="Arial" w:cs="Arial"/>
        </w:rPr>
        <w:t>ded in a variety of ways and y</w:t>
      </w:r>
      <w:r w:rsidRPr="00E15159">
        <w:rPr>
          <w:rFonts w:ascii="Arial" w:hAnsi="Arial" w:cs="Arial"/>
        </w:rPr>
        <w:t>our assessor will also maintain regular contact by phone, text message and email.</w:t>
      </w:r>
    </w:p>
    <w:p w:rsidR="00E15159" w:rsidRPr="00E15159" w:rsidRDefault="00E15159" w:rsidP="00E15159">
      <w:pPr>
        <w:pStyle w:val="NormalWeb"/>
        <w:shd w:val="clear" w:color="auto" w:fill="FFFFFF"/>
        <w:spacing w:before="0" w:beforeAutospacing="0" w:after="0" w:afterAutospacing="0" w:line="360" w:lineRule="auto"/>
        <w:rPr>
          <w:rFonts w:ascii="Arial" w:hAnsi="Arial" w:cs="Arial"/>
        </w:rPr>
      </w:pPr>
      <w:r w:rsidRPr="00E15159">
        <w:rPr>
          <w:rFonts w:ascii="Arial" w:hAnsi="Arial" w:cs="Arial"/>
        </w:rPr>
        <w:t>Your assessor will provide support throughout the assessment process to ensure timely completion of your NVQ.</w:t>
      </w:r>
    </w:p>
    <w:p w:rsidR="00E15159" w:rsidRDefault="00E15159" w:rsidP="00E15159">
      <w:pPr>
        <w:pStyle w:val="Heading2"/>
        <w:shd w:val="clear" w:color="auto" w:fill="FFFFFF"/>
        <w:spacing w:before="0" w:line="360" w:lineRule="auto"/>
        <w:rPr>
          <w:rFonts w:ascii="Arial" w:hAnsi="Arial" w:cs="Arial"/>
          <w:color w:val="auto"/>
          <w:sz w:val="24"/>
          <w:szCs w:val="24"/>
        </w:rPr>
      </w:pPr>
    </w:p>
    <w:p w:rsidR="00E15159" w:rsidRPr="00E15159" w:rsidRDefault="00E15159" w:rsidP="00E15159">
      <w:pPr>
        <w:pStyle w:val="Heading2"/>
        <w:shd w:val="clear" w:color="auto" w:fill="FFFFFF"/>
        <w:spacing w:before="0" w:line="360" w:lineRule="auto"/>
        <w:rPr>
          <w:rFonts w:ascii="Arial" w:hAnsi="Arial" w:cs="Arial"/>
          <w:color w:val="auto"/>
          <w:sz w:val="24"/>
          <w:szCs w:val="24"/>
        </w:rPr>
      </w:pPr>
      <w:r w:rsidRPr="00E15159">
        <w:rPr>
          <w:rFonts w:ascii="Arial" w:hAnsi="Arial" w:cs="Arial"/>
          <w:color w:val="auto"/>
          <w:sz w:val="24"/>
          <w:szCs w:val="24"/>
        </w:rPr>
        <w:t>Industry recognition &amp; benefits</w:t>
      </w:r>
    </w:p>
    <w:p w:rsidR="00E15159" w:rsidRPr="00E15159" w:rsidRDefault="00E15159" w:rsidP="00E15159">
      <w:pPr>
        <w:shd w:val="clear" w:color="auto" w:fill="FFFFFF"/>
        <w:spacing w:line="360" w:lineRule="auto"/>
        <w:rPr>
          <w:rFonts w:ascii="Arial" w:hAnsi="Arial" w:cs="Arial"/>
          <w:sz w:val="24"/>
          <w:szCs w:val="24"/>
        </w:rPr>
      </w:pPr>
      <w:r w:rsidRPr="00E15159">
        <w:rPr>
          <w:rFonts w:ascii="Arial" w:hAnsi="Arial" w:cs="Arial"/>
          <w:sz w:val="24"/>
          <w:szCs w:val="24"/>
        </w:rPr>
        <w:t>The Level 2 NVQ Diploma in Trowel Occupations qualifies the holder to apply for the Construction Skills Certification Scheme (CSCS) blue skill card (</w:t>
      </w:r>
      <w:hyperlink r:id="rId7" w:tgtFrame="_blank" w:history="1">
        <w:r w:rsidRPr="00E15159">
          <w:rPr>
            <w:rStyle w:val="Hyperlink"/>
            <w:rFonts w:ascii="Arial" w:hAnsi="Arial" w:cs="Arial"/>
            <w:color w:val="auto"/>
            <w:sz w:val="24"/>
            <w:szCs w:val="24"/>
          </w:rPr>
          <w:t>https://www.cscs.uk.com/card-type/manager/</w:t>
        </w:r>
      </w:hyperlink>
      <w:r w:rsidRPr="00E15159">
        <w:rPr>
          <w:rFonts w:ascii="Arial" w:hAnsi="Arial" w:cs="Arial"/>
          <w:sz w:val="24"/>
          <w:szCs w:val="24"/>
        </w:rPr>
        <w:t>).</w:t>
      </w:r>
    </w:p>
    <w:p w:rsidR="00E15159" w:rsidRPr="00E15159" w:rsidRDefault="00E15159" w:rsidP="00E15159">
      <w:pPr>
        <w:pStyle w:val="Heading2"/>
        <w:shd w:val="clear" w:color="auto" w:fill="FFFFFF"/>
        <w:spacing w:before="0" w:line="360" w:lineRule="auto"/>
        <w:rPr>
          <w:rFonts w:ascii="Arial" w:hAnsi="Arial" w:cs="Arial"/>
          <w:color w:val="auto"/>
          <w:sz w:val="24"/>
          <w:szCs w:val="24"/>
        </w:rPr>
      </w:pPr>
      <w:r w:rsidRPr="00E15159">
        <w:rPr>
          <w:rFonts w:ascii="Arial" w:hAnsi="Arial" w:cs="Arial"/>
          <w:color w:val="auto"/>
          <w:sz w:val="24"/>
          <w:szCs w:val="24"/>
        </w:rPr>
        <w:t>Grants</w:t>
      </w:r>
    </w:p>
    <w:p w:rsidR="00E15159" w:rsidRPr="00E15159" w:rsidRDefault="00E15159" w:rsidP="00E15159">
      <w:pPr>
        <w:shd w:val="clear" w:color="auto" w:fill="FFFFFF"/>
        <w:spacing w:line="360" w:lineRule="auto"/>
        <w:rPr>
          <w:rFonts w:ascii="Arial" w:hAnsi="Arial" w:cs="Arial"/>
          <w:sz w:val="24"/>
          <w:szCs w:val="24"/>
        </w:rPr>
      </w:pPr>
      <w:r>
        <w:rPr>
          <w:rFonts w:ascii="Arial" w:hAnsi="Arial" w:cs="Arial"/>
          <w:sz w:val="24"/>
          <w:szCs w:val="24"/>
        </w:rPr>
        <w:t xml:space="preserve">We </w:t>
      </w:r>
      <w:r w:rsidRPr="00E15159">
        <w:rPr>
          <w:rFonts w:ascii="Arial" w:hAnsi="Arial" w:cs="Arial"/>
          <w:sz w:val="24"/>
          <w:szCs w:val="24"/>
        </w:rPr>
        <w:t>are a CITB, Approved Training Organisation (ATO) for NVQs.</w:t>
      </w:r>
    </w:p>
    <w:p w:rsidR="00E15159" w:rsidRPr="00E15159" w:rsidRDefault="00E15159" w:rsidP="00E15159">
      <w:pPr>
        <w:pStyle w:val="Heading5"/>
        <w:shd w:val="clear" w:color="auto" w:fill="FFFFFF"/>
        <w:spacing w:line="360" w:lineRule="auto"/>
        <w:rPr>
          <w:rFonts w:ascii="Arial" w:hAnsi="Arial" w:cs="Arial"/>
          <w:b/>
          <w:color w:val="auto"/>
          <w:sz w:val="24"/>
          <w:szCs w:val="24"/>
        </w:rPr>
      </w:pPr>
      <w:r w:rsidRPr="00E15159">
        <w:rPr>
          <w:rFonts w:ascii="Arial" w:hAnsi="Arial" w:cs="Arial"/>
          <w:b/>
          <w:color w:val="auto"/>
          <w:sz w:val="24"/>
          <w:szCs w:val="24"/>
        </w:rPr>
        <w:t>What is a CITB ATO?</w:t>
      </w:r>
    </w:p>
    <w:p w:rsidR="00E15159" w:rsidRPr="00E15159" w:rsidRDefault="00E15159" w:rsidP="00E15159">
      <w:pPr>
        <w:shd w:val="clear" w:color="auto" w:fill="FFFFFF"/>
        <w:spacing w:line="360" w:lineRule="auto"/>
        <w:rPr>
          <w:rFonts w:ascii="Arial" w:hAnsi="Arial" w:cs="Arial"/>
          <w:sz w:val="24"/>
          <w:szCs w:val="24"/>
        </w:rPr>
      </w:pPr>
      <w:r w:rsidRPr="00E15159">
        <w:rPr>
          <w:rFonts w:ascii="Arial" w:hAnsi="Arial" w:cs="Arial"/>
          <w:sz w:val="24"/>
          <w:szCs w:val="24"/>
        </w:rPr>
        <w:t>A CITB ATO is an organisation that provides construction training courses and qualifications to a defined and industry-agreed tr</w:t>
      </w:r>
      <w:r w:rsidR="00BC11D1">
        <w:rPr>
          <w:rFonts w:ascii="Arial" w:hAnsi="Arial" w:cs="Arial"/>
          <w:sz w:val="24"/>
          <w:szCs w:val="24"/>
        </w:rPr>
        <w:t>aining standard. If your company is registered with the CITB they can claim an NVQ grant payment of £600.00.</w:t>
      </w:r>
    </w:p>
    <w:p w:rsidR="00E15159" w:rsidRPr="00BC11D1" w:rsidRDefault="00E15159" w:rsidP="00E15159">
      <w:pPr>
        <w:pStyle w:val="Heading5"/>
        <w:shd w:val="clear" w:color="auto" w:fill="FFFFFF"/>
        <w:spacing w:line="360" w:lineRule="auto"/>
        <w:rPr>
          <w:rFonts w:ascii="Arial" w:hAnsi="Arial" w:cs="Arial"/>
          <w:b/>
          <w:color w:val="auto"/>
          <w:sz w:val="24"/>
          <w:szCs w:val="24"/>
        </w:rPr>
      </w:pPr>
      <w:r w:rsidRPr="00BC11D1">
        <w:rPr>
          <w:rFonts w:ascii="Arial" w:hAnsi="Arial" w:cs="Arial"/>
          <w:b/>
          <w:color w:val="auto"/>
          <w:sz w:val="24"/>
          <w:szCs w:val="24"/>
        </w:rPr>
        <w:t>How do I claim my grant?</w:t>
      </w:r>
    </w:p>
    <w:p w:rsidR="00E15159" w:rsidRPr="00E15159" w:rsidRDefault="00E15159" w:rsidP="00E15159">
      <w:pPr>
        <w:pStyle w:val="NormalWeb"/>
        <w:shd w:val="clear" w:color="auto" w:fill="FFFFFF"/>
        <w:spacing w:before="0" w:beforeAutospacing="0" w:line="360" w:lineRule="auto"/>
        <w:rPr>
          <w:rFonts w:ascii="Arial" w:hAnsi="Arial" w:cs="Arial"/>
        </w:rPr>
      </w:pPr>
      <w:r w:rsidRPr="00E15159">
        <w:rPr>
          <w:rFonts w:ascii="Arial" w:hAnsi="Arial" w:cs="Arial"/>
        </w:rPr>
        <w:t>You can claim NVQ achievement grants if you’re an employer who is registered with CITB. This includes small employers (wage bill of less than £80k) who don’t have to pay the levy.</w:t>
      </w:r>
    </w:p>
    <w:p w:rsidR="00E15159" w:rsidRPr="00E15159" w:rsidRDefault="00E15159" w:rsidP="00E15159">
      <w:pPr>
        <w:pStyle w:val="NormalWeb"/>
        <w:shd w:val="clear" w:color="auto" w:fill="FFFFFF"/>
        <w:spacing w:before="0" w:beforeAutospacing="0" w:after="0" w:afterAutospacing="0" w:line="360" w:lineRule="auto"/>
        <w:rPr>
          <w:rFonts w:ascii="Arial" w:hAnsi="Arial" w:cs="Arial"/>
        </w:rPr>
      </w:pPr>
      <w:hyperlink r:id="rId8" w:tgtFrame="_blank" w:history="1">
        <w:r w:rsidRPr="00E15159">
          <w:rPr>
            <w:rStyle w:val="Hyperlink"/>
            <w:rFonts w:ascii="Arial" w:eastAsiaTheme="majorEastAsia" w:hAnsi="Arial" w:cs="Arial"/>
            <w:color w:val="auto"/>
          </w:rPr>
          <w:t>https://www.citb.co.uk/grant/new-grants-scheme-2018/grant-scheme-rules/</w:t>
        </w:r>
      </w:hyperlink>
    </w:p>
    <w:p w:rsidR="00E15159" w:rsidRPr="00E15159" w:rsidRDefault="00E15159" w:rsidP="00E15159">
      <w:pPr>
        <w:pStyle w:val="Heading2"/>
        <w:shd w:val="clear" w:color="auto" w:fill="FFFFFF"/>
        <w:spacing w:before="0" w:line="360" w:lineRule="auto"/>
        <w:rPr>
          <w:rFonts w:ascii="Arial" w:hAnsi="Arial" w:cs="Arial"/>
          <w:color w:val="auto"/>
          <w:sz w:val="24"/>
          <w:szCs w:val="24"/>
        </w:rPr>
      </w:pPr>
      <w:r w:rsidRPr="00E15159">
        <w:rPr>
          <w:rFonts w:ascii="Arial" w:hAnsi="Arial" w:cs="Arial"/>
          <w:color w:val="auto"/>
          <w:sz w:val="24"/>
          <w:szCs w:val="24"/>
        </w:rPr>
        <w:t>CSCS Card Information</w:t>
      </w:r>
    </w:p>
    <w:p w:rsidR="00E15159" w:rsidRPr="00E15159" w:rsidRDefault="00E15159" w:rsidP="00E15159">
      <w:pPr>
        <w:pStyle w:val="NormalWeb"/>
        <w:shd w:val="clear" w:color="auto" w:fill="FFFFFF"/>
        <w:spacing w:before="0" w:beforeAutospacing="0" w:line="360" w:lineRule="auto"/>
        <w:rPr>
          <w:rFonts w:ascii="Arial" w:hAnsi="Arial" w:cs="Arial"/>
        </w:rPr>
      </w:pPr>
      <w:r w:rsidRPr="00E15159">
        <w:rPr>
          <w:rFonts w:ascii="Arial" w:hAnsi="Arial" w:cs="Arial"/>
        </w:rPr>
        <w:t>You will apply directly to CSCS for your card after you receive your NVQ certificate through the post from us. Link below for more information:</w:t>
      </w:r>
    </w:p>
    <w:p w:rsidR="00E15159" w:rsidRPr="00E15159" w:rsidRDefault="00E15159" w:rsidP="00E15159">
      <w:pPr>
        <w:shd w:val="clear" w:color="auto" w:fill="FFFFFF"/>
        <w:spacing w:line="360" w:lineRule="auto"/>
        <w:rPr>
          <w:rFonts w:ascii="Arial" w:hAnsi="Arial" w:cs="Arial"/>
          <w:sz w:val="24"/>
          <w:szCs w:val="24"/>
        </w:rPr>
      </w:pPr>
      <w:hyperlink r:id="rId9" w:tgtFrame="_blank" w:history="1">
        <w:r w:rsidRPr="00E15159">
          <w:rPr>
            <w:rStyle w:val="Hyperlink"/>
            <w:rFonts w:ascii="Arial" w:hAnsi="Arial" w:cs="Arial"/>
            <w:color w:val="auto"/>
            <w:sz w:val="24"/>
            <w:szCs w:val="24"/>
          </w:rPr>
          <w:t>https://www.cscs.uk.com/applying-for-cards/</w:t>
        </w:r>
      </w:hyperlink>
    </w:p>
    <w:p w:rsidR="00E15159" w:rsidRPr="00E15159" w:rsidRDefault="00E15159" w:rsidP="00E15159">
      <w:pPr>
        <w:pStyle w:val="NormalWeb"/>
        <w:shd w:val="clear" w:color="auto" w:fill="FFFFFF"/>
        <w:spacing w:before="0" w:beforeAutospacing="0" w:line="360" w:lineRule="auto"/>
        <w:rPr>
          <w:rFonts w:ascii="Arial" w:hAnsi="Arial" w:cs="Arial"/>
        </w:rPr>
      </w:pPr>
      <w:r w:rsidRPr="00E15159">
        <w:rPr>
          <w:rStyle w:val="Strong"/>
          <w:rFonts w:ascii="Arial" w:eastAsiaTheme="majorEastAsia" w:hAnsi="Arial" w:cs="Arial"/>
          <w:u w:val="single"/>
        </w:rPr>
        <w:lastRenderedPageBreak/>
        <w:t>NVQ level 2 in Trowel Occupations: Qualification Structure</w:t>
      </w:r>
    </w:p>
    <w:p w:rsidR="00E15159" w:rsidRPr="00E15159" w:rsidRDefault="00E15159" w:rsidP="00E15159">
      <w:pPr>
        <w:pStyle w:val="NormalWeb"/>
        <w:shd w:val="clear" w:color="auto" w:fill="FFFFFF"/>
        <w:spacing w:before="0" w:beforeAutospacing="0" w:line="360" w:lineRule="auto"/>
        <w:rPr>
          <w:rFonts w:ascii="Arial" w:hAnsi="Arial" w:cs="Arial"/>
        </w:rPr>
      </w:pPr>
      <w:r w:rsidRPr="00E15159">
        <w:rPr>
          <w:rFonts w:ascii="Arial" w:hAnsi="Arial" w:cs="Arial"/>
        </w:rPr>
        <w:t>Mandatory Units:</w:t>
      </w:r>
    </w:p>
    <w:p w:rsidR="00E15159" w:rsidRPr="00E15159" w:rsidRDefault="00E15159" w:rsidP="00E15159">
      <w:pPr>
        <w:numPr>
          <w:ilvl w:val="0"/>
          <w:numId w:val="5"/>
        </w:numPr>
        <w:shd w:val="clear" w:color="auto" w:fill="FFFFFF"/>
        <w:spacing w:before="100" w:beforeAutospacing="1" w:after="100" w:afterAutospacing="1" w:line="360" w:lineRule="auto"/>
        <w:rPr>
          <w:rFonts w:ascii="Arial" w:hAnsi="Arial" w:cs="Arial"/>
          <w:sz w:val="24"/>
          <w:szCs w:val="24"/>
        </w:rPr>
      </w:pPr>
      <w:r w:rsidRPr="00E15159">
        <w:rPr>
          <w:rFonts w:ascii="Arial" w:hAnsi="Arial" w:cs="Arial"/>
          <w:sz w:val="24"/>
          <w:szCs w:val="24"/>
        </w:rPr>
        <w:t>Confirming to General Health, Safety and Welfare in the Workplace</w:t>
      </w:r>
    </w:p>
    <w:p w:rsidR="00E15159" w:rsidRPr="00E15159" w:rsidRDefault="00E15159" w:rsidP="00E15159">
      <w:pPr>
        <w:numPr>
          <w:ilvl w:val="0"/>
          <w:numId w:val="5"/>
        </w:numPr>
        <w:shd w:val="clear" w:color="auto" w:fill="FFFFFF"/>
        <w:spacing w:before="100" w:beforeAutospacing="1" w:after="100" w:afterAutospacing="1" w:line="360" w:lineRule="auto"/>
        <w:rPr>
          <w:rFonts w:ascii="Arial" w:hAnsi="Arial" w:cs="Arial"/>
          <w:sz w:val="24"/>
          <w:szCs w:val="24"/>
        </w:rPr>
      </w:pPr>
      <w:r w:rsidRPr="00E15159">
        <w:rPr>
          <w:rFonts w:ascii="Arial" w:hAnsi="Arial" w:cs="Arial"/>
          <w:sz w:val="24"/>
          <w:szCs w:val="24"/>
        </w:rPr>
        <w:t>Moving, Handling and Storing Resources in the Workplace</w:t>
      </w:r>
    </w:p>
    <w:p w:rsidR="00E15159" w:rsidRPr="00E15159" w:rsidRDefault="00E15159" w:rsidP="00E15159">
      <w:pPr>
        <w:numPr>
          <w:ilvl w:val="0"/>
          <w:numId w:val="5"/>
        </w:numPr>
        <w:shd w:val="clear" w:color="auto" w:fill="FFFFFF"/>
        <w:spacing w:before="100" w:beforeAutospacing="1" w:after="100" w:afterAutospacing="1" w:line="360" w:lineRule="auto"/>
        <w:rPr>
          <w:rFonts w:ascii="Arial" w:hAnsi="Arial" w:cs="Arial"/>
          <w:sz w:val="24"/>
          <w:szCs w:val="24"/>
        </w:rPr>
      </w:pPr>
      <w:r w:rsidRPr="00E15159">
        <w:rPr>
          <w:rFonts w:ascii="Arial" w:hAnsi="Arial" w:cs="Arial"/>
          <w:sz w:val="24"/>
          <w:szCs w:val="24"/>
        </w:rPr>
        <w:t>Erecting Masonry Structures in the Workplace</w:t>
      </w:r>
    </w:p>
    <w:p w:rsidR="00E15159" w:rsidRPr="00E15159" w:rsidRDefault="00E15159" w:rsidP="00E15159">
      <w:pPr>
        <w:numPr>
          <w:ilvl w:val="0"/>
          <w:numId w:val="5"/>
        </w:numPr>
        <w:shd w:val="clear" w:color="auto" w:fill="FFFFFF"/>
        <w:spacing w:before="100" w:beforeAutospacing="1" w:after="100" w:afterAutospacing="1" w:line="360" w:lineRule="auto"/>
        <w:rPr>
          <w:rFonts w:ascii="Arial" w:hAnsi="Arial" w:cs="Arial"/>
          <w:sz w:val="24"/>
          <w:szCs w:val="24"/>
        </w:rPr>
      </w:pPr>
      <w:r w:rsidRPr="00E15159">
        <w:rPr>
          <w:rFonts w:ascii="Arial" w:hAnsi="Arial" w:cs="Arial"/>
          <w:sz w:val="24"/>
          <w:szCs w:val="24"/>
        </w:rPr>
        <w:t>Setting Out Masonry Structures in the Workplace</w:t>
      </w:r>
    </w:p>
    <w:p w:rsidR="00E15159" w:rsidRPr="00E15159" w:rsidRDefault="00E15159" w:rsidP="00E15159">
      <w:pPr>
        <w:numPr>
          <w:ilvl w:val="0"/>
          <w:numId w:val="5"/>
        </w:numPr>
        <w:shd w:val="clear" w:color="auto" w:fill="FFFFFF"/>
        <w:spacing w:before="100" w:beforeAutospacing="1" w:after="100" w:afterAutospacing="1" w:line="360" w:lineRule="auto"/>
        <w:rPr>
          <w:rFonts w:ascii="Arial" w:hAnsi="Arial" w:cs="Arial"/>
          <w:sz w:val="24"/>
          <w:szCs w:val="24"/>
        </w:rPr>
      </w:pPr>
      <w:r w:rsidRPr="00E15159">
        <w:rPr>
          <w:rFonts w:ascii="Arial" w:hAnsi="Arial" w:cs="Arial"/>
          <w:sz w:val="24"/>
          <w:szCs w:val="24"/>
        </w:rPr>
        <w:t>Conforming to Productive Working Practices in the Workplace</w:t>
      </w:r>
    </w:p>
    <w:p w:rsidR="00E15159" w:rsidRPr="00E15159" w:rsidRDefault="00E15159" w:rsidP="00E15159">
      <w:pPr>
        <w:pStyle w:val="NormalWeb"/>
        <w:shd w:val="clear" w:color="auto" w:fill="FFFFFF"/>
        <w:spacing w:before="0" w:beforeAutospacing="0" w:line="360" w:lineRule="auto"/>
        <w:rPr>
          <w:rFonts w:ascii="Arial" w:hAnsi="Arial" w:cs="Arial"/>
        </w:rPr>
      </w:pPr>
      <w:r w:rsidRPr="00E15159">
        <w:rPr>
          <w:rFonts w:ascii="Arial" w:hAnsi="Arial" w:cs="Arial"/>
        </w:rPr>
        <w:t>Optional Units (select one unit from):</w:t>
      </w:r>
    </w:p>
    <w:p w:rsidR="00E15159" w:rsidRPr="00E15159" w:rsidRDefault="00E15159" w:rsidP="00E15159">
      <w:pPr>
        <w:numPr>
          <w:ilvl w:val="0"/>
          <w:numId w:val="6"/>
        </w:numPr>
        <w:shd w:val="clear" w:color="auto" w:fill="FFFFFF"/>
        <w:spacing w:before="100" w:beforeAutospacing="1" w:after="100" w:afterAutospacing="1" w:line="360" w:lineRule="auto"/>
        <w:rPr>
          <w:rFonts w:ascii="Arial" w:hAnsi="Arial" w:cs="Arial"/>
          <w:sz w:val="24"/>
          <w:szCs w:val="24"/>
        </w:rPr>
      </w:pPr>
      <w:r w:rsidRPr="00E15159">
        <w:rPr>
          <w:rFonts w:ascii="Arial" w:hAnsi="Arial" w:cs="Arial"/>
          <w:sz w:val="24"/>
          <w:szCs w:val="24"/>
        </w:rPr>
        <w:t>Erecting Masonry Cladding in the Workplace</w:t>
      </w:r>
    </w:p>
    <w:p w:rsidR="00E15159" w:rsidRPr="00E15159" w:rsidRDefault="00E15159" w:rsidP="00E15159">
      <w:pPr>
        <w:numPr>
          <w:ilvl w:val="0"/>
          <w:numId w:val="6"/>
        </w:numPr>
        <w:shd w:val="clear" w:color="auto" w:fill="FFFFFF"/>
        <w:spacing w:before="100" w:beforeAutospacing="1" w:after="100" w:afterAutospacing="1" w:line="360" w:lineRule="auto"/>
        <w:rPr>
          <w:rFonts w:ascii="Arial" w:hAnsi="Arial" w:cs="Arial"/>
          <w:sz w:val="24"/>
          <w:szCs w:val="24"/>
        </w:rPr>
      </w:pPr>
      <w:r w:rsidRPr="00E15159">
        <w:rPr>
          <w:rFonts w:ascii="Arial" w:hAnsi="Arial" w:cs="Arial"/>
          <w:sz w:val="24"/>
          <w:szCs w:val="24"/>
        </w:rPr>
        <w:t>Erecting Thin Joint Masonry Structures in the Workplace</w:t>
      </w:r>
    </w:p>
    <w:p w:rsidR="00E15159" w:rsidRPr="00E15159" w:rsidRDefault="00E15159" w:rsidP="00E15159">
      <w:pPr>
        <w:numPr>
          <w:ilvl w:val="0"/>
          <w:numId w:val="6"/>
        </w:numPr>
        <w:shd w:val="clear" w:color="auto" w:fill="FFFFFF"/>
        <w:spacing w:before="100" w:beforeAutospacing="1" w:after="100" w:afterAutospacing="1" w:line="360" w:lineRule="auto"/>
        <w:rPr>
          <w:rFonts w:ascii="Arial" w:hAnsi="Arial" w:cs="Arial"/>
          <w:sz w:val="24"/>
          <w:szCs w:val="24"/>
        </w:rPr>
      </w:pPr>
      <w:r w:rsidRPr="00E15159">
        <w:rPr>
          <w:rFonts w:ascii="Arial" w:hAnsi="Arial" w:cs="Arial"/>
          <w:sz w:val="24"/>
          <w:szCs w:val="24"/>
        </w:rPr>
        <w:t>Placing and Finishing Non-Specialist Concrete in the Workplace</w:t>
      </w:r>
    </w:p>
    <w:p w:rsidR="00E15159" w:rsidRPr="00E15159" w:rsidRDefault="00E15159" w:rsidP="00E15159">
      <w:pPr>
        <w:numPr>
          <w:ilvl w:val="0"/>
          <w:numId w:val="6"/>
        </w:numPr>
        <w:shd w:val="clear" w:color="auto" w:fill="FFFFFF"/>
        <w:spacing w:before="100" w:beforeAutospacing="1" w:after="100" w:afterAutospacing="1" w:line="360" w:lineRule="auto"/>
        <w:rPr>
          <w:rFonts w:ascii="Arial" w:hAnsi="Arial" w:cs="Arial"/>
          <w:sz w:val="24"/>
          <w:szCs w:val="24"/>
        </w:rPr>
      </w:pPr>
      <w:r w:rsidRPr="00E15159">
        <w:rPr>
          <w:rFonts w:ascii="Arial" w:hAnsi="Arial" w:cs="Arial"/>
          <w:sz w:val="24"/>
          <w:szCs w:val="24"/>
        </w:rPr>
        <w:t>Maintaining Slate and Tile Roofing in the Workplace</w:t>
      </w:r>
    </w:p>
    <w:p w:rsidR="00E15159" w:rsidRPr="00E15159" w:rsidRDefault="00E15159" w:rsidP="00E15159">
      <w:pPr>
        <w:numPr>
          <w:ilvl w:val="0"/>
          <w:numId w:val="6"/>
        </w:numPr>
        <w:shd w:val="clear" w:color="auto" w:fill="FFFFFF"/>
        <w:spacing w:before="100" w:beforeAutospacing="1" w:after="100" w:afterAutospacing="1" w:line="360" w:lineRule="auto"/>
        <w:rPr>
          <w:rFonts w:ascii="Arial" w:hAnsi="Arial" w:cs="Arial"/>
          <w:sz w:val="24"/>
          <w:szCs w:val="24"/>
        </w:rPr>
      </w:pPr>
      <w:r w:rsidRPr="00E15159">
        <w:rPr>
          <w:rFonts w:ascii="Arial" w:hAnsi="Arial" w:cs="Arial"/>
          <w:sz w:val="24"/>
          <w:szCs w:val="24"/>
        </w:rPr>
        <w:t>Repairing and Maintaining Masonry Structures in the Workplace</w:t>
      </w:r>
    </w:p>
    <w:p w:rsidR="00E15159" w:rsidRPr="00E15159" w:rsidRDefault="00E15159" w:rsidP="00E15159">
      <w:pPr>
        <w:numPr>
          <w:ilvl w:val="0"/>
          <w:numId w:val="6"/>
        </w:numPr>
        <w:shd w:val="clear" w:color="auto" w:fill="FFFFFF"/>
        <w:spacing w:before="100" w:beforeAutospacing="1" w:after="100" w:afterAutospacing="1" w:line="360" w:lineRule="auto"/>
        <w:rPr>
          <w:rFonts w:ascii="Arial" w:hAnsi="Arial" w:cs="Arial"/>
          <w:sz w:val="24"/>
          <w:szCs w:val="24"/>
        </w:rPr>
      </w:pPr>
      <w:r w:rsidRPr="00E15159">
        <w:rPr>
          <w:rFonts w:ascii="Arial" w:hAnsi="Arial" w:cs="Arial"/>
          <w:sz w:val="24"/>
          <w:szCs w:val="24"/>
        </w:rPr>
        <w:t>Producing Internal Solid Plastering Finishes in the Workplace</w:t>
      </w:r>
    </w:p>
    <w:p w:rsidR="00E15159" w:rsidRPr="00E15159" w:rsidRDefault="00E15159" w:rsidP="00E15159">
      <w:pPr>
        <w:numPr>
          <w:ilvl w:val="0"/>
          <w:numId w:val="6"/>
        </w:numPr>
        <w:shd w:val="clear" w:color="auto" w:fill="FFFFFF"/>
        <w:spacing w:before="100" w:beforeAutospacing="1" w:after="100" w:afterAutospacing="1" w:line="360" w:lineRule="auto"/>
        <w:rPr>
          <w:rFonts w:ascii="Arial" w:hAnsi="Arial" w:cs="Arial"/>
          <w:sz w:val="24"/>
          <w:szCs w:val="24"/>
        </w:rPr>
      </w:pPr>
      <w:r w:rsidRPr="00E15159">
        <w:rPr>
          <w:rFonts w:ascii="Arial" w:hAnsi="Arial" w:cs="Arial"/>
          <w:sz w:val="24"/>
          <w:szCs w:val="24"/>
        </w:rPr>
        <w:t>Producing External Solid Render Finishes in the Workplace</w:t>
      </w:r>
    </w:p>
    <w:p w:rsidR="00E15159" w:rsidRPr="00E15159" w:rsidRDefault="00E15159" w:rsidP="00E15159">
      <w:pPr>
        <w:numPr>
          <w:ilvl w:val="0"/>
          <w:numId w:val="6"/>
        </w:numPr>
        <w:shd w:val="clear" w:color="auto" w:fill="FFFFFF"/>
        <w:spacing w:before="100" w:beforeAutospacing="1" w:after="100" w:afterAutospacing="1" w:line="360" w:lineRule="auto"/>
        <w:rPr>
          <w:rFonts w:ascii="Arial" w:hAnsi="Arial" w:cs="Arial"/>
          <w:sz w:val="24"/>
          <w:szCs w:val="24"/>
        </w:rPr>
      </w:pPr>
      <w:r w:rsidRPr="00E15159">
        <w:rPr>
          <w:rFonts w:ascii="Arial" w:hAnsi="Arial" w:cs="Arial"/>
          <w:sz w:val="24"/>
          <w:szCs w:val="24"/>
        </w:rPr>
        <w:t>Installing Drainage in the Workplace</w:t>
      </w:r>
    </w:p>
    <w:p w:rsidR="00E15159" w:rsidRDefault="00E15159"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63631" w:rsidRDefault="00963631"/>
    <w:sectPr w:rsidR="00963631" w:rsidSect="00963631">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94A" w:rsidRDefault="0039494A" w:rsidP="002021AC">
      <w:pPr>
        <w:spacing w:after="0" w:line="240" w:lineRule="auto"/>
      </w:pPr>
      <w:r>
        <w:separator/>
      </w:r>
    </w:p>
  </w:endnote>
  <w:endnote w:type="continuationSeparator" w:id="0">
    <w:p w:rsidR="0039494A" w:rsidRDefault="0039494A" w:rsidP="00202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94A" w:rsidRDefault="0039494A" w:rsidP="002021AC">
      <w:pPr>
        <w:spacing w:after="0" w:line="240" w:lineRule="auto"/>
      </w:pPr>
      <w:r>
        <w:separator/>
      </w:r>
    </w:p>
  </w:footnote>
  <w:footnote w:type="continuationSeparator" w:id="0">
    <w:p w:rsidR="0039494A" w:rsidRDefault="0039494A" w:rsidP="00202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AC" w:rsidRDefault="002021AC">
    <w:pPr>
      <w:pStyle w:val="Header"/>
    </w:pPr>
    <w:r w:rsidRPr="002021AC">
      <w:rPr>
        <w:noProof/>
        <w:lang w:eastAsia="en-GB" w:bidi="ar-SA"/>
      </w:rPr>
      <w:drawing>
        <wp:inline distT="0" distB="0" distL="0" distR="0">
          <wp:extent cx="1600200" cy="1000125"/>
          <wp:effectExtent l="19050" t="0" r="0" b="0"/>
          <wp:docPr id="3"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1602258" cy="1001411"/>
                  </a:xfrm>
                  <a:prstGeom prst="rect">
                    <a:avLst/>
                  </a:prstGeom>
                </pic:spPr>
              </pic:pic>
            </a:graphicData>
          </a:graphic>
        </wp:inline>
      </w:drawing>
    </w:r>
  </w:p>
  <w:p w:rsidR="002021AC" w:rsidRDefault="00202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0D0"/>
    <w:multiLevelType w:val="multilevel"/>
    <w:tmpl w:val="C4F0B07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F1E32"/>
    <w:multiLevelType w:val="multilevel"/>
    <w:tmpl w:val="2EEA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029B1"/>
    <w:multiLevelType w:val="multilevel"/>
    <w:tmpl w:val="42341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311AF"/>
    <w:multiLevelType w:val="multilevel"/>
    <w:tmpl w:val="23E2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6F3F95"/>
    <w:multiLevelType w:val="multilevel"/>
    <w:tmpl w:val="D83E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B07F65"/>
    <w:multiLevelType w:val="multilevel"/>
    <w:tmpl w:val="453C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248D"/>
    <w:rsid w:val="00075BB2"/>
    <w:rsid w:val="000F3A28"/>
    <w:rsid w:val="002021AC"/>
    <w:rsid w:val="002E0DA9"/>
    <w:rsid w:val="00381FCE"/>
    <w:rsid w:val="0039494A"/>
    <w:rsid w:val="004B06D8"/>
    <w:rsid w:val="00606D03"/>
    <w:rsid w:val="00963631"/>
    <w:rsid w:val="0099248D"/>
    <w:rsid w:val="00A70FB5"/>
    <w:rsid w:val="00AA15A2"/>
    <w:rsid w:val="00BC11D1"/>
    <w:rsid w:val="00BF3DC9"/>
    <w:rsid w:val="00D72B44"/>
    <w:rsid w:val="00E010DC"/>
    <w:rsid w:val="00E029DA"/>
    <w:rsid w:val="00E037AD"/>
    <w:rsid w:val="00E15159"/>
    <w:rsid w:val="00E46105"/>
    <w:rsid w:val="00E82F04"/>
    <w:rsid w:val="00F06227"/>
    <w:rsid w:val="00F07BF2"/>
    <w:rsid w:val="00F724BA"/>
    <w:rsid w:val="00F733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A2"/>
    <w:rPr>
      <w:lang w:val="en-GB"/>
    </w:rPr>
  </w:style>
  <w:style w:type="paragraph" w:styleId="Heading1">
    <w:name w:val="heading 1"/>
    <w:basedOn w:val="Normal"/>
    <w:next w:val="Normal"/>
    <w:link w:val="Heading1Char"/>
    <w:uiPriority w:val="9"/>
    <w:qFormat/>
    <w:rsid w:val="00AA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5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15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15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5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5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5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15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15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15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A15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A15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A15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15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AA1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5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15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15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15A2"/>
    <w:rPr>
      <w:b/>
      <w:bCs/>
    </w:rPr>
  </w:style>
  <w:style w:type="character" w:styleId="Emphasis">
    <w:name w:val="Emphasis"/>
    <w:basedOn w:val="DefaultParagraphFont"/>
    <w:uiPriority w:val="20"/>
    <w:qFormat/>
    <w:rsid w:val="00AA15A2"/>
    <w:rPr>
      <w:i/>
      <w:iCs/>
    </w:rPr>
  </w:style>
  <w:style w:type="paragraph" w:styleId="NoSpacing">
    <w:name w:val="No Spacing"/>
    <w:uiPriority w:val="1"/>
    <w:qFormat/>
    <w:rsid w:val="00AA15A2"/>
    <w:pPr>
      <w:spacing w:after="0" w:line="240" w:lineRule="auto"/>
    </w:pPr>
  </w:style>
  <w:style w:type="paragraph" w:styleId="ListParagraph">
    <w:name w:val="List Paragraph"/>
    <w:basedOn w:val="Normal"/>
    <w:uiPriority w:val="34"/>
    <w:qFormat/>
    <w:rsid w:val="00AA15A2"/>
    <w:pPr>
      <w:ind w:left="720"/>
      <w:contextualSpacing/>
    </w:pPr>
  </w:style>
  <w:style w:type="paragraph" w:styleId="Quote">
    <w:name w:val="Quote"/>
    <w:basedOn w:val="Normal"/>
    <w:next w:val="Normal"/>
    <w:link w:val="QuoteChar"/>
    <w:uiPriority w:val="29"/>
    <w:qFormat/>
    <w:rsid w:val="00AA15A2"/>
    <w:rPr>
      <w:i/>
      <w:iCs/>
      <w:color w:val="000000" w:themeColor="text1"/>
    </w:rPr>
  </w:style>
  <w:style w:type="character" w:customStyle="1" w:styleId="QuoteChar">
    <w:name w:val="Quote Char"/>
    <w:basedOn w:val="DefaultParagraphFont"/>
    <w:link w:val="Quote"/>
    <w:uiPriority w:val="29"/>
    <w:rsid w:val="00AA15A2"/>
    <w:rPr>
      <w:i/>
      <w:iCs/>
      <w:color w:val="000000" w:themeColor="text1"/>
    </w:rPr>
  </w:style>
  <w:style w:type="paragraph" w:styleId="IntenseQuote">
    <w:name w:val="Intense Quote"/>
    <w:basedOn w:val="Normal"/>
    <w:next w:val="Normal"/>
    <w:link w:val="IntenseQuoteChar"/>
    <w:uiPriority w:val="30"/>
    <w:qFormat/>
    <w:rsid w:val="00AA1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5A2"/>
    <w:rPr>
      <w:b/>
      <w:bCs/>
      <w:i/>
      <w:iCs/>
      <w:color w:val="4F81BD" w:themeColor="accent1"/>
    </w:rPr>
  </w:style>
  <w:style w:type="character" w:styleId="SubtleEmphasis">
    <w:name w:val="Subtle Emphasis"/>
    <w:basedOn w:val="DefaultParagraphFont"/>
    <w:uiPriority w:val="19"/>
    <w:qFormat/>
    <w:rsid w:val="00AA15A2"/>
    <w:rPr>
      <w:i/>
      <w:iCs/>
      <w:color w:val="808080" w:themeColor="text1" w:themeTint="7F"/>
    </w:rPr>
  </w:style>
  <w:style w:type="character" w:styleId="IntenseEmphasis">
    <w:name w:val="Intense Emphasis"/>
    <w:basedOn w:val="DefaultParagraphFont"/>
    <w:uiPriority w:val="21"/>
    <w:qFormat/>
    <w:rsid w:val="00AA15A2"/>
    <w:rPr>
      <w:b/>
      <w:bCs/>
      <w:i/>
      <w:iCs/>
      <w:color w:val="4F81BD" w:themeColor="accent1"/>
    </w:rPr>
  </w:style>
  <w:style w:type="character" w:styleId="SubtleReference">
    <w:name w:val="Subtle Reference"/>
    <w:basedOn w:val="DefaultParagraphFont"/>
    <w:uiPriority w:val="31"/>
    <w:qFormat/>
    <w:rsid w:val="00AA15A2"/>
    <w:rPr>
      <w:smallCaps/>
      <w:color w:val="C0504D" w:themeColor="accent2"/>
      <w:u w:val="single"/>
    </w:rPr>
  </w:style>
  <w:style w:type="character" w:styleId="IntenseReference">
    <w:name w:val="Intense Reference"/>
    <w:basedOn w:val="DefaultParagraphFont"/>
    <w:uiPriority w:val="32"/>
    <w:qFormat/>
    <w:rsid w:val="00AA15A2"/>
    <w:rPr>
      <w:b/>
      <w:bCs/>
      <w:smallCaps/>
      <w:color w:val="C0504D" w:themeColor="accent2"/>
      <w:spacing w:val="5"/>
      <w:u w:val="single"/>
    </w:rPr>
  </w:style>
  <w:style w:type="character" w:styleId="BookTitle">
    <w:name w:val="Book Title"/>
    <w:basedOn w:val="DefaultParagraphFont"/>
    <w:uiPriority w:val="33"/>
    <w:qFormat/>
    <w:rsid w:val="00AA15A2"/>
    <w:rPr>
      <w:b/>
      <w:bCs/>
      <w:smallCaps/>
      <w:spacing w:val="5"/>
    </w:rPr>
  </w:style>
  <w:style w:type="paragraph" w:styleId="TOCHeading">
    <w:name w:val="TOC Heading"/>
    <w:basedOn w:val="Heading1"/>
    <w:next w:val="Normal"/>
    <w:uiPriority w:val="39"/>
    <w:semiHidden/>
    <w:unhideWhenUsed/>
    <w:qFormat/>
    <w:rsid w:val="00AA15A2"/>
    <w:pPr>
      <w:outlineLvl w:val="9"/>
    </w:pPr>
  </w:style>
  <w:style w:type="paragraph" w:styleId="NormalWeb">
    <w:name w:val="Normal (Web)"/>
    <w:basedOn w:val="Normal"/>
    <w:uiPriority w:val="99"/>
    <w:unhideWhenUsed/>
    <w:rsid w:val="0099248D"/>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semiHidden/>
    <w:unhideWhenUsed/>
    <w:rsid w:val="0099248D"/>
    <w:rPr>
      <w:color w:val="0000FF"/>
      <w:u w:val="single"/>
    </w:rPr>
  </w:style>
  <w:style w:type="paragraph" w:styleId="Header">
    <w:name w:val="header"/>
    <w:basedOn w:val="Normal"/>
    <w:link w:val="HeaderChar"/>
    <w:uiPriority w:val="99"/>
    <w:unhideWhenUsed/>
    <w:rsid w:val="00202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1AC"/>
    <w:rPr>
      <w:lang w:val="en-GB"/>
    </w:rPr>
  </w:style>
  <w:style w:type="paragraph" w:styleId="Footer">
    <w:name w:val="footer"/>
    <w:basedOn w:val="Normal"/>
    <w:link w:val="FooterChar"/>
    <w:uiPriority w:val="99"/>
    <w:semiHidden/>
    <w:unhideWhenUsed/>
    <w:rsid w:val="002021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21AC"/>
    <w:rPr>
      <w:lang w:val="en-GB"/>
    </w:rPr>
  </w:style>
  <w:style w:type="paragraph" w:styleId="BalloonText">
    <w:name w:val="Balloon Text"/>
    <w:basedOn w:val="Normal"/>
    <w:link w:val="BalloonTextChar"/>
    <w:uiPriority w:val="99"/>
    <w:semiHidden/>
    <w:unhideWhenUsed/>
    <w:rsid w:val="0020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A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84200050">
      <w:bodyDiv w:val="1"/>
      <w:marLeft w:val="0"/>
      <w:marRight w:val="0"/>
      <w:marTop w:val="0"/>
      <w:marBottom w:val="0"/>
      <w:divBdr>
        <w:top w:val="none" w:sz="0" w:space="0" w:color="auto"/>
        <w:left w:val="none" w:sz="0" w:space="0" w:color="auto"/>
        <w:bottom w:val="none" w:sz="0" w:space="0" w:color="auto"/>
        <w:right w:val="none" w:sz="0" w:space="0" w:color="auto"/>
      </w:divBdr>
      <w:divsChild>
        <w:div w:id="660549867">
          <w:marLeft w:val="0"/>
          <w:marRight w:val="0"/>
          <w:marTop w:val="0"/>
          <w:marBottom w:val="0"/>
          <w:divBdr>
            <w:top w:val="none" w:sz="0" w:space="0" w:color="auto"/>
            <w:left w:val="none" w:sz="0" w:space="0" w:color="auto"/>
            <w:bottom w:val="single" w:sz="6" w:space="0" w:color="DEE2E6"/>
            <w:right w:val="none" w:sz="0" w:space="0" w:color="auto"/>
          </w:divBdr>
        </w:div>
        <w:div w:id="1304239871">
          <w:marLeft w:val="0"/>
          <w:marRight w:val="0"/>
          <w:marTop w:val="0"/>
          <w:marBottom w:val="0"/>
          <w:divBdr>
            <w:top w:val="none" w:sz="0" w:space="0" w:color="auto"/>
            <w:left w:val="none" w:sz="0" w:space="0" w:color="auto"/>
            <w:bottom w:val="single" w:sz="6" w:space="0" w:color="DEE2E6"/>
            <w:right w:val="none" w:sz="0" w:space="0" w:color="auto"/>
          </w:divBdr>
        </w:div>
        <w:div w:id="449783598">
          <w:marLeft w:val="0"/>
          <w:marRight w:val="0"/>
          <w:marTop w:val="0"/>
          <w:marBottom w:val="0"/>
          <w:divBdr>
            <w:top w:val="none" w:sz="0" w:space="0" w:color="auto"/>
            <w:left w:val="none" w:sz="0" w:space="0" w:color="auto"/>
            <w:bottom w:val="single" w:sz="6" w:space="0" w:color="DEE2E6"/>
            <w:right w:val="none" w:sz="0" w:space="0" w:color="auto"/>
          </w:divBdr>
        </w:div>
        <w:div w:id="768622576">
          <w:marLeft w:val="0"/>
          <w:marRight w:val="0"/>
          <w:marTop w:val="0"/>
          <w:marBottom w:val="0"/>
          <w:divBdr>
            <w:top w:val="none" w:sz="0" w:space="0" w:color="auto"/>
            <w:left w:val="none" w:sz="0" w:space="0" w:color="auto"/>
            <w:bottom w:val="single" w:sz="6" w:space="0" w:color="DEE2E6"/>
            <w:right w:val="none" w:sz="0" w:space="0" w:color="auto"/>
          </w:divBdr>
        </w:div>
        <w:div w:id="1987002299">
          <w:marLeft w:val="0"/>
          <w:marRight w:val="0"/>
          <w:marTop w:val="0"/>
          <w:marBottom w:val="0"/>
          <w:divBdr>
            <w:top w:val="none" w:sz="0" w:space="0" w:color="auto"/>
            <w:left w:val="none" w:sz="0" w:space="0" w:color="auto"/>
            <w:bottom w:val="single" w:sz="6" w:space="0" w:color="DEE2E6"/>
            <w:right w:val="none" w:sz="0" w:space="0" w:color="auto"/>
          </w:divBdr>
        </w:div>
        <w:div w:id="354890004">
          <w:marLeft w:val="0"/>
          <w:marRight w:val="0"/>
          <w:marTop w:val="0"/>
          <w:marBottom w:val="0"/>
          <w:divBdr>
            <w:top w:val="none" w:sz="0" w:space="0" w:color="auto"/>
            <w:left w:val="none" w:sz="0" w:space="0" w:color="auto"/>
            <w:bottom w:val="single" w:sz="6" w:space="0" w:color="DEE2E6"/>
            <w:right w:val="none" w:sz="0" w:space="0" w:color="auto"/>
          </w:divBdr>
        </w:div>
        <w:div w:id="1614285735">
          <w:marLeft w:val="0"/>
          <w:marRight w:val="0"/>
          <w:marTop w:val="0"/>
          <w:marBottom w:val="0"/>
          <w:divBdr>
            <w:top w:val="none" w:sz="0" w:space="0" w:color="auto"/>
            <w:left w:val="none" w:sz="0" w:space="0" w:color="auto"/>
            <w:bottom w:val="single" w:sz="6" w:space="0" w:color="DEE2E6"/>
            <w:right w:val="none" w:sz="0" w:space="0" w:color="auto"/>
          </w:divBdr>
        </w:div>
        <w:div w:id="1182285259">
          <w:marLeft w:val="0"/>
          <w:marRight w:val="0"/>
          <w:marTop w:val="0"/>
          <w:marBottom w:val="0"/>
          <w:divBdr>
            <w:top w:val="none" w:sz="0" w:space="0" w:color="auto"/>
            <w:left w:val="none" w:sz="0" w:space="0" w:color="auto"/>
            <w:bottom w:val="single" w:sz="2" w:space="0" w:color="FFFFFF"/>
            <w:right w:val="none" w:sz="0" w:space="0" w:color="auto"/>
          </w:divBdr>
        </w:div>
      </w:divsChild>
    </w:div>
    <w:div w:id="1087115974">
      <w:bodyDiv w:val="1"/>
      <w:marLeft w:val="0"/>
      <w:marRight w:val="0"/>
      <w:marTop w:val="0"/>
      <w:marBottom w:val="0"/>
      <w:divBdr>
        <w:top w:val="none" w:sz="0" w:space="0" w:color="auto"/>
        <w:left w:val="none" w:sz="0" w:space="0" w:color="auto"/>
        <w:bottom w:val="none" w:sz="0" w:space="0" w:color="auto"/>
        <w:right w:val="none" w:sz="0" w:space="0" w:color="auto"/>
      </w:divBdr>
      <w:divsChild>
        <w:div w:id="1790273198">
          <w:marLeft w:val="0"/>
          <w:marRight w:val="0"/>
          <w:marTop w:val="0"/>
          <w:marBottom w:val="0"/>
          <w:divBdr>
            <w:top w:val="none" w:sz="0" w:space="0" w:color="auto"/>
            <w:left w:val="none" w:sz="0" w:space="0" w:color="auto"/>
            <w:bottom w:val="single" w:sz="6" w:space="0" w:color="DEE2E6"/>
            <w:right w:val="none" w:sz="0" w:space="0" w:color="auto"/>
          </w:divBdr>
        </w:div>
        <w:div w:id="1358699050">
          <w:marLeft w:val="0"/>
          <w:marRight w:val="0"/>
          <w:marTop w:val="0"/>
          <w:marBottom w:val="0"/>
          <w:divBdr>
            <w:top w:val="none" w:sz="0" w:space="0" w:color="auto"/>
            <w:left w:val="none" w:sz="0" w:space="0" w:color="auto"/>
            <w:bottom w:val="single" w:sz="6" w:space="0" w:color="DEE2E6"/>
            <w:right w:val="none" w:sz="0" w:space="0" w:color="auto"/>
          </w:divBdr>
        </w:div>
        <w:div w:id="1158232142">
          <w:marLeft w:val="0"/>
          <w:marRight w:val="0"/>
          <w:marTop w:val="0"/>
          <w:marBottom w:val="0"/>
          <w:divBdr>
            <w:top w:val="none" w:sz="0" w:space="0" w:color="auto"/>
            <w:left w:val="none" w:sz="0" w:space="0" w:color="auto"/>
            <w:bottom w:val="single" w:sz="6" w:space="0" w:color="DEE2E6"/>
            <w:right w:val="none" w:sz="0" w:space="0" w:color="auto"/>
          </w:divBdr>
        </w:div>
        <w:div w:id="838156608">
          <w:marLeft w:val="0"/>
          <w:marRight w:val="0"/>
          <w:marTop w:val="0"/>
          <w:marBottom w:val="0"/>
          <w:divBdr>
            <w:top w:val="none" w:sz="0" w:space="0" w:color="auto"/>
            <w:left w:val="none" w:sz="0" w:space="0" w:color="auto"/>
            <w:bottom w:val="single" w:sz="6" w:space="0" w:color="DEE2E6"/>
            <w:right w:val="none" w:sz="0" w:space="0" w:color="auto"/>
          </w:divBdr>
        </w:div>
        <w:div w:id="1241521707">
          <w:marLeft w:val="0"/>
          <w:marRight w:val="0"/>
          <w:marTop w:val="0"/>
          <w:marBottom w:val="0"/>
          <w:divBdr>
            <w:top w:val="none" w:sz="0" w:space="0" w:color="auto"/>
            <w:left w:val="none" w:sz="0" w:space="0" w:color="auto"/>
            <w:bottom w:val="single" w:sz="6" w:space="0" w:color="DEE2E6"/>
            <w:right w:val="none" w:sz="0" w:space="0" w:color="auto"/>
          </w:divBdr>
        </w:div>
        <w:div w:id="1794204849">
          <w:marLeft w:val="0"/>
          <w:marRight w:val="0"/>
          <w:marTop w:val="0"/>
          <w:marBottom w:val="0"/>
          <w:divBdr>
            <w:top w:val="none" w:sz="0" w:space="0" w:color="auto"/>
            <w:left w:val="none" w:sz="0" w:space="0" w:color="auto"/>
            <w:bottom w:val="single" w:sz="6" w:space="0" w:color="DEE2E6"/>
            <w:right w:val="none" w:sz="0" w:space="0" w:color="auto"/>
          </w:divBdr>
        </w:div>
        <w:div w:id="280768646">
          <w:marLeft w:val="0"/>
          <w:marRight w:val="0"/>
          <w:marTop w:val="0"/>
          <w:marBottom w:val="0"/>
          <w:divBdr>
            <w:top w:val="none" w:sz="0" w:space="0" w:color="auto"/>
            <w:left w:val="none" w:sz="0" w:space="0" w:color="auto"/>
            <w:bottom w:val="single" w:sz="6" w:space="0" w:color="DEE2E6"/>
            <w:right w:val="none" w:sz="0" w:space="0" w:color="auto"/>
          </w:divBdr>
        </w:div>
        <w:div w:id="1479030586">
          <w:marLeft w:val="0"/>
          <w:marRight w:val="0"/>
          <w:marTop w:val="0"/>
          <w:marBottom w:val="0"/>
          <w:divBdr>
            <w:top w:val="none" w:sz="0" w:space="0" w:color="auto"/>
            <w:left w:val="none" w:sz="0" w:space="0" w:color="auto"/>
            <w:bottom w:val="single" w:sz="2" w:space="0" w:color="FFFFFF"/>
            <w:right w:val="none" w:sz="0" w:space="0" w:color="auto"/>
          </w:divBdr>
        </w:div>
      </w:divsChild>
    </w:div>
    <w:div w:id="1188833874">
      <w:bodyDiv w:val="1"/>
      <w:marLeft w:val="0"/>
      <w:marRight w:val="0"/>
      <w:marTop w:val="0"/>
      <w:marBottom w:val="0"/>
      <w:divBdr>
        <w:top w:val="none" w:sz="0" w:space="0" w:color="auto"/>
        <w:left w:val="none" w:sz="0" w:space="0" w:color="auto"/>
        <w:bottom w:val="none" w:sz="0" w:space="0" w:color="auto"/>
        <w:right w:val="none" w:sz="0" w:space="0" w:color="auto"/>
      </w:divBdr>
    </w:div>
    <w:div w:id="1464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b.co.uk/grant/new-grants-scheme-2018/grant-scheme-rules/" TargetMode="External"/><Relationship Id="rId3" Type="http://schemas.openxmlformats.org/officeDocument/2006/relationships/settings" Target="settings.xml"/><Relationship Id="rId7" Type="http://schemas.openxmlformats.org/officeDocument/2006/relationships/hyperlink" Target="https://www.cscs.uk.com/card-type/mana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scs.uk.com/applying-for-c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Mid-Kent College of H &amp; FE</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2019-06-17T15:09:00Z</cp:lastPrinted>
  <dcterms:created xsi:type="dcterms:W3CDTF">2019-07-25T09:04:00Z</dcterms:created>
  <dcterms:modified xsi:type="dcterms:W3CDTF">2019-07-25T09:04:00Z</dcterms:modified>
</cp:coreProperties>
</file>