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7BA" w:rsidRPr="00774D6E" w:rsidRDefault="00774D6E">
      <w:pPr>
        <w:rPr>
          <w:b/>
          <w:color w:val="000000" w:themeColor="text1"/>
          <w:sz w:val="28"/>
          <w:szCs w:val="28"/>
        </w:rPr>
      </w:pPr>
      <w:r w:rsidRPr="00774D6E">
        <w:rPr>
          <w:b/>
          <w:color w:val="000000" w:themeColor="text1"/>
          <w:sz w:val="28"/>
          <w:szCs w:val="28"/>
        </w:rPr>
        <w:t>Retirement Accounts</w:t>
      </w:r>
    </w:p>
    <w:p w:rsidR="00774D6E" w:rsidRPr="00774D6E" w:rsidRDefault="00774D6E" w:rsidP="00774D6E">
      <w:pPr>
        <w:pStyle w:val="NormalWeb"/>
        <w:numPr>
          <w:ilvl w:val="0"/>
          <w:numId w:val="1"/>
        </w:numPr>
        <w:shd w:val="clear" w:color="auto" w:fill="F8FCFF"/>
        <w:rPr>
          <w:color w:val="000000" w:themeColor="text1"/>
          <w:lang/>
        </w:rPr>
      </w:pPr>
      <w:r w:rsidRPr="00774D6E">
        <w:rPr>
          <w:b/>
        </w:rPr>
        <w:t>401(k) -</w:t>
      </w:r>
      <w:r>
        <w:t xml:space="preserve"> </w:t>
      </w:r>
      <w:r w:rsidRPr="00774D6E">
        <w:rPr>
          <w:color w:val="000000" w:themeColor="text1"/>
          <w:lang/>
        </w:rPr>
        <w:t xml:space="preserve">In the </w:t>
      </w:r>
      <w:hyperlink r:id="rId5" w:tooltip="United States of America" w:history="1">
        <w:r w:rsidRPr="00774D6E">
          <w:rPr>
            <w:rStyle w:val="Hyperlink"/>
            <w:color w:val="000000" w:themeColor="text1"/>
            <w:u w:val="none"/>
            <w:lang/>
          </w:rPr>
          <w:t>United States of America</w:t>
        </w:r>
      </w:hyperlink>
      <w:r w:rsidRPr="00774D6E">
        <w:rPr>
          <w:color w:val="000000" w:themeColor="text1"/>
          <w:lang/>
        </w:rPr>
        <w:t xml:space="preserve">, a </w:t>
      </w:r>
      <w:r w:rsidRPr="00774D6E">
        <w:rPr>
          <w:bCs/>
          <w:color w:val="000000" w:themeColor="text1"/>
          <w:lang/>
        </w:rPr>
        <w:t>401(k)</w:t>
      </w:r>
      <w:r w:rsidRPr="00774D6E">
        <w:rPr>
          <w:color w:val="000000" w:themeColor="text1"/>
          <w:lang/>
        </w:rPr>
        <w:t xml:space="preserve"> plan allows a worker to save for retirement and have the savings invested while deferring current </w:t>
      </w:r>
      <w:hyperlink r:id="rId6" w:tooltip="Income tax" w:history="1">
        <w:r w:rsidRPr="00774D6E">
          <w:rPr>
            <w:rStyle w:val="Hyperlink"/>
            <w:color w:val="000000" w:themeColor="text1"/>
            <w:u w:val="none"/>
            <w:lang/>
          </w:rPr>
          <w:t>income taxes</w:t>
        </w:r>
      </w:hyperlink>
      <w:r w:rsidRPr="00774D6E">
        <w:rPr>
          <w:color w:val="000000" w:themeColor="text1"/>
          <w:lang/>
        </w:rPr>
        <w:t xml:space="preserve"> on the saved money and earnings until withdrawal. The </w:t>
      </w:r>
      <w:hyperlink r:id="rId7" w:tooltip="Employee" w:history="1">
        <w:r w:rsidRPr="00774D6E">
          <w:rPr>
            <w:rStyle w:val="Hyperlink"/>
            <w:color w:val="000000" w:themeColor="text1"/>
            <w:u w:val="none"/>
            <w:lang/>
          </w:rPr>
          <w:t>employee</w:t>
        </w:r>
      </w:hyperlink>
      <w:r w:rsidRPr="00774D6E">
        <w:rPr>
          <w:color w:val="000000" w:themeColor="text1"/>
          <w:lang/>
        </w:rPr>
        <w:t xml:space="preserve"> elects to have a portion of his or her </w:t>
      </w:r>
      <w:hyperlink r:id="rId8" w:tooltip="Wages" w:history="1">
        <w:r w:rsidRPr="00774D6E">
          <w:rPr>
            <w:rStyle w:val="Hyperlink"/>
            <w:color w:val="000000" w:themeColor="text1"/>
            <w:u w:val="none"/>
            <w:lang/>
          </w:rPr>
          <w:t>wages</w:t>
        </w:r>
      </w:hyperlink>
      <w:r w:rsidRPr="00774D6E">
        <w:rPr>
          <w:color w:val="000000" w:themeColor="text1"/>
          <w:lang/>
        </w:rPr>
        <w:t xml:space="preserve"> paid directly, or "deferred," into his or her 401(k) account (i.e., is a pension). This deferment is also known as a "contribution".</w:t>
      </w:r>
    </w:p>
    <w:p w:rsidR="00774D6E" w:rsidRPr="00774D6E" w:rsidRDefault="00774D6E" w:rsidP="00774D6E">
      <w:pPr>
        <w:pStyle w:val="NormalWeb"/>
        <w:shd w:val="clear" w:color="auto" w:fill="F8FCFF"/>
        <w:ind w:left="720"/>
        <w:rPr>
          <w:color w:val="000000" w:themeColor="text1"/>
          <w:lang/>
        </w:rPr>
      </w:pPr>
      <w:r w:rsidRPr="00774D6E">
        <w:rPr>
          <w:color w:val="000000" w:themeColor="text1"/>
          <w:lang/>
        </w:rPr>
        <w:t xml:space="preserve">401(k) plans are mainly employer sponsored plans; the </w:t>
      </w:r>
      <w:r w:rsidRPr="00774D6E">
        <w:rPr>
          <w:i/>
          <w:iCs/>
          <w:color w:val="000000" w:themeColor="text1"/>
          <w:lang/>
        </w:rPr>
        <w:t>employer</w:t>
      </w:r>
      <w:r w:rsidRPr="00774D6E">
        <w:rPr>
          <w:color w:val="000000" w:themeColor="text1"/>
          <w:lang/>
        </w:rPr>
        <w:t xml:space="preserve"> can, as a benefit to the employee, optionally choose to "match" part or all of the employee's contribution by depositing additional amounts in the employee's 401(k) account or simply offer a profit sharing contribution to the plan. In </w:t>
      </w:r>
      <w:r w:rsidRPr="00774D6E">
        <w:rPr>
          <w:i/>
          <w:iCs/>
          <w:color w:val="000000" w:themeColor="text1"/>
          <w:lang/>
        </w:rPr>
        <w:t>participant-directed</w:t>
      </w:r>
      <w:r w:rsidRPr="00774D6E">
        <w:rPr>
          <w:color w:val="000000" w:themeColor="text1"/>
          <w:lang/>
        </w:rPr>
        <w:t xml:space="preserve"> plans (the most common option), the employee can select from a number of investment options, usually an assortment of </w:t>
      </w:r>
      <w:hyperlink r:id="rId9" w:tooltip="Mutual fund" w:history="1">
        <w:r w:rsidRPr="00774D6E">
          <w:rPr>
            <w:rStyle w:val="Hyperlink"/>
            <w:color w:val="000000" w:themeColor="text1"/>
            <w:u w:val="none"/>
            <w:lang/>
          </w:rPr>
          <w:t>mutual funds</w:t>
        </w:r>
      </w:hyperlink>
      <w:r w:rsidRPr="00774D6E">
        <w:rPr>
          <w:color w:val="000000" w:themeColor="text1"/>
          <w:lang/>
        </w:rPr>
        <w:t xml:space="preserve"> that emphasize </w:t>
      </w:r>
      <w:hyperlink r:id="rId10" w:tooltip="Stock" w:history="1">
        <w:r w:rsidRPr="00774D6E">
          <w:rPr>
            <w:rStyle w:val="Hyperlink"/>
            <w:color w:val="000000" w:themeColor="text1"/>
            <w:u w:val="none"/>
            <w:lang/>
          </w:rPr>
          <w:t>stocks</w:t>
        </w:r>
      </w:hyperlink>
      <w:r w:rsidRPr="00774D6E">
        <w:rPr>
          <w:color w:val="000000" w:themeColor="text1"/>
          <w:lang/>
        </w:rPr>
        <w:t xml:space="preserve">, </w:t>
      </w:r>
      <w:hyperlink r:id="rId11" w:tooltip="Bond (finance)" w:history="1">
        <w:r w:rsidRPr="00774D6E">
          <w:rPr>
            <w:rStyle w:val="Hyperlink"/>
            <w:color w:val="000000" w:themeColor="text1"/>
            <w:u w:val="none"/>
            <w:lang/>
          </w:rPr>
          <w:t>bonds</w:t>
        </w:r>
      </w:hyperlink>
      <w:r w:rsidRPr="00774D6E">
        <w:rPr>
          <w:color w:val="000000" w:themeColor="text1"/>
          <w:lang/>
        </w:rPr>
        <w:t xml:space="preserve">, </w:t>
      </w:r>
      <w:hyperlink r:id="rId12" w:tooltip="Money market" w:history="1">
        <w:r w:rsidRPr="00774D6E">
          <w:rPr>
            <w:rStyle w:val="Hyperlink"/>
            <w:color w:val="000000" w:themeColor="text1"/>
            <w:u w:val="none"/>
            <w:lang/>
          </w:rPr>
          <w:t>money market</w:t>
        </w:r>
      </w:hyperlink>
      <w:r w:rsidRPr="00774D6E">
        <w:rPr>
          <w:color w:val="000000" w:themeColor="text1"/>
          <w:lang/>
        </w:rPr>
        <w:t xml:space="preserve"> investments, or some mix of the above. Many companies' 401(k) plans also offer the option to purchase the company's stock. The employee can generally re-allocate money among these investment choices at any time. In the less common </w:t>
      </w:r>
      <w:r w:rsidRPr="00774D6E">
        <w:rPr>
          <w:i/>
          <w:iCs/>
          <w:color w:val="000000" w:themeColor="text1"/>
          <w:lang/>
        </w:rPr>
        <w:t>trustee-directed</w:t>
      </w:r>
      <w:r w:rsidRPr="00774D6E">
        <w:rPr>
          <w:color w:val="000000" w:themeColor="text1"/>
          <w:lang/>
        </w:rPr>
        <w:t xml:space="preserve"> 401(k) plans, the employer appoints trustees who decide how the plan's assets will be invested. The title "401(k)" references a section of the Internal Revenue Code.</w:t>
      </w:r>
    </w:p>
    <w:p w:rsidR="00774D6E" w:rsidRDefault="00774D6E" w:rsidP="00774D6E">
      <w:pPr>
        <w:pStyle w:val="NormalWeb"/>
        <w:numPr>
          <w:ilvl w:val="0"/>
          <w:numId w:val="1"/>
        </w:numPr>
        <w:shd w:val="clear" w:color="auto" w:fill="F8FCFF"/>
        <w:rPr>
          <w:color w:val="000000" w:themeColor="text1"/>
          <w:lang/>
        </w:rPr>
      </w:pPr>
      <w:r w:rsidRPr="00774D6E">
        <w:rPr>
          <w:b/>
          <w:lang/>
        </w:rPr>
        <w:t xml:space="preserve"> </w:t>
      </w:r>
      <w:r w:rsidRPr="00774D6E">
        <w:rPr>
          <w:b/>
          <w:bCs/>
          <w:color w:val="000000" w:themeColor="text1"/>
          <w:lang/>
        </w:rPr>
        <w:t>403(b)</w:t>
      </w:r>
      <w:r w:rsidRPr="00774D6E">
        <w:rPr>
          <w:color w:val="000000" w:themeColor="text1"/>
          <w:lang/>
        </w:rPr>
        <w:t xml:space="preserve"> plan is a </w:t>
      </w:r>
      <w:hyperlink r:id="rId13" w:tooltip="Tax" w:history="1">
        <w:r w:rsidRPr="00774D6E">
          <w:rPr>
            <w:rStyle w:val="Hyperlink"/>
            <w:color w:val="000000" w:themeColor="text1"/>
            <w:u w:val="none"/>
            <w:lang/>
          </w:rPr>
          <w:t>tax</w:t>
        </w:r>
      </w:hyperlink>
      <w:r w:rsidRPr="00774D6E">
        <w:rPr>
          <w:color w:val="000000" w:themeColor="text1"/>
          <w:lang/>
        </w:rPr>
        <w:t xml:space="preserve">-advantaged </w:t>
      </w:r>
      <w:hyperlink r:id="rId14" w:tooltip="Retirement" w:history="1">
        <w:r w:rsidRPr="00774D6E">
          <w:rPr>
            <w:rStyle w:val="Hyperlink"/>
            <w:color w:val="000000" w:themeColor="text1"/>
            <w:u w:val="none"/>
            <w:lang/>
          </w:rPr>
          <w:t>retirement</w:t>
        </w:r>
      </w:hyperlink>
      <w:r w:rsidRPr="00774D6E">
        <w:rPr>
          <w:color w:val="000000" w:themeColor="text1"/>
          <w:lang/>
        </w:rPr>
        <w:t xml:space="preserve"> savings plan available for </w:t>
      </w:r>
      <w:hyperlink r:id="rId15" w:tooltip="Public education" w:history="1">
        <w:r w:rsidRPr="00774D6E">
          <w:rPr>
            <w:rStyle w:val="Hyperlink"/>
            <w:color w:val="000000" w:themeColor="text1"/>
            <w:u w:val="none"/>
            <w:lang/>
          </w:rPr>
          <w:t>public education</w:t>
        </w:r>
      </w:hyperlink>
      <w:r w:rsidRPr="00774D6E">
        <w:rPr>
          <w:color w:val="000000" w:themeColor="text1"/>
          <w:lang/>
        </w:rPr>
        <w:t xml:space="preserve"> </w:t>
      </w:r>
      <w:hyperlink r:id="rId16" w:tooltip="Organizations" w:history="1">
        <w:r w:rsidRPr="00774D6E">
          <w:rPr>
            <w:rStyle w:val="Hyperlink"/>
            <w:color w:val="000000" w:themeColor="text1"/>
            <w:u w:val="none"/>
            <w:lang/>
          </w:rPr>
          <w:t>organizations</w:t>
        </w:r>
      </w:hyperlink>
      <w:r w:rsidRPr="00774D6E">
        <w:rPr>
          <w:color w:val="000000" w:themeColor="text1"/>
          <w:lang/>
        </w:rPr>
        <w:t xml:space="preserve">, some </w:t>
      </w:r>
      <w:hyperlink r:id="rId17" w:tooltip="Non-profit organization" w:history="1">
        <w:r w:rsidRPr="00774D6E">
          <w:rPr>
            <w:rStyle w:val="Hyperlink"/>
            <w:color w:val="000000" w:themeColor="text1"/>
            <w:u w:val="none"/>
            <w:lang/>
          </w:rPr>
          <w:t>non-profit</w:t>
        </w:r>
      </w:hyperlink>
      <w:r w:rsidRPr="00774D6E">
        <w:rPr>
          <w:color w:val="000000" w:themeColor="text1"/>
          <w:lang/>
        </w:rPr>
        <w:t xml:space="preserve"> employers (only </w:t>
      </w:r>
      <w:hyperlink r:id="rId18" w:tooltip="US Tax Code (page does not exist)" w:history="1">
        <w:r w:rsidRPr="00774D6E">
          <w:rPr>
            <w:rStyle w:val="Hyperlink"/>
            <w:color w:val="000000" w:themeColor="text1"/>
            <w:u w:val="none"/>
            <w:lang/>
          </w:rPr>
          <w:t>US Tax Code</w:t>
        </w:r>
      </w:hyperlink>
      <w:r w:rsidRPr="00774D6E">
        <w:rPr>
          <w:color w:val="000000" w:themeColor="text1"/>
          <w:lang/>
        </w:rPr>
        <w:t xml:space="preserve"> 501(c)(3) organizations),Cooperative hospital service organizations and </w:t>
      </w:r>
      <w:hyperlink r:id="rId19" w:tooltip="Self-employed" w:history="1">
        <w:r w:rsidRPr="00774D6E">
          <w:rPr>
            <w:rStyle w:val="Hyperlink"/>
            <w:color w:val="000000" w:themeColor="text1"/>
            <w:u w:val="none"/>
            <w:lang/>
          </w:rPr>
          <w:t>self-employed</w:t>
        </w:r>
      </w:hyperlink>
      <w:r w:rsidRPr="00774D6E">
        <w:rPr>
          <w:color w:val="000000" w:themeColor="text1"/>
          <w:lang/>
        </w:rPr>
        <w:t xml:space="preserve"> </w:t>
      </w:r>
      <w:hyperlink r:id="rId20" w:tooltip="Minister of religion" w:history="1">
        <w:r w:rsidRPr="00774D6E">
          <w:rPr>
            <w:rStyle w:val="Hyperlink"/>
            <w:color w:val="000000" w:themeColor="text1"/>
            <w:u w:val="none"/>
            <w:lang/>
          </w:rPr>
          <w:t>ministers</w:t>
        </w:r>
      </w:hyperlink>
      <w:r w:rsidRPr="00774D6E">
        <w:rPr>
          <w:color w:val="000000" w:themeColor="text1"/>
          <w:lang/>
        </w:rPr>
        <w:t xml:space="preserve"> in the </w:t>
      </w:r>
      <w:hyperlink r:id="rId21" w:tooltip="United States" w:history="1">
        <w:r w:rsidRPr="00774D6E">
          <w:rPr>
            <w:rStyle w:val="Hyperlink"/>
            <w:color w:val="000000" w:themeColor="text1"/>
            <w:u w:val="none"/>
            <w:lang/>
          </w:rPr>
          <w:t>United States</w:t>
        </w:r>
      </w:hyperlink>
      <w:r w:rsidRPr="00774D6E">
        <w:rPr>
          <w:color w:val="000000" w:themeColor="text1"/>
          <w:lang/>
        </w:rPr>
        <w:t xml:space="preserve">. It has tax treatment similar to a </w:t>
      </w:r>
      <w:hyperlink r:id="rId22" w:tooltip="401(k)" w:history="1">
        <w:r w:rsidRPr="00774D6E">
          <w:rPr>
            <w:rStyle w:val="Hyperlink"/>
            <w:color w:val="000000" w:themeColor="text1"/>
            <w:u w:val="none"/>
            <w:lang/>
          </w:rPr>
          <w:t>401(k)</w:t>
        </w:r>
      </w:hyperlink>
      <w:r w:rsidRPr="00774D6E">
        <w:rPr>
          <w:color w:val="000000" w:themeColor="text1"/>
          <w:lang/>
        </w:rPr>
        <w:t xml:space="preserve"> plan, especially after the </w:t>
      </w:r>
      <w:hyperlink r:id="rId23" w:tooltip="Economic Growth and Tax Relief Reconciliation Act of 2001" w:history="1">
        <w:r w:rsidRPr="00774D6E">
          <w:rPr>
            <w:rStyle w:val="Hyperlink"/>
            <w:color w:val="000000" w:themeColor="text1"/>
            <w:u w:val="none"/>
            <w:lang/>
          </w:rPr>
          <w:t>Economic Growth and Tax Relief Reconciliation Act of 2001</w:t>
        </w:r>
      </w:hyperlink>
      <w:r w:rsidRPr="00774D6E">
        <w:rPr>
          <w:color w:val="000000" w:themeColor="text1"/>
          <w:lang/>
        </w:rPr>
        <w:t xml:space="preserve">. Simply put, employee salary deferrals into a 403(b) plan are made before income tax is paid and allowed to grow tax deferred until the money is taxed as income when withdrawn from the plan. Beginning in 2006, 403(b) and 401(k) plans may also include designated </w:t>
      </w:r>
      <w:hyperlink r:id="rId24" w:tooltip="Roth IRA" w:history="1">
        <w:r w:rsidRPr="00774D6E">
          <w:rPr>
            <w:rStyle w:val="Hyperlink"/>
            <w:color w:val="000000" w:themeColor="text1"/>
            <w:u w:val="none"/>
            <w:lang/>
          </w:rPr>
          <w:t>Roth</w:t>
        </w:r>
      </w:hyperlink>
      <w:r w:rsidRPr="00774D6E">
        <w:rPr>
          <w:color w:val="000000" w:themeColor="text1"/>
          <w:lang/>
        </w:rPr>
        <w:t xml:space="preserve"> contributions, i.e., after-tax contributions, which, if certain requirements are met, will allow tax-free withdrawals. Primarily, the designated Roth contributions have to be in the plan for at least five taxable years</w:t>
      </w:r>
      <w:r>
        <w:rPr>
          <w:color w:val="000000" w:themeColor="text1"/>
          <w:lang/>
        </w:rPr>
        <w:t xml:space="preserve">. </w:t>
      </w:r>
    </w:p>
    <w:p w:rsidR="00774D6E" w:rsidRDefault="00774D6E" w:rsidP="00774D6E">
      <w:pPr>
        <w:pStyle w:val="NormalWeb"/>
        <w:shd w:val="clear" w:color="auto" w:fill="F8FCFF"/>
        <w:ind w:left="720"/>
        <w:rPr>
          <w:color w:val="000000" w:themeColor="text1"/>
          <w:lang/>
        </w:rPr>
      </w:pPr>
    </w:p>
    <w:p w:rsidR="00774D6E" w:rsidRPr="00774D6E" w:rsidRDefault="00774D6E" w:rsidP="00774D6E">
      <w:pPr>
        <w:pStyle w:val="NormalWeb"/>
        <w:numPr>
          <w:ilvl w:val="0"/>
          <w:numId w:val="1"/>
        </w:numPr>
        <w:shd w:val="clear" w:color="auto" w:fill="F8FCFF"/>
        <w:rPr>
          <w:color w:val="000000" w:themeColor="text1"/>
          <w:lang/>
        </w:rPr>
      </w:pPr>
      <w:r w:rsidRPr="00774D6E">
        <w:rPr>
          <w:b/>
        </w:rPr>
        <w:t xml:space="preserve">IRA </w:t>
      </w:r>
      <w:r w:rsidRPr="00774D6E">
        <w:rPr>
          <w:b/>
          <w:color w:val="000000" w:themeColor="text1"/>
        </w:rPr>
        <w:t>-</w:t>
      </w:r>
      <w:r w:rsidRPr="00774D6E">
        <w:rPr>
          <w:color w:val="000000" w:themeColor="text1"/>
        </w:rPr>
        <w:t xml:space="preserve"> </w:t>
      </w:r>
      <w:hyperlink r:id="rId25" w:tooltip="Traditional IRA" w:history="1">
        <w:r w:rsidRPr="00774D6E">
          <w:rPr>
            <w:color w:val="000000" w:themeColor="text1"/>
            <w:lang/>
          </w:rPr>
          <w:t>Traditional IRA</w:t>
        </w:r>
      </w:hyperlink>
      <w:r w:rsidRPr="00774D6E">
        <w:rPr>
          <w:color w:val="000000" w:themeColor="text1"/>
          <w:lang/>
        </w:rPr>
        <w:t xml:space="preserve"> - contributions are often tax-deductible (often simplified as "money is deposited before tax" or "contributions are made with pre-tax assets"), all transactions and earnings within the IRA have no tax impact, and withdrawals at retirement are taxed as income (except for those portions of the withdrawal corresponding to contributions that were not deducted). Depending upon the nature of the contribution, a traditional IRA may be referred to as a "deductible IRA" or a "non-deductible IRA." </w:t>
      </w:r>
    </w:p>
    <w:p w:rsidR="00774D6E" w:rsidRPr="00774D6E" w:rsidRDefault="00774D6E" w:rsidP="00774D6E">
      <w:pPr>
        <w:numPr>
          <w:ilvl w:val="0"/>
          <w:numId w:val="1"/>
        </w:numPr>
        <w:shd w:val="clear" w:color="auto" w:fill="F8FCFF"/>
        <w:spacing w:before="100" w:beforeAutospacing="1" w:after="100" w:afterAutospacing="1" w:line="240" w:lineRule="auto"/>
        <w:rPr>
          <w:rFonts w:ascii="Times New Roman" w:eastAsia="Times New Roman" w:hAnsi="Times New Roman" w:cs="Times New Roman"/>
          <w:color w:val="000000" w:themeColor="text1"/>
          <w:sz w:val="24"/>
          <w:szCs w:val="24"/>
          <w:lang/>
        </w:rPr>
      </w:pPr>
      <w:hyperlink r:id="rId26" w:tooltip="Roth IRA" w:history="1">
        <w:r w:rsidRPr="00774D6E">
          <w:rPr>
            <w:rFonts w:ascii="Times New Roman" w:eastAsia="Times New Roman" w:hAnsi="Times New Roman" w:cs="Times New Roman"/>
            <w:b/>
            <w:color w:val="000000" w:themeColor="text1"/>
            <w:sz w:val="24"/>
            <w:szCs w:val="24"/>
            <w:lang/>
          </w:rPr>
          <w:t>Roth IRA</w:t>
        </w:r>
      </w:hyperlink>
      <w:r w:rsidRPr="00774D6E">
        <w:rPr>
          <w:rFonts w:ascii="Times New Roman" w:eastAsia="Times New Roman" w:hAnsi="Times New Roman" w:cs="Times New Roman"/>
          <w:color w:val="000000" w:themeColor="text1"/>
          <w:sz w:val="24"/>
          <w:szCs w:val="24"/>
          <w:lang/>
        </w:rPr>
        <w:t xml:space="preserve"> - contributions are made with after-tax assets, all transactions within the IRA have no tax impact, and withdrawals are usually tax-free. Named for Senator </w:t>
      </w:r>
      <w:hyperlink r:id="rId27" w:tooltip="William Roth" w:history="1">
        <w:r w:rsidRPr="00774D6E">
          <w:rPr>
            <w:rFonts w:ascii="Times New Roman" w:eastAsia="Times New Roman" w:hAnsi="Times New Roman" w:cs="Times New Roman"/>
            <w:color w:val="000000" w:themeColor="text1"/>
            <w:sz w:val="24"/>
            <w:szCs w:val="24"/>
            <w:lang/>
          </w:rPr>
          <w:t>William Roth</w:t>
        </w:r>
      </w:hyperlink>
      <w:r w:rsidRPr="00774D6E">
        <w:rPr>
          <w:rFonts w:ascii="Times New Roman" w:eastAsia="Times New Roman" w:hAnsi="Times New Roman" w:cs="Times New Roman"/>
          <w:color w:val="000000" w:themeColor="text1"/>
          <w:sz w:val="24"/>
          <w:szCs w:val="24"/>
          <w:lang/>
        </w:rPr>
        <w:t xml:space="preserve">. </w:t>
      </w:r>
    </w:p>
    <w:p w:rsidR="00774D6E" w:rsidRPr="00774D6E" w:rsidRDefault="00774D6E" w:rsidP="00774D6E">
      <w:pPr>
        <w:shd w:val="clear" w:color="auto" w:fill="F8FCFF"/>
        <w:spacing w:before="100" w:beforeAutospacing="1" w:after="100" w:afterAutospacing="1" w:line="240" w:lineRule="auto"/>
        <w:ind w:left="720"/>
        <w:rPr>
          <w:rFonts w:ascii="Times New Roman" w:eastAsia="Times New Roman" w:hAnsi="Times New Roman" w:cs="Times New Roman"/>
          <w:color w:val="000000" w:themeColor="text1"/>
          <w:sz w:val="24"/>
          <w:szCs w:val="24"/>
          <w:lang/>
        </w:rPr>
      </w:pPr>
    </w:p>
    <w:p w:rsidR="00774D6E" w:rsidRDefault="00774D6E" w:rsidP="00774D6E">
      <w:pPr>
        <w:numPr>
          <w:ilvl w:val="0"/>
          <w:numId w:val="1"/>
        </w:numPr>
        <w:shd w:val="clear" w:color="auto" w:fill="F8FCFF"/>
        <w:spacing w:before="100" w:beforeAutospacing="1" w:after="100" w:afterAutospacing="1" w:line="240" w:lineRule="auto"/>
        <w:rPr>
          <w:rFonts w:ascii="Times New Roman" w:eastAsia="Times New Roman" w:hAnsi="Times New Roman" w:cs="Times New Roman"/>
          <w:color w:val="000000" w:themeColor="text1"/>
          <w:sz w:val="24"/>
          <w:szCs w:val="24"/>
          <w:lang/>
        </w:rPr>
      </w:pPr>
      <w:hyperlink r:id="rId28" w:tooltip="SEP IRA" w:history="1">
        <w:r w:rsidRPr="00774D6E">
          <w:rPr>
            <w:rFonts w:ascii="Times New Roman" w:eastAsia="Times New Roman" w:hAnsi="Times New Roman" w:cs="Times New Roman"/>
            <w:b/>
            <w:color w:val="000000" w:themeColor="text1"/>
            <w:sz w:val="24"/>
            <w:szCs w:val="24"/>
            <w:lang/>
          </w:rPr>
          <w:t>SEP IRA</w:t>
        </w:r>
      </w:hyperlink>
      <w:r w:rsidRPr="00774D6E">
        <w:rPr>
          <w:rFonts w:ascii="Times New Roman" w:eastAsia="Times New Roman" w:hAnsi="Times New Roman" w:cs="Times New Roman"/>
          <w:b/>
          <w:color w:val="000000" w:themeColor="text1"/>
          <w:sz w:val="24"/>
          <w:szCs w:val="24"/>
          <w:lang/>
        </w:rPr>
        <w:t xml:space="preserve"> </w:t>
      </w:r>
      <w:r w:rsidRPr="00774D6E">
        <w:rPr>
          <w:rFonts w:ascii="Times New Roman" w:eastAsia="Times New Roman" w:hAnsi="Times New Roman" w:cs="Times New Roman"/>
          <w:color w:val="000000" w:themeColor="text1"/>
          <w:sz w:val="24"/>
          <w:szCs w:val="24"/>
          <w:lang/>
        </w:rPr>
        <w:t xml:space="preserve">- a provision that allows an employer (typically a small business or self-employed individual) to make retirement plan contributions into a Traditional IRA established in the employee's name, instead of to a pension fund account in the company's name. </w:t>
      </w:r>
    </w:p>
    <w:p w:rsidR="00774D6E" w:rsidRPr="00774D6E" w:rsidRDefault="00774D6E" w:rsidP="00774D6E">
      <w:pPr>
        <w:shd w:val="clear" w:color="auto" w:fill="F8FCFF"/>
        <w:spacing w:before="100" w:beforeAutospacing="1" w:after="100" w:afterAutospacing="1" w:line="240" w:lineRule="auto"/>
        <w:ind w:left="720"/>
        <w:rPr>
          <w:rFonts w:ascii="Times New Roman" w:eastAsia="Times New Roman" w:hAnsi="Times New Roman" w:cs="Times New Roman"/>
          <w:color w:val="000000" w:themeColor="text1"/>
          <w:sz w:val="24"/>
          <w:szCs w:val="24"/>
          <w:lang/>
        </w:rPr>
      </w:pPr>
    </w:p>
    <w:p w:rsidR="00774D6E" w:rsidRPr="00774D6E" w:rsidRDefault="00774D6E" w:rsidP="00774D6E">
      <w:pPr>
        <w:numPr>
          <w:ilvl w:val="0"/>
          <w:numId w:val="1"/>
        </w:numPr>
        <w:shd w:val="clear" w:color="auto" w:fill="F8FCFF"/>
        <w:spacing w:before="100" w:beforeAutospacing="1" w:after="100" w:afterAutospacing="1" w:line="240" w:lineRule="auto"/>
        <w:rPr>
          <w:rFonts w:ascii="Times New Roman" w:eastAsia="Times New Roman" w:hAnsi="Times New Roman" w:cs="Times New Roman"/>
          <w:color w:val="000000" w:themeColor="text1"/>
          <w:sz w:val="24"/>
          <w:szCs w:val="24"/>
          <w:lang/>
        </w:rPr>
      </w:pPr>
      <w:hyperlink r:id="rId29" w:tooltip="SIMPLE IRA" w:history="1">
        <w:r w:rsidRPr="00774D6E">
          <w:rPr>
            <w:rFonts w:ascii="Times New Roman" w:eastAsia="Times New Roman" w:hAnsi="Times New Roman" w:cs="Times New Roman"/>
            <w:b/>
            <w:color w:val="000000" w:themeColor="text1"/>
            <w:sz w:val="24"/>
            <w:szCs w:val="24"/>
            <w:lang/>
          </w:rPr>
          <w:t>SIMPLE IRA</w:t>
        </w:r>
      </w:hyperlink>
      <w:r w:rsidRPr="00774D6E">
        <w:rPr>
          <w:rFonts w:ascii="Times New Roman" w:eastAsia="Times New Roman" w:hAnsi="Times New Roman" w:cs="Times New Roman"/>
          <w:color w:val="000000" w:themeColor="text1"/>
          <w:sz w:val="24"/>
          <w:szCs w:val="24"/>
          <w:lang/>
        </w:rPr>
        <w:t xml:space="preserve"> - a simplified employee pension plan that allows both employer and employee contributions, similar to a </w:t>
      </w:r>
      <w:hyperlink r:id="rId30" w:tooltip="401(k)" w:history="1">
        <w:r w:rsidRPr="00774D6E">
          <w:rPr>
            <w:rFonts w:ascii="Times New Roman" w:eastAsia="Times New Roman" w:hAnsi="Times New Roman" w:cs="Times New Roman"/>
            <w:color w:val="000000" w:themeColor="text1"/>
            <w:sz w:val="24"/>
            <w:szCs w:val="24"/>
            <w:lang/>
          </w:rPr>
          <w:t>401(k)</w:t>
        </w:r>
      </w:hyperlink>
      <w:r w:rsidRPr="00774D6E">
        <w:rPr>
          <w:rFonts w:ascii="Times New Roman" w:eastAsia="Times New Roman" w:hAnsi="Times New Roman" w:cs="Times New Roman"/>
          <w:color w:val="000000" w:themeColor="text1"/>
          <w:sz w:val="24"/>
          <w:szCs w:val="24"/>
          <w:lang/>
        </w:rPr>
        <w:t xml:space="preserve"> plan, but with lower contribution limits and simpler (and thus less costly) administration. Although it is termed an IRA, it is treated separately. </w:t>
      </w:r>
    </w:p>
    <w:p w:rsidR="00774D6E" w:rsidRDefault="00774D6E" w:rsidP="00774D6E">
      <w:pPr>
        <w:pStyle w:val="ListParagraph"/>
      </w:pPr>
    </w:p>
    <w:sectPr w:rsidR="00774D6E" w:rsidSect="00E927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67B8"/>
    <w:multiLevelType w:val="multilevel"/>
    <w:tmpl w:val="7D56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B21EDB"/>
    <w:multiLevelType w:val="multilevel"/>
    <w:tmpl w:val="EFB0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257E62"/>
    <w:multiLevelType w:val="hybridMultilevel"/>
    <w:tmpl w:val="1242B7B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CF2E3A"/>
    <w:multiLevelType w:val="multilevel"/>
    <w:tmpl w:val="5174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EF6BF7"/>
    <w:multiLevelType w:val="multilevel"/>
    <w:tmpl w:val="3E9C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4D6E"/>
    <w:rsid w:val="00774D6E"/>
    <w:rsid w:val="00E927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7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4D6E"/>
    <w:rPr>
      <w:color w:val="0000FF"/>
      <w:u w:val="single"/>
    </w:rPr>
  </w:style>
  <w:style w:type="paragraph" w:styleId="NormalWeb">
    <w:name w:val="Normal (Web)"/>
    <w:basedOn w:val="Normal"/>
    <w:uiPriority w:val="99"/>
    <w:unhideWhenUsed/>
    <w:rsid w:val="00774D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4D6E"/>
    <w:pPr>
      <w:ind w:left="720"/>
      <w:contextualSpacing/>
    </w:pPr>
  </w:style>
</w:styles>
</file>

<file path=word/webSettings.xml><?xml version="1.0" encoding="utf-8"?>
<w:webSettings xmlns:r="http://schemas.openxmlformats.org/officeDocument/2006/relationships" xmlns:w="http://schemas.openxmlformats.org/wordprocessingml/2006/main">
  <w:divs>
    <w:div w:id="294409890">
      <w:bodyDiv w:val="1"/>
      <w:marLeft w:val="0"/>
      <w:marRight w:val="0"/>
      <w:marTop w:val="0"/>
      <w:marBottom w:val="0"/>
      <w:divBdr>
        <w:top w:val="none" w:sz="0" w:space="0" w:color="auto"/>
        <w:left w:val="none" w:sz="0" w:space="0" w:color="auto"/>
        <w:bottom w:val="none" w:sz="0" w:space="0" w:color="auto"/>
        <w:right w:val="none" w:sz="0" w:space="0" w:color="auto"/>
      </w:divBdr>
      <w:divsChild>
        <w:div w:id="989409714">
          <w:marLeft w:val="0"/>
          <w:marRight w:val="0"/>
          <w:marTop w:val="0"/>
          <w:marBottom w:val="0"/>
          <w:divBdr>
            <w:top w:val="none" w:sz="0" w:space="0" w:color="auto"/>
            <w:left w:val="none" w:sz="0" w:space="0" w:color="auto"/>
            <w:bottom w:val="none" w:sz="0" w:space="0" w:color="auto"/>
            <w:right w:val="none" w:sz="0" w:space="0" w:color="auto"/>
          </w:divBdr>
          <w:divsChild>
            <w:div w:id="631177261">
              <w:marLeft w:val="0"/>
              <w:marRight w:val="0"/>
              <w:marTop w:val="0"/>
              <w:marBottom w:val="0"/>
              <w:divBdr>
                <w:top w:val="none" w:sz="0" w:space="0" w:color="auto"/>
                <w:left w:val="none" w:sz="0" w:space="0" w:color="auto"/>
                <w:bottom w:val="none" w:sz="0" w:space="0" w:color="auto"/>
                <w:right w:val="none" w:sz="0" w:space="0" w:color="auto"/>
              </w:divBdr>
              <w:divsChild>
                <w:div w:id="1056126320">
                  <w:marLeft w:val="0"/>
                  <w:marRight w:val="0"/>
                  <w:marTop w:val="0"/>
                  <w:marBottom w:val="0"/>
                  <w:divBdr>
                    <w:top w:val="none" w:sz="0" w:space="0" w:color="auto"/>
                    <w:left w:val="none" w:sz="0" w:space="0" w:color="auto"/>
                    <w:bottom w:val="none" w:sz="0" w:space="0" w:color="auto"/>
                    <w:right w:val="none" w:sz="0" w:space="0" w:color="auto"/>
                  </w:divBdr>
                  <w:divsChild>
                    <w:div w:id="16776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642842">
      <w:bodyDiv w:val="1"/>
      <w:marLeft w:val="0"/>
      <w:marRight w:val="0"/>
      <w:marTop w:val="0"/>
      <w:marBottom w:val="0"/>
      <w:divBdr>
        <w:top w:val="none" w:sz="0" w:space="0" w:color="auto"/>
        <w:left w:val="none" w:sz="0" w:space="0" w:color="auto"/>
        <w:bottom w:val="none" w:sz="0" w:space="0" w:color="auto"/>
        <w:right w:val="none" w:sz="0" w:space="0" w:color="auto"/>
      </w:divBdr>
      <w:divsChild>
        <w:div w:id="1569456250">
          <w:marLeft w:val="0"/>
          <w:marRight w:val="0"/>
          <w:marTop w:val="0"/>
          <w:marBottom w:val="0"/>
          <w:divBdr>
            <w:top w:val="none" w:sz="0" w:space="0" w:color="auto"/>
            <w:left w:val="none" w:sz="0" w:space="0" w:color="auto"/>
            <w:bottom w:val="none" w:sz="0" w:space="0" w:color="auto"/>
            <w:right w:val="none" w:sz="0" w:space="0" w:color="auto"/>
          </w:divBdr>
          <w:divsChild>
            <w:div w:id="162010800">
              <w:marLeft w:val="0"/>
              <w:marRight w:val="0"/>
              <w:marTop w:val="0"/>
              <w:marBottom w:val="0"/>
              <w:divBdr>
                <w:top w:val="none" w:sz="0" w:space="0" w:color="auto"/>
                <w:left w:val="none" w:sz="0" w:space="0" w:color="auto"/>
                <w:bottom w:val="none" w:sz="0" w:space="0" w:color="auto"/>
                <w:right w:val="none" w:sz="0" w:space="0" w:color="auto"/>
              </w:divBdr>
              <w:divsChild>
                <w:div w:id="1407991803">
                  <w:marLeft w:val="0"/>
                  <w:marRight w:val="0"/>
                  <w:marTop w:val="0"/>
                  <w:marBottom w:val="0"/>
                  <w:divBdr>
                    <w:top w:val="none" w:sz="0" w:space="0" w:color="auto"/>
                    <w:left w:val="none" w:sz="0" w:space="0" w:color="auto"/>
                    <w:bottom w:val="none" w:sz="0" w:space="0" w:color="auto"/>
                    <w:right w:val="none" w:sz="0" w:space="0" w:color="auto"/>
                  </w:divBdr>
                  <w:divsChild>
                    <w:div w:id="105199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0613">
      <w:bodyDiv w:val="1"/>
      <w:marLeft w:val="0"/>
      <w:marRight w:val="0"/>
      <w:marTop w:val="0"/>
      <w:marBottom w:val="0"/>
      <w:divBdr>
        <w:top w:val="none" w:sz="0" w:space="0" w:color="auto"/>
        <w:left w:val="none" w:sz="0" w:space="0" w:color="auto"/>
        <w:bottom w:val="none" w:sz="0" w:space="0" w:color="auto"/>
        <w:right w:val="none" w:sz="0" w:space="0" w:color="auto"/>
      </w:divBdr>
      <w:divsChild>
        <w:div w:id="1753161976">
          <w:marLeft w:val="0"/>
          <w:marRight w:val="0"/>
          <w:marTop w:val="0"/>
          <w:marBottom w:val="0"/>
          <w:divBdr>
            <w:top w:val="none" w:sz="0" w:space="0" w:color="auto"/>
            <w:left w:val="none" w:sz="0" w:space="0" w:color="auto"/>
            <w:bottom w:val="none" w:sz="0" w:space="0" w:color="auto"/>
            <w:right w:val="none" w:sz="0" w:space="0" w:color="auto"/>
          </w:divBdr>
          <w:divsChild>
            <w:div w:id="230699975">
              <w:marLeft w:val="0"/>
              <w:marRight w:val="0"/>
              <w:marTop w:val="0"/>
              <w:marBottom w:val="0"/>
              <w:divBdr>
                <w:top w:val="none" w:sz="0" w:space="0" w:color="auto"/>
                <w:left w:val="none" w:sz="0" w:space="0" w:color="auto"/>
                <w:bottom w:val="none" w:sz="0" w:space="0" w:color="auto"/>
                <w:right w:val="none" w:sz="0" w:space="0" w:color="auto"/>
              </w:divBdr>
              <w:divsChild>
                <w:div w:id="2000378873">
                  <w:marLeft w:val="0"/>
                  <w:marRight w:val="0"/>
                  <w:marTop w:val="0"/>
                  <w:marBottom w:val="0"/>
                  <w:divBdr>
                    <w:top w:val="none" w:sz="0" w:space="0" w:color="auto"/>
                    <w:left w:val="none" w:sz="0" w:space="0" w:color="auto"/>
                    <w:bottom w:val="none" w:sz="0" w:space="0" w:color="auto"/>
                    <w:right w:val="none" w:sz="0" w:space="0" w:color="auto"/>
                  </w:divBdr>
                  <w:divsChild>
                    <w:div w:id="2305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801124">
      <w:bodyDiv w:val="1"/>
      <w:marLeft w:val="0"/>
      <w:marRight w:val="0"/>
      <w:marTop w:val="0"/>
      <w:marBottom w:val="0"/>
      <w:divBdr>
        <w:top w:val="none" w:sz="0" w:space="0" w:color="auto"/>
        <w:left w:val="none" w:sz="0" w:space="0" w:color="auto"/>
        <w:bottom w:val="none" w:sz="0" w:space="0" w:color="auto"/>
        <w:right w:val="none" w:sz="0" w:space="0" w:color="auto"/>
      </w:divBdr>
      <w:divsChild>
        <w:div w:id="1752464952">
          <w:marLeft w:val="0"/>
          <w:marRight w:val="0"/>
          <w:marTop w:val="0"/>
          <w:marBottom w:val="0"/>
          <w:divBdr>
            <w:top w:val="none" w:sz="0" w:space="0" w:color="auto"/>
            <w:left w:val="none" w:sz="0" w:space="0" w:color="auto"/>
            <w:bottom w:val="none" w:sz="0" w:space="0" w:color="auto"/>
            <w:right w:val="none" w:sz="0" w:space="0" w:color="auto"/>
          </w:divBdr>
          <w:divsChild>
            <w:div w:id="355353801">
              <w:marLeft w:val="0"/>
              <w:marRight w:val="0"/>
              <w:marTop w:val="0"/>
              <w:marBottom w:val="0"/>
              <w:divBdr>
                <w:top w:val="none" w:sz="0" w:space="0" w:color="auto"/>
                <w:left w:val="none" w:sz="0" w:space="0" w:color="auto"/>
                <w:bottom w:val="none" w:sz="0" w:space="0" w:color="auto"/>
                <w:right w:val="none" w:sz="0" w:space="0" w:color="auto"/>
              </w:divBdr>
              <w:divsChild>
                <w:div w:id="1322344582">
                  <w:marLeft w:val="0"/>
                  <w:marRight w:val="0"/>
                  <w:marTop w:val="0"/>
                  <w:marBottom w:val="0"/>
                  <w:divBdr>
                    <w:top w:val="none" w:sz="0" w:space="0" w:color="auto"/>
                    <w:left w:val="none" w:sz="0" w:space="0" w:color="auto"/>
                    <w:bottom w:val="none" w:sz="0" w:space="0" w:color="auto"/>
                    <w:right w:val="none" w:sz="0" w:space="0" w:color="auto"/>
                  </w:divBdr>
                  <w:divsChild>
                    <w:div w:id="157361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127447">
      <w:bodyDiv w:val="1"/>
      <w:marLeft w:val="0"/>
      <w:marRight w:val="0"/>
      <w:marTop w:val="0"/>
      <w:marBottom w:val="0"/>
      <w:divBdr>
        <w:top w:val="none" w:sz="0" w:space="0" w:color="auto"/>
        <w:left w:val="none" w:sz="0" w:space="0" w:color="auto"/>
        <w:bottom w:val="none" w:sz="0" w:space="0" w:color="auto"/>
        <w:right w:val="none" w:sz="0" w:space="0" w:color="auto"/>
      </w:divBdr>
      <w:divsChild>
        <w:div w:id="646975492">
          <w:marLeft w:val="0"/>
          <w:marRight w:val="0"/>
          <w:marTop w:val="0"/>
          <w:marBottom w:val="0"/>
          <w:divBdr>
            <w:top w:val="none" w:sz="0" w:space="0" w:color="auto"/>
            <w:left w:val="none" w:sz="0" w:space="0" w:color="auto"/>
            <w:bottom w:val="none" w:sz="0" w:space="0" w:color="auto"/>
            <w:right w:val="none" w:sz="0" w:space="0" w:color="auto"/>
          </w:divBdr>
          <w:divsChild>
            <w:div w:id="1526556463">
              <w:marLeft w:val="0"/>
              <w:marRight w:val="0"/>
              <w:marTop w:val="0"/>
              <w:marBottom w:val="0"/>
              <w:divBdr>
                <w:top w:val="none" w:sz="0" w:space="0" w:color="auto"/>
                <w:left w:val="none" w:sz="0" w:space="0" w:color="auto"/>
                <w:bottom w:val="none" w:sz="0" w:space="0" w:color="auto"/>
                <w:right w:val="none" w:sz="0" w:space="0" w:color="auto"/>
              </w:divBdr>
              <w:divsChild>
                <w:div w:id="64306746">
                  <w:marLeft w:val="0"/>
                  <w:marRight w:val="0"/>
                  <w:marTop w:val="0"/>
                  <w:marBottom w:val="0"/>
                  <w:divBdr>
                    <w:top w:val="none" w:sz="0" w:space="0" w:color="auto"/>
                    <w:left w:val="none" w:sz="0" w:space="0" w:color="auto"/>
                    <w:bottom w:val="none" w:sz="0" w:space="0" w:color="auto"/>
                    <w:right w:val="none" w:sz="0" w:space="0" w:color="auto"/>
                  </w:divBdr>
                  <w:divsChild>
                    <w:div w:id="10311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634869">
      <w:bodyDiv w:val="1"/>
      <w:marLeft w:val="0"/>
      <w:marRight w:val="0"/>
      <w:marTop w:val="0"/>
      <w:marBottom w:val="0"/>
      <w:divBdr>
        <w:top w:val="none" w:sz="0" w:space="0" w:color="auto"/>
        <w:left w:val="none" w:sz="0" w:space="0" w:color="auto"/>
        <w:bottom w:val="none" w:sz="0" w:space="0" w:color="auto"/>
        <w:right w:val="none" w:sz="0" w:space="0" w:color="auto"/>
      </w:divBdr>
      <w:divsChild>
        <w:div w:id="1578323673">
          <w:marLeft w:val="0"/>
          <w:marRight w:val="0"/>
          <w:marTop w:val="0"/>
          <w:marBottom w:val="0"/>
          <w:divBdr>
            <w:top w:val="none" w:sz="0" w:space="0" w:color="auto"/>
            <w:left w:val="none" w:sz="0" w:space="0" w:color="auto"/>
            <w:bottom w:val="none" w:sz="0" w:space="0" w:color="auto"/>
            <w:right w:val="none" w:sz="0" w:space="0" w:color="auto"/>
          </w:divBdr>
          <w:divsChild>
            <w:div w:id="1054432685">
              <w:marLeft w:val="0"/>
              <w:marRight w:val="0"/>
              <w:marTop w:val="0"/>
              <w:marBottom w:val="0"/>
              <w:divBdr>
                <w:top w:val="none" w:sz="0" w:space="0" w:color="auto"/>
                <w:left w:val="none" w:sz="0" w:space="0" w:color="auto"/>
                <w:bottom w:val="none" w:sz="0" w:space="0" w:color="auto"/>
                <w:right w:val="none" w:sz="0" w:space="0" w:color="auto"/>
              </w:divBdr>
              <w:divsChild>
                <w:div w:id="1036538831">
                  <w:marLeft w:val="0"/>
                  <w:marRight w:val="0"/>
                  <w:marTop w:val="0"/>
                  <w:marBottom w:val="0"/>
                  <w:divBdr>
                    <w:top w:val="none" w:sz="0" w:space="0" w:color="auto"/>
                    <w:left w:val="none" w:sz="0" w:space="0" w:color="auto"/>
                    <w:bottom w:val="none" w:sz="0" w:space="0" w:color="auto"/>
                    <w:right w:val="none" w:sz="0" w:space="0" w:color="auto"/>
                  </w:divBdr>
                  <w:divsChild>
                    <w:div w:id="66671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Wages" TargetMode="External"/><Relationship Id="rId13" Type="http://schemas.openxmlformats.org/officeDocument/2006/relationships/hyperlink" Target="http://en.wikipedia.org/wiki/Tax" TargetMode="External"/><Relationship Id="rId18" Type="http://schemas.openxmlformats.org/officeDocument/2006/relationships/hyperlink" Target="http://en.wikipedia.org/w/index.php?title=US_Tax_Code&amp;action=edit&amp;redlink=1" TargetMode="External"/><Relationship Id="rId26" Type="http://schemas.openxmlformats.org/officeDocument/2006/relationships/hyperlink" Target="http://en.wikipedia.org/wiki/Roth_IRA" TargetMode="External"/><Relationship Id="rId3" Type="http://schemas.openxmlformats.org/officeDocument/2006/relationships/settings" Target="settings.xml"/><Relationship Id="rId21" Type="http://schemas.openxmlformats.org/officeDocument/2006/relationships/hyperlink" Target="http://en.wikipedia.org/wiki/United_States" TargetMode="External"/><Relationship Id="rId7" Type="http://schemas.openxmlformats.org/officeDocument/2006/relationships/hyperlink" Target="http://en.wikipedia.org/wiki/Employee" TargetMode="External"/><Relationship Id="rId12" Type="http://schemas.openxmlformats.org/officeDocument/2006/relationships/hyperlink" Target="http://en.wikipedia.org/wiki/Money_market" TargetMode="External"/><Relationship Id="rId17" Type="http://schemas.openxmlformats.org/officeDocument/2006/relationships/hyperlink" Target="http://en.wikipedia.org/wiki/Non-profit_organization" TargetMode="External"/><Relationship Id="rId25" Type="http://schemas.openxmlformats.org/officeDocument/2006/relationships/hyperlink" Target="http://en.wikipedia.org/wiki/Traditional_IRA" TargetMode="External"/><Relationship Id="rId2" Type="http://schemas.openxmlformats.org/officeDocument/2006/relationships/styles" Target="styles.xml"/><Relationship Id="rId16" Type="http://schemas.openxmlformats.org/officeDocument/2006/relationships/hyperlink" Target="http://en.wikipedia.org/wiki/Organizations" TargetMode="External"/><Relationship Id="rId20" Type="http://schemas.openxmlformats.org/officeDocument/2006/relationships/hyperlink" Target="http://en.wikipedia.org/wiki/Minister_of_religion" TargetMode="External"/><Relationship Id="rId29" Type="http://schemas.openxmlformats.org/officeDocument/2006/relationships/hyperlink" Target="http://en.wikipedia.org/wiki/SIMPLE_IRA" TargetMode="External"/><Relationship Id="rId1" Type="http://schemas.openxmlformats.org/officeDocument/2006/relationships/numbering" Target="numbering.xml"/><Relationship Id="rId6" Type="http://schemas.openxmlformats.org/officeDocument/2006/relationships/hyperlink" Target="http://en.wikipedia.org/wiki/Income_tax" TargetMode="External"/><Relationship Id="rId11" Type="http://schemas.openxmlformats.org/officeDocument/2006/relationships/hyperlink" Target="http://en.wikipedia.org/wiki/Bond_(finance)" TargetMode="External"/><Relationship Id="rId24" Type="http://schemas.openxmlformats.org/officeDocument/2006/relationships/hyperlink" Target="http://en.wikipedia.org/wiki/Roth_IRA" TargetMode="External"/><Relationship Id="rId32" Type="http://schemas.openxmlformats.org/officeDocument/2006/relationships/theme" Target="theme/theme1.xml"/><Relationship Id="rId5" Type="http://schemas.openxmlformats.org/officeDocument/2006/relationships/hyperlink" Target="http://en.wikipedia.org/wiki/United_States_of_America" TargetMode="External"/><Relationship Id="rId15" Type="http://schemas.openxmlformats.org/officeDocument/2006/relationships/hyperlink" Target="http://en.wikipedia.org/wiki/Public_education" TargetMode="External"/><Relationship Id="rId23" Type="http://schemas.openxmlformats.org/officeDocument/2006/relationships/hyperlink" Target="http://en.wikipedia.org/wiki/Economic_Growth_and_Tax_Relief_Reconciliation_Act_of_2001" TargetMode="External"/><Relationship Id="rId28" Type="http://schemas.openxmlformats.org/officeDocument/2006/relationships/hyperlink" Target="http://en.wikipedia.org/wiki/SEP_IRA" TargetMode="External"/><Relationship Id="rId10" Type="http://schemas.openxmlformats.org/officeDocument/2006/relationships/hyperlink" Target="http://en.wikipedia.org/wiki/Stock" TargetMode="External"/><Relationship Id="rId19" Type="http://schemas.openxmlformats.org/officeDocument/2006/relationships/hyperlink" Target="http://en.wikipedia.org/wiki/Self-employed"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Mutual_fund" TargetMode="External"/><Relationship Id="rId14" Type="http://schemas.openxmlformats.org/officeDocument/2006/relationships/hyperlink" Target="http://en.wikipedia.org/wiki/Retirement" TargetMode="External"/><Relationship Id="rId22" Type="http://schemas.openxmlformats.org/officeDocument/2006/relationships/hyperlink" Target="http://en.wikipedia.org/wiki/401(k)" TargetMode="External"/><Relationship Id="rId27" Type="http://schemas.openxmlformats.org/officeDocument/2006/relationships/hyperlink" Target="http://en.wikipedia.org/wiki/William_Roth" TargetMode="External"/><Relationship Id="rId30" Type="http://schemas.openxmlformats.org/officeDocument/2006/relationships/hyperlink" Target="http://en.wikipedia.org/wiki/401(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825</Words>
  <Characters>4705</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2009-11-17T00:17:00Z</dcterms:created>
  <dcterms:modified xsi:type="dcterms:W3CDTF">2009-11-17T00:25:00Z</dcterms:modified>
</cp:coreProperties>
</file>