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40604" w14:textId="1CEB1AE6" w:rsidR="00E9309F" w:rsidRPr="002F3B35" w:rsidRDefault="002F3B35">
      <w:pPr>
        <w:rPr>
          <w:rFonts w:ascii="Arial" w:hAnsi="Arial" w:cs="Arial"/>
          <w:b/>
          <w:sz w:val="32"/>
          <w:szCs w:val="32"/>
        </w:rPr>
      </w:pPr>
      <w:r w:rsidRPr="002F3B35">
        <w:rPr>
          <w:rFonts w:ascii="Arial" w:hAnsi="Arial" w:cs="Arial"/>
          <w:b/>
          <w:sz w:val="32"/>
          <w:szCs w:val="32"/>
        </w:rPr>
        <w:t>CALIFORNIA RULE ON QUALIFYING RELATIVE</w:t>
      </w:r>
      <w:r w:rsidR="00327455">
        <w:rPr>
          <w:rFonts w:ascii="Arial" w:hAnsi="Arial" w:cs="Arial"/>
          <w:b/>
          <w:sz w:val="32"/>
          <w:szCs w:val="32"/>
        </w:rPr>
        <w:t xml:space="preserve"> FOR HOH</w:t>
      </w:r>
    </w:p>
    <w:p w14:paraId="2708278F" w14:textId="77777777" w:rsidR="002F3B35" w:rsidRPr="00327455" w:rsidRDefault="002F3B35" w:rsidP="002F3B3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b/>
          <w:bCs/>
          <w:lang w:val="en"/>
        </w:rPr>
        <w:t>Relationship or Member of the Household Test.</w:t>
      </w:r>
      <w:hyperlink r:id="rId5" w:anchor="fn1" w:history="1">
        <w:r w:rsidRPr="002F3B35">
          <w:rPr>
            <w:rFonts w:ascii="Times New Roman" w:eastAsia="Times New Roman" w:hAnsi="Times New Roman" w:cs="Times New Roman"/>
            <w:color w:val="1F70A7"/>
            <w:sz w:val="17"/>
            <w:szCs w:val="17"/>
            <w:u w:val="single"/>
            <w:vertAlign w:val="superscript"/>
            <w:lang w:val="en"/>
          </w:rPr>
          <w:t>1</w:t>
        </w:r>
      </w:hyperlink>
      <w:r w:rsidRPr="002F3B35">
        <w:rPr>
          <w:rFonts w:ascii="Times New Roman" w:eastAsia="Times New Roman" w:hAnsi="Times New Roman" w:cs="Times New Roman"/>
          <w:lang w:val="en"/>
        </w:rPr>
        <w:t xml:space="preserve"> The person must be one of the relatives listed below.</w:t>
      </w:r>
      <w:hyperlink r:id="rId6" w:anchor="fn2" w:history="1">
        <w:r w:rsidRPr="002F3B35">
          <w:rPr>
            <w:rFonts w:ascii="Times New Roman" w:eastAsia="Times New Roman" w:hAnsi="Times New Roman" w:cs="Times New Roman"/>
            <w:color w:val="1F70A7"/>
            <w:sz w:val="17"/>
            <w:szCs w:val="17"/>
            <w:u w:val="single"/>
            <w:vertAlign w:val="superscript"/>
            <w:lang w:val="en"/>
          </w:rPr>
          <w:t>2</w:t>
        </w:r>
      </w:hyperlink>
      <w:r w:rsidRPr="002F3B35">
        <w:rPr>
          <w:rFonts w:ascii="Times New Roman" w:eastAsia="Times New Roman" w:hAnsi="Times New Roman" w:cs="Times New Roman"/>
          <w:lang w:val="en"/>
        </w:rPr>
        <w:t xml:space="preserve"> </w:t>
      </w:r>
      <w:r w:rsidRPr="00327455">
        <w:rPr>
          <w:rFonts w:ascii="Times New Roman" w:eastAsia="Times New Roman" w:hAnsi="Times New Roman" w:cs="Times New Roman"/>
          <w:highlight w:val="yellow"/>
          <w:lang w:val="en"/>
        </w:rPr>
        <w:t>If at any time during the year the person was your spouse/RDP, the person cannot qualify as your dependent and you are not entitled to claim a Dependent Exemption Credit for the person.</w:t>
      </w:r>
      <w:r w:rsidRPr="00327455">
        <w:rPr>
          <w:rFonts w:ascii="Times New Roman" w:eastAsia="Times New Roman" w:hAnsi="Times New Roman" w:cs="Times New Roman"/>
          <w:lang w:val="en"/>
        </w:rPr>
        <w:t xml:space="preserve"> </w:t>
      </w:r>
    </w:p>
    <w:p w14:paraId="7EE262E6"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327455">
        <w:rPr>
          <w:rFonts w:ascii="Times New Roman" w:eastAsia="Times New Roman" w:hAnsi="Times New Roman" w:cs="Times New Roman"/>
          <w:highlight w:val="yellow"/>
          <w:lang w:val="en"/>
        </w:rPr>
        <w:t>A person who is not one of the relatives listed cannot qualify you for the head of household filing status.</w:t>
      </w:r>
      <w:r w:rsidRPr="002F3B35">
        <w:rPr>
          <w:rFonts w:ascii="Times New Roman" w:eastAsia="Times New Roman" w:hAnsi="Times New Roman" w:cs="Times New Roman"/>
          <w:lang w:val="en"/>
        </w:rPr>
        <w:t xml:space="preserve"> Under no circumstances shall the same person be used to qualify more than one taxpayer for the head of household filing status for the same year.</w:t>
      </w:r>
    </w:p>
    <w:p w14:paraId="4DF91C79"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 xml:space="preserve">Birth </w:t>
      </w:r>
      <w:hyperlink r:id="rId7" w:anchor="Child" w:history="1">
        <w:r w:rsidRPr="002F3B35">
          <w:rPr>
            <w:rFonts w:ascii="Times New Roman" w:eastAsia="Times New Roman" w:hAnsi="Times New Roman" w:cs="Times New Roman"/>
            <w:lang w:val="en"/>
          </w:rPr>
          <w:t>child</w:t>
        </w:r>
      </w:hyperlink>
    </w:p>
    <w:p w14:paraId="68C61ECD"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Grandchild</w:t>
      </w:r>
    </w:p>
    <w:p w14:paraId="13989E4E"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Brother</w:t>
      </w:r>
    </w:p>
    <w:p w14:paraId="60FDC52A"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Half brother</w:t>
      </w:r>
    </w:p>
    <w:p w14:paraId="0281CA42" w14:textId="77777777" w:rsidR="002F3B35" w:rsidRPr="002F3B35" w:rsidRDefault="0032745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hyperlink r:id="rId8" w:anchor="ParentStepparent" w:history="1">
        <w:r w:rsidR="002F3B35" w:rsidRPr="002F3B35">
          <w:rPr>
            <w:rFonts w:ascii="Times New Roman" w:eastAsia="Times New Roman" w:hAnsi="Times New Roman" w:cs="Times New Roman"/>
            <w:lang w:val="en"/>
          </w:rPr>
          <w:t>Parent/Stepparent</w:t>
        </w:r>
      </w:hyperlink>
    </w:p>
    <w:p w14:paraId="4838EBF7"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Stepbrother</w:t>
      </w:r>
    </w:p>
    <w:p w14:paraId="4AC14018"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Son-in-law</w:t>
      </w:r>
    </w:p>
    <w:p w14:paraId="72C4AFA2"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Brother-in-law</w:t>
      </w:r>
    </w:p>
    <w:p w14:paraId="7E92CEA9"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Father-in-law</w:t>
      </w:r>
    </w:p>
    <w:p w14:paraId="610F307D"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Uncle</w:t>
      </w:r>
      <w:hyperlink r:id="rId9" w:anchor="fn3" w:history="1">
        <w:r w:rsidRPr="002F3B35">
          <w:rPr>
            <w:rFonts w:ascii="Times New Roman" w:eastAsia="Times New Roman" w:hAnsi="Times New Roman" w:cs="Times New Roman"/>
            <w:sz w:val="17"/>
            <w:szCs w:val="17"/>
            <w:vertAlign w:val="superscript"/>
            <w:lang w:val="en"/>
          </w:rPr>
          <w:t>3</w:t>
        </w:r>
      </w:hyperlink>
    </w:p>
    <w:p w14:paraId="1EC4186F"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Nephew</w:t>
      </w:r>
      <w:hyperlink r:id="rId10" w:anchor="fn4" w:history="1">
        <w:r w:rsidRPr="002F3B35">
          <w:rPr>
            <w:rFonts w:ascii="Times New Roman" w:eastAsia="Times New Roman" w:hAnsi="Times New Roman" w:cs="Times New Roman"/>
            <w:sz w:val="17"/>
            <w:szCs w:val="17"/>
            <w:vertAlign w:val="superscript"/>
            <w:lang w:val="en"/>
          </w:rPr>
          <w:t>4</w:t>
        </w:r>
      </w:hyperlink>
    </w:p>
    <w:p w14:paraId="63EA18D0" w14:textId="77777777" w:rsidR="002F3B35" w:rsidRPr="002F3B35" w:rsidRDefault="0032745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hyperlink r:id="rId11" w:anchor="Stepchild" w:history="1">
        <w:r w:rsidR="002F3B35" w:rsidRPr="002F3B35">
          <w:rPr>
            <w:rFonts w:ascii="Times New Roman" w:eastAsia="Times New Roman" w:hAnsi="Times New Roman" w:cs="Times New Roman"/>
            <w:lang w:val="en"/>
          </w:rPr>
          <w:t>Stepchild</w:t>
        </w:r>
      </w:hyperlink>
    </w:p>
    <w:p w14:paraId="26C6D023" w14:textId="77777777" w:rsidR="002F3B35" w:rsidRPr="002F3B35" w:rsidRDefault="0032745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hyperlink r:id="rId12" w:anchor="AdoptedChild" w:history="1">
        <w:r w:rsidR="002F3B35" w:rsidRPr="002F3B35">
          <w:rPr>
            <w:rFonts w:ascii="Times New Roman" w:eastAsia="Times New Roman" w:hAnsi="Times New Roman" w:cs="Times New Roman"/>
            <w:lang w:val="en"/>
          </w:rPr>
          <w:t>Adopted child</w:t>
        </w:r>
      </w:hyperlink>
    </w:p>
    <w:p w14:paraId="342B89C2"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Sister</w:t>
      </w:r>
    </w:p>
    <w:p w14:paraId="0550B66A"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Half sister</w:t>
      </w:r>
    </w:p>
    <w:p w14:paraId="0472B94F"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Grandparent</w:t>
      </w:r>
    </w:p>
    <w:p w14:paraId="403BB309"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Stepsister</w:t>
      </w:r>
    </w:p>
    <w:p w14:paraId="4D5047F8"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Daughter-in-law</w:t>
      </w:r>
    </w:p>
    <w:p w14:paraId="1BE5DDEC"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Sister-in-law</w:t>
      </w:r>
    </w:p>
    <w:p w14:paraId="5C7F5EA1"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Mother-in-law</w:t>
      </w:r>
    </w:p>
    <w:p w14:paraId="1D5E33A9"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Aunt</w:t>
      </w:r>
      <w:hyperlink r:id="rId13" w:anchor="fn3" w:history="1">
        <w:r w:rsidRPr="002F3B35">
          <w:rPr>
            <w:rFonts w:ascii="Times New Roman" w:eastAsia="Times New Roman" w:hAnsi="Times New Roman" w:cs="Times New Roman"/>
            <w:sz w:val="17"/>
            <w:szCs w:val="17"/>
            <w:vertAlign w:val="superscript"/>
            <w:lang w:val="en"/>
          </w:rPr>
          <w:t>3</w:t>
        </w:r>
      </w:hyperlink>
    </w:p>
    <w:p w14:paraId="41F0A6D2" w14:textId="77777777" w:rsidR="002F3B35" w:rsidRPr="002F3B35" w:rsidRDefault="002F3B35" w:rsidP="002F3B35">
      <w:pPr>
        <w:numPr>
          <w:ilvl w:val="1"/>
          <w:numId w:val="1"/>
        </w:numPr>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lang w:val="en"/>
        </w:rPr>
        <w:t>Niece</w:t>
      </w:r>
      <w:hyperlink r:id="rId14" w:anchor="fn4" w:history="1">
        <w:r w:rsidRPr="002F3B35">
          <w:rPr>
            <w:rFonts w:ascii="Times New Roman" w:eastAsia="Times New Roman" w:hAnsi="Times New Roman" w:cs="Times New Roman"/>
            <w:sz w:val="17"/>
            <w:szCs w:val="17"/>
            <w:vertAlign w:val="superscript"/>
            <w:lang w:val="en"/>
          </w:rPr>
          <w:t>4</w:t>
        </w:r>
      </w:hyperlink>
    </w:p>
    <w:p w14:paraId="483CAA9E" w14:textId="79978292" w:rsidR="002F3B35" w:rsidRPr="00327455" w:rsidRDefault="002F3B35" w:rsidP="002F3B35">
      <w:pPr>
        <w:shd w:val="clear" w:color="auto" w:fill="FFFFFF"/>
        <w:spacing w:before="100" w:beforeAutospacing="1" w:after="100" w:afterAutospacing="1" w:line="240" w:lineRule="auto"/>
        <w:rPr>
          <w:rFonts w:ascii="Times New Roman" w:eastAsia="Times New Roman" w:hAnsi="Times New Roman" w:cs="Times New Roman"/>
          <w:u w:val="single"/>
          <w:lang w:val="en"/>
        </w:rPr>
      </w:pPr>
      <w:r w:rsidRPr="002F3B35">
        <w:rPr>
          <w:rFonts w:ascii="Times New Roman" w:eastAsia="Times New Roman" w:hAnsi="Times New Roman" w:cs="Times New Roman"/>
          <w:lang w:val="en"/>
        </w:rPr>
        <w:t xml:space="preserve">(1) </w:t>
      </w:r>
      <w:r w:rsidRPr="00327455">
        <w:rPr>
          <w:rFonts w:ascii="Times New Roman" w:eastAsia="Times New Roman" w:hAnsi="Times New Roman" w:cs="Times New Roman"/>
          <w:highlight w:val="yellow"/>
          <w:lang w:val="en"/>
        </w:rPr>
        <w:t xml:space="preserve">Any unrelated person </w:t>
      </w:r>
      <w:r w:rsidR="00C2219C" w:rsidRPr="00327455">
        <w:rPr>
          <w:rFonts w:ascii="Times New Roman" w:eastAsia="Times New Roman" w:hAnsi="Times New Roman" w:cs="Times New Roman"/>
          <w:b/>
          <w:highlight w:val="yellow"/>
          <w:lang w:val="en"/>
        </w:rPr>
        <w:t>WHO LIVED WITH YOU ALL YEAR</w:t>
      </w:r>
      <w:r w:rsidR="00C2219C" w:rsidRPr="00327455">
        <w:rPr>
          <w:rFonts w:ascii="Times New Roman" w:eastAsia="Times New Roman" w:hAnsi="Times New Roman" w:cs="Times New Roman"/>
          <w:highlight w:val="yellow"/>
          <w:lang w:val="en"/>
        </w:rPr>
        <w:t xml:space="preserve"> </w:t>
      </w:r>
      <w:r w:rsidRPr="00327455">
        <w:rPr>
          <w:rFonts w:ascii="Times New Roman" w:eastAsia="Times New Roman" w:hAnsi="Times New Roman" w:cs="Times New Roman"/>
          <w:highlight w:val="yellow"/>
          <w:lang w:val="en"/>
        </w:rPr>
        <w:t xml:space="preserve">as a member of your household can qualify you for a Dependent Exemption Credit </w:t>
      </w:r>
      <w:proofErr w:type="gramStart"/>
      <w:r w:rsidRPr="00327455">
        <w:rPr>
          <w:rFonts w:ascii="Times New Roman" w:eastAsia="Times New Roman" w:hAnsi="Times New Roman" w:cs="Times New Roman"/>
          <w:highlight w:val="yellow"/>
          <w:lang w:val="en"/>
        </w:rPr>
        <w:t>as long as</w:t>
      </w:r>
      <w:proofErr w:type="gramEnd"/>
      <w:r w:rsidRPr="00327455">
        <w:rPr>
          <w:rFonts w:ascii="Times New Roman" w:eastAsia="Times New Roman" w:hAnsi="Times New Roman" w:cs="Times New Roman"/>
          <w:highlight w:val="yellow"/>
          <w:lang w:val="en"/>
        </w:rPr>
        <w:t xml:space="preserve"> all the other requirements for the credit are met.  However, such a person cannot qualify you for head of household filing status.</w:t>
      </w:r>
      <w:r w:rsidRPr="00327455">
        <w:rPr>
          <w:rFonts w:ascii="Times New Roman" w:eastAsia="Times New Roman" w:hAnsi="Times New Roman" w:cs="Times New Roman"/>
          <w:lang w:val="en"/>
        </w:rPr>
        <w:t xml:space="preserve"> </w:t>
      </w:r>
      <w:r w:rsidRPr="00327455">
        <w:rPr>
          <w:rFonts w:ascii="Times New Roman" w:eastAsia="Times New Roman" w:hAnsi="Times New Roman" w:cs="Times New Roman"/>
          <w:u w:val="single"/>
          <w:lang w:val="en"/>
        </w:rPr>
        <w:t xml:space="preserve">A cousin is a descendant of a brother or sister of your parents and is </w:t>
      </w:r>
      <w:r w:rsidRPr="00327455">
        <w:rPr>
          <w:rFonts w:ascii="Times New Roman" w:eastAsia="Times New Roman" w:hAnsi="Times New Roman" w:cs="Times New Roman"/>
          <w:b/>
          <w:bCs/>
          <w:u w:val="single"/>
          <w:lang w:val="en"/>
        </w:rPr>
        <w:t>not</w:t>
      </w:r>
      <w:r w:rsidRPr="00327455">
        <w:rPr>
          <w:rFonts w:ascii="Times New Roman" w:eastAsia="Times New Roman" w:hAnsi="Times New Roman" w:cs="Times New Roman"/>
          <w:u w:val="single"/>
          <w:lang w:val="en"/>
        </w:rPr>
        <w:t xml:space="preserve"> one of the relatives who by law can qualify you for head of household filing status.</w:t>
      </w:r>
    </w:p>
    <w:p w14:paraId="5A6A518E"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2F3B35">
        <w:rPr>
          <w:rFonts w:ascii="Times New Roman" w:eastAsia="Times New Roman" w:hAnsi="Times New Roman" w:cs="Times New Roman"/>
          <w:lang w:val="en"/>
        </w:rPr>
        <w:t>(2) Any one of the relationships listed above that were established when the taxpayer married or entered into a registered domestic partnership are not ended if the taxpayer divorces or terminates the registered domestic partnership, or his or her spouse/RDP dies.</w:t>
      </w:r>
    </w:p>
    <w:p w14:paraId="3BC78C7A"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2F3B35">
        <w:rPr>
          <w:rFonts w:ascii="Times New Roman" w:eastAsia="Times New Roman" w:hAnsi="Times New Roman" w:cs="Times New Roman"/>
          <w:lang w:val="en"/>
        </w:rPr>
        <w:t>(3) An uncle or aunt may qualify you only if he or she is the brother or sister of your father or mother.</w:t>
      </w:r>
    </w:p>
    <w:p w14:paraId="716500A1"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2F3B35">
        <w:rPr>
          <w:rFonts w:ascii="Times New Roman" w:eastAsia="Times New Roman" w:hAnsi="Times New Roman" w:cs="Times New Roman"/>
          <w:lang w:val="en"/>
        </w:rPr>
        <w:t>(4) A nephew or niece may qualify you only if he or she is the child of your brother or sister.</w:t>
      </w:r>
    </w:p>
    <w:p w14:paraId="4AD6184C" w14:textId="77777777" w:rsidR="002F3B35" w:rsidRPr="002F3B35" w:rsidRDefault="002F3B35" w:rsidP="002F3B3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b/>
          <w:bCs/>
          <w:lang w:val="en"/>
        </w:rPr>
        <w:t>Gross Income Test.</w:t>
      </w:r>
      <w:r w:rsidRPr="002F3B35">
        <w:rPr>
          <w:rFonts w:ascii="Times New Roman" w:eastAsia="Times New Roman" w:hAnsi="Times New Roman" w:cs="Times New Roman"/>
          <w:lang w:val="en"/>
        </w:rPr>
        <w:t xml:space="preserve"> </w:t>
      </w:r>
      <w:r w:rsidRPr="00327455">
        <w:rPr>
          <w:rFonts w:ascii="Times New Roman" w:eastAsia="Times New Roman" w:hAnsi="Times New Roman" w:cs="Times New Roman"/>
          <w:highlight w:val="yellow"/>
          <w:lang w:val="en"/>
        </w:rPr>
        <w:t>To qualify for head of household filing status, your qualifying relative’s gross income must be less than the federal exemption amount for the year in question</w:t>
      </w:r>
      <w:r w:rsidRPr="002F3B35">
        <w:rPr>
          <w:rFonts w:ascii="Times New Roman" w:eastAsia="Times New Roman" w:hAnsi="Times New Roman" w:cs="Times New Roman"/>
          <w:lang w:val="en"/>
        </w:rPr>
        <w:t xml:space="preserve">. In addition, you are not </w:t>
      </w:r>
      <w:r w:rsidRPr="002F3B35">
        <w:rPr>
          <w:rFonts w:ascii="Times New Roman" w:eastAsia="Times New Roman" w:hAnsi="Times New Roman" w:cs="Times New Roman"/>
          <w:lang w:val="en"/>
        </w:rPr>
        <w:lastRenderedPageBreak/>
        <w:t xml:space="preserve">entitled to a Dependent Exemption Credit for a qualifying relative whose gross income was equal to or more than the federal allowable dependent exemption amount for that particular year. </w:t>
      </w:r>
    </w:p>
    <w:p w14:paraId="126F0689"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2F3B35">
        <w:rPr>
          <w:rFonts w:ascii="Times New Roman" w:eastAsia="Times New Roman" w:hAnsi="Times New Roman" w:cs="Times New Roman"/>
          <w:lang w:val="en"/>
        </w:rPr>
        <w:t xml:space="preserve">If your qualifying relative was married or an </w:t>
      </w:r>
      <w:hyperlink r:id="rId15" w:anchor="RegisteredDomesticPartner" w:history="1">
        <w:r w:rsidRPr="002F3B35">
          <w:rPr>
            <w:rFonts w:ascii="Times New Roman" w:eastAsia="Times New Roman" w:hAnsi="Times New Roman" w:cs="Times New Roman"/>
            <w:color w:val="1F70A7"/>
            <w:u w:val="single"/>
            <w:lang w:val="en"/>
          </w:rPr>
          <w:t>RDP</w:t>
        </w:r>
      </w:hyperlink>
      <w:r w:rsidRPr="002F3B35">
        <w:rPr>
          <w:rFonts w:ascii="Times New Roman" w:eastAsia="Times New Roman" w:hAnsi="Times New Roman" w:cs="Times New Roman"/>
          <w:lang w:val="en"/>
        </w:rPr>
        <w:t xml:space="preserve">, you must consider your qualifying relative's community interest in his or her spouse's/RDP's income in applying the gross income test. For the federal allowable exemption amount, see the federal instruction booklet for that </w:t>
      </w:r>
      <w:proofErr w:type="gramStart"/>
      <w:r w:rsidRPr="002F3B35">
        <w:rPr>
          <w:rFonts w:ascii="Times New Roman" w:eastAsia="Times New Roman" w:hAnsi="Times New Roman" w:cs="Times New Roman"/>
          <w:lang w:val="en"/>
        </w:rPr>
        <w:t>particular tax</w:t>
      </w:r>
      <w:proofErr w:type="gramEnd"/>
      <w:r w:rsidRPr="002F3B35">
        <w:rPr>
          <w:rFonts w:ascii="Times New Roman" w:eastAsia="Times New Roman" w:hAnsi="Times New Roman" w:cs="Times New Roman"/>
          <w:lang w:val="en"/>
        </w:rPr>
        <w:t xml:space="preserve"> year. For more information, go to </w:t>
      </w:r>
      <w:hyperlink r:id="rId16" w:history="1">
        <w:r w:rsidRPr="002F3B35">
          <w:rPr>
            <w:rFonts w:ascii="Times New Roman" w:eastAsia="Times New Roman" w:hAnsi="Times New Roman" w:cs="Times New Roman"/>
            <w:color w:val="1F70A7"/>
            <w:u w:val="single"/>
            <w:lang w:val="en"/>
          </w:rPr>
          <w:t>irs.gov</w:t>
        </w:r>
      </w:hyperlink>
      <w:r w:rsidRPr="002F3B35">
        <w:rPr>
          <w:rFonts w:ascii="Times New Roman" w:eastAsia="Times New Roman" w:hAnsi="Times New Roman" w:cs="Times New Roman"/>
          <w:lang w:val="en"/>
        </w:rPr>
        <w:t xml:space="preserve"> and search for Publication 17, Your Personal Income Tax.</w:t>
      </w:r>
    </w:p>
    <w:p w14:paraId="485A70F6" w14:textId="77777777" w:rsidR="002F3B35" w:rsidRPr="002F3B35" w:rsidRDefault="002F3B35" w:rsidP="002F3B3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lang w:val="en"/>
        </w:rPr>
      </w:pPr>
      <w:r w:rsidRPr="002F3B35">
        <w:rPr>
          <w:rFonts w:ascii="Times New Roman" w:eastAsia="Times New Roman" w:hAnsi="Times New Roman" w:cs="Times New Roman"/>
          <w:b/>
          <w:bCs/>
          <w:lang w:val="en"/>
        </w:rPr>
        <w:t>Support Test.</w:t>
      </w:r>
      <w:r w:rsidRPr="002F3B35">
        <w:rPr>
          <w:rFonts w:ascii="Times New Roman" w:eastAsia="Times New Roman" w:hAnsi="Times New Roman" w:cs="Times New Roman"/>
          <w:lang w:val="en"/>
        </w:rPr>
        <w:t xml:space="preserve"> </w:t>
      </w:r>
      <w:r w:rsidRPr="00327455">
        <w:rPr>
          <w:rFonts w:ascii="Times New Roman" w:eastAsia="Times New Roman" w:hAnsi="Times New Roman" w:cs="Times New Roman"/>
          <w:highlight w:val="yellow"/>
          <w:lang w:val="en"/>
        </w:rPr>
        <w:t xml:space="preserve">You must provide more than half of a person’s total </w:t>
      </w:r>
      <w:hyperlink r:id="rId17" w:anchor="Support" w:history="1">
        <w:r w:rsidRPr="00327455">
          <w:rPr>
            <w:rFonts w:ascii="Times New Roman" w:eastAsia="Times New Roman" w:hAnsi="Times New Roman" w:cs="Times New Roman"/>
            <w:color w:val="1F70A7"/>
            <w:highlight w:val="yellow"/>
            <w:u w:val="single"/>
            <w:lang w:val="en"/>
          </w:rPr>
          <w:t>support</w:t>
        </w:r>
      </w:hyperlink>
      <w:r w:rsidRPr="00327455">
        <w:rPr>
          <w:rFonts w:ascii="Times New Roman" w:eastAsia="Times New Roman" w:hAnsi="Times New Roman" w:cs="Times New Roman"/>
          <w:highlight w:val="yellow"/>
          <w:lang w:val="en"/>
        </w:rPr>
        <w:t xml:space="preserve"> during the calendar year to meet the support test.</w:t>
      </w:r>
      <w:bookmarkStart w:id="0" w:name="_GoBack"/>
      <w:bookmarkEnd w:id="0"/>
      <w:r w:rsidRPr="002F3B35">
        <w:rPr>
          <w:rFonts w:ascii="Times New Roman" w:eastAsia="Times New Roman" w:hAnsi="Times New Roman" w:cs="Times New Roman"/>
          <w:lang w:val="en"/>
        </w:rPr>
        <w:t xml:space="preserve"> To determine whether you have provided more than half the support, compare the amount you contributed for the person’s support to the entire amount of support the person received from all sources. All sources include tax-exempt income, such as social security benefits and Temporary Assistance for Needy Families (formerly Aid to Families with Dependent Children), and the person’s own funds used for support. </w:t>
      </w:r>
    </w:p>
    <w:p w14:paraId="50AC7A3D"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2F3B35">
        <w:rPr>
          <w:rFonts w:ascii="Times New Roman" w:eastAsia="Times New Roman" w:hAnsi="Times New Roman" w:cs="Times New Roman"/>
          <w:lang w:val="en"/>
        </w:rPr>
        <w:t xml:space="preserve">Your contribution may not include any part of the person’s support that was paid by the person with the person’s own wages, even if you paid the wages. The person’s own funds are not support unless they are </w:t>
      </w:r>
      <w:proofErr w:type="gramStart"/>
      <w:r w:rsidRPr="002F3B35">
        <w:rPr>
          <w:rFonts w:ascii="Times New Roman" w:eastAsia="Times New Roman" w:hAnsi="Times New Roman" w:cs="Times New Roman"/>
          <w:lang w:val="en"/>
        </w:rPr>
        <w:t>actually spent</w:t>
      </w:r>
      <w:proofErr w:type="gramEnd"/>
      <w:r w:rsidRPr="002F3B35">
        <w:rPr>
          <w:rFonts w:ascii="Times New Roman" w:eastAsia="Times New Roman" w:hAnsi="Times New Roman" w:cs="Times New Roman"/>
          <w:lang w:val="en"/>
        </w:rPr>
        <w:t xml:space="preserve"> for support. Also, see </w:t>
      </w:r>
      <w:hyperlink r:id="rId18" w:anchor="MultipleSupportAgreement" w:history="1">
        <w:r w:rsidRPr="002F3B35">
          <w:rPr>
            <w:rFonts w:ascii="Times New Roman" w:eastAsia="Times New Roman" w:hAnsi="Times New Roman" w:cs="Times New Roman"/>
            <w:color w:val="1F70A7"/>
            <w:u w:val="single"/>
            <w:lang w:val="en"/>
          </w:rPr>
          <w:t>Multiple Support Agreement</w:t>
        </w:r>
      </w:hyperlink>
      <w:r w:rsidRPr="002F3B35">
        <w:rPr>
          <w:rFonts w:ascii="Times New Roman" w:eastAsia="Times New Roman" w:hAnsi="Times New Roman" w:cs="Times New Roman"/>
          <w:lang w:val="en"/>
        </w:rPr>
        <w:t xml:space="preserve">. For more information, go to </w:t>
      </w:r>
      <w:hyperlink r:id="rId19" w:history="1">
        <w:r w:rsidRPr="002F3B35">
          <w:rPr>
            <w:rFonts w:ascii="Times New Roman" w:eastAsia="Times New Roman" w:hAnsi="Times New Roman" w:cs="Times New Roman"/>
            <w:color w:val="1F70A7"/>
            <w:u w:val="single"/>
            <w:lang w:val="en"/>
          </w:rPr>
          <w:t>irs.gov</w:t>
        </w:r>
      </w:hyperlink>
      <w:r w:rsidRPr="002F3B35">
        <w:rPr>
          <w:rFonts w:ascii="Times New Roman" w:eastAsia="Times New Roman" w:hAnsi="Times New Roman" w:cs="Times New Roman"/>
          <w:lang w:val="en"/>
        </w:rPr>
        <w:t xml:space="preserve"> and search for Publication 501, Exemptions, Standard Deduction, and Filing Information.</w:t>
      </w:r>
    </w:p>
    <w:p w14:paraId="03DA4D15" w14:textId="77777777" w:rsidR="002F3B35" w:rsidRPr="002F3B35" w:rsidRDefault="002F3B35" w:rsidP="002F3B35">
      <w:pPr>
        <w:shd w:val="clear" w:color="auto" w:fill="FFFFFF"/>
        <w:spacing w:before="100" w:beforeAutospacing="1" w:after="100" w:afterAutospacing="1" w:line="240" w:lineRule="auto"/>
        <w:rPr>
          <w:rFonts w:ascii="Times New Roman" w:eastAsia="Times New Roman" w:hAnsi="Times New Roman" w:cs="Times New Roman"/>
          <w:lang w:val="en"/>
        </w:rPr>
      </w:pPr>
      <w:r w:rsidRPr="002F3B35">
        <w:rPr>
          <w:rFonts w:ascii="Times New Roman" w:eastAsia="Times New Roman" w:hAnsi="Times New Roman" w:cs="Times New Roman"/>
          <w:lang w:val="en"/>
        </w:rPr>
        <w:t xml:space="preserve">To qualify for head of household filing status, you must be entitled to a Dependent Exemption Credit for your qualifying relative. Therefore, the qualifying relative must also meet the two additional tests for dependency (joint return test and citizenship test.) See </w:t>
      </w:r>
      <w:hyperlink r:id="rId20" w:anchor="DependentExemptionCredit" w:history="1">
        <w:r w:rsidRPr="002F3B35">
          <w:rPr>
            <w:rFonts w:ascii="Times New Roman" w:eastAsia="Times New Roman" w:hAnsi="Times New Roman" w:cs="Times New Roman"/>
            <w:color w:val="1F70A7"/>
            <w:u w:val="single"/>
            <w:lang w:val="en"/>
          </w:rPr>
          <w:t>Dependent Exemption Credit</w:t>
        </w:r>
      </w:hyperlink>
      <w:r w:rsidRPr="002F3B35">
        <w:rPr>
          <w:rFonts w:ascii="Times New Roman" w:eastAsia="Times New Roman" w:hAnsi="Times New Roman" w:cs="Times New Roman"/>
          <w:lang w:val="en"/>
        </w:rPr>
        <w:t xml:space="preserve"> for more information.</w:t>
      </w:r>
    </w:p>
    <w:p w14:paraId="0917889B" w14:textId="77777777" w:rsidR="002F3B35" w:rsidRPr="002F3B35" w:rsidRDefault="002F3B35">
      <w:pPr>
        <w:rPr>
          <w:rFonts w:ascii="Arial" w:hAnsi="Arial" w:cs="Arial"/>
          <w:sz w:val="24"/>
          <w:szCs w:val="24"/>
        </w:rPr>
      </w:pPr>
    </w:p>
    <w:sectPr w:rsidR="002F3B35" w:rsidRPr="002F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C376E"/>
    <w:multiLevelType w:val="multilevel"/>
    <w:tmpl w:val="8C1E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A5429"/>
    <w:multiLevelType w:val="multilevel"/>
    <w:tmpl w:val="EA427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35"/>
    <w:rsid w:val="000D78A3"/>
    <w:rsid w:val="002F3B35"/>
    <w:rsid w:val="00327455"/>
    <w:rsid w:val="00937DD3"/>
    <w:rsid w:val="00C2219C"/>
    <w:rsid w:val="00E9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C9FE"/>
  <w15:chartTrackingRefBased/>
  <w15:docId w15:val="{14ECB136-603A-461B-AB64-199ADD7D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3B35"/>
    <w:rPr>
      <w:color w:val="1F70A7"/>
      <w:u w:val="single"/>
    </w:rPr>
  </w:style>
  <w:style w:type="character" w:styleId="Strong">
    <w:name w:val="Strong"/>
    <w:basedOn w:val="DefaultParagraphFont"/>
    <w:uiPriority w:val="22"/>
    <w:qFormat/>
    <w:rsid w:val="002F3B35"/>
    <w:rPr>
      <w:b/>
      <w:bCs/>
    </w:rPr>
  </w:style>
  <w:style w:type="paragraph" w:styleId="NormalWeb">
    <w:name w:val="Normal (Web)"/>
    <w:basedOn w:val="Normal"/>
    <w:uiPriority w:val="99"/>
    <w:semiHidden/>
    <w:unhideWhenUsed/>
    <w:rsid w:val="002F3B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585196">
      <w:bodyDiv w:val="1"/>
      <w:marLeft w:val="0"/>
      <w:marRight w:val="0"/>
      <w:marTop w:val="0"/>
      <w:marBottom w:val="0"/>
      <w:divBdr>
        <w:top w:val="none" w:sz="0" w:space="0" w:color="auto"/>
        <w:left w:val="none" w:sz="0" w:space="0" w:color="auto"/>
        <w:bottom w:val="none" w:sz="0" w:space="0" w:color="auto"/>
        <w:right w:val="none" w:sz="0" w:space="0" w:color="auto"/>
      </w:divBdr>
      <w:divsChild>
        <w:div w:id="1162698266">
          <w:marLeft w:val="0"/>
          <w:marRight w:val="0"/>
          <w:marTop w:val="0"/>
          <w:marBottom w:val="0"/>
          <w:divBdr>
            <w:top w:val="none" w:sz="0" w:space="0" w:color="auto"/>
            <w:left w:val="none" w:sz="0" w:space="0" w:color="auto"/>
            <w:bottom w:val="none" w:sz="0" w:space="0" w:color="auto"/>
            <w:right w:val="none" w:sz="0" w:space="0" w:color="auto"/>
          </w:divBdr>
          <w:divsChild>
            <w:div w:id="2131239790">
              <w:marLeft w:val="0"/>
              <w:marRight w:val="0"/>
              <w:marTop w:val="0"/>
              <w:marBottom w:val="0"/>
              <w:divBdr>
                <w:top w:val="none" w:sz="0" w:space="0" w:color="auto"/>
                <w:left w:val="none" w:sz="0" w:space="0" w:color="auto"/>
                <w:bottom w:val="none" w:sz="0" w:space="0" w:color="auto"/>
                <w:right w:val="none" w:sz="0" w:space="0" w:color="auto"/>
              </w:divBdr>
              <w:divsChild>
                <w:div w:id="21187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b.ca.gov/individuals/hoh/selftest/definitions.shtml" TargetMode="External"/><Relationship Id="rId13" Type="http://schemas.openxmlformats.org/officeDocument/2006/relationships/hyperlink" Target="https://www.ftb.ca.gov/individuals/hoh/selftest/definitions.shtml" TargetMode="External"/><Relationship Id="rId18" Type="http://schemas.openxmlformats.org/officeDocument/2006/relationships/hyperlink" Target="https://www.ftb.ca.gov/individuals/hoh/selftest/definitions.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tb.ca.gov/individuals/hoh/selftest/definitions.shtml" TargetMode="External"/><Relationship Id="rId12" Type="http://schemas.openxmlformats.org/officeDocument/2006/relationships/hyperlink" Target="https://www.ftb.ca.gov/individuals/hoh/selftest/definitions.shtml" TargetMode="External"/><Relationship Id="rId17" Type="http://schemas.openxmlformats.org/officeDocument/2006/relationships/hyperlink" Target="https://www.ftb.ca.gov/individuals/hoh/selftest/definitions.shtml" TargetMode="External"/><Relationship Id="rId2" Type="http://schemas.openxmlformats.org/officeDocument/2006/relationships/styles" Target="styles.xml"/><Relationship Id="rId16" Type="http://schemas.openxmlformats.org/officeDocument/2006/relationships/hyperlink" Target="http://www.irs.gov/" TargetMode="External"/><Relationship Id="rId20" Type="http://schemas.openxmlformats.org/officeDocument/2006/relationships/hyperlink" Target="https://www.ftb.ca.gov/individuals/hoh/selftest/definitions.shtml" TargetMode="External"/><Relationship Id="rId1" Type="http://schemas.openxmlformats.org/officeDocument/2006/relationships/numbering" Target="numbering.xml"/><Relationship Id="rId6" Type="http://schemas.openxmlformats.org/officeDocument/2006/relationships/hyperlink" Target="https://www.ftb.ca.gov/individuals/hoh/selftest/definitions.shtml" TargetMode="External"/><Relationship Id="rId11" Type="http://schemas.openxmlformats.org/officeDocument/2006/relationships/hyperlink" Target="https://www.ftb.ca.gov/individuals/hoh/selftest/definitions.shtml" TargetMode="External"/><Relationship Id="rId5" Type="http://schemas.openxmlformats.org/officeDocument/2006/relationships/hyperlink" Target="https://www.ftb.ca.gov/individuals/hoh/selftest/definitions.shtml" TargetMode="External"/><Relationship Id="rId15" Type="http://schemas.openxmlformats.org/officeDocument/2006/relationships/hyperlink" Target="https://www.ftb.ca.gov/individuals/hoh/selftest/definitions.shtml" TargetMode="External"/><Relationship Id="rId10" Type="http://schemas.openxmlformats.org/officeDocument/2006/relationships/hyperlink" Target="https://www.ftb.ca.gov/individuals/hoh/selftest/definitions.shtml" TargetMode="External"/><Relationship Id="rId19" Type="http://schemas.openxmlformats.org/officeDocument/2006/relationships/hyperlink" Target="http://www.irs.gov/" TargetMode="External"/><Relationship Id="rId4" Type="http://schemas.openxmlformats.org/officeDocument/2006/relationships/webSettings" Target="webSettings.xml"/><Relationship Id="rId9" Type="http://schemas.openxmlformats.org/officeDocument/2006/relationships/hyperlink" Target="https://www.ftb.ca.gov/individuals/hoh/selftest/definitions.shtml" TargetMode="External"/><Relationship Id="rId14" Type="http://schemas.openxmlformats.org/officeDocument/2006/relationships/hyperlink" Target="https://www.ftb.ca.gov/individuals/hoh/selftest/definitions.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Giron Inc. 6</dc:creator>
  <cp:keywords/>
  <dc:description/>
  <cp:lastModifiedBy>Giron Inc. 6</cp:lastModifiedBy>
  <cp:revision>2</cp:revision>
  <dcterms:created xsi:type="dcterms:W3CDTF">2018-02-12T22:05:00Z</dcterms:created>
  <dcterms:modified xsi:type="dcterms:W3CDTF">2018-11-29T19:24:00Z</dcterms:modified>
</cp:coreProperties>
</file>