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31FB" w14:textId="77777777" w:rsidR="00185CD3" w:rsidRPr="00617BF7" w:rsidRDefault="009B3763" w:rsidP="00617BF7">
      <w:pPr>
        <w:spacing w:after="120"/>
        <w:ind w:left="-187" w:right="-504"/>
        <w:jc w:val="center"/>
        <w:rPr>
          <w:rFonts w:ascii="Arial" w:hAnsi="Arial" w:cs="Arial"/>
          <w:b/>
          <w:color w:val="2F5496" w:themeColor="accent1" w:themeShade="BF"/>
          <w:sz w:val="36"/>
          <w:szCs w:val="36"/>
        </w:rPr>
      </w:pPr>
      <w:r w:rsidRPr="00617BF7">
        <w:rPr>
          <w:rFonts w:ascii="Arial" w:hAnsi="Arial" w:cs="Arial"/>
          <w:color w:val="2F5496" w:themeColor="accent1" w:themeShade="BF"/>
          <w:sz w:val="36"/>
          <w:szCs w:val="36"/>
        </w:rPr>
        <w:t>Local Government Recovery Management</w:t>
      </w:r>
      <w:r w:rsidR="0042395E" w:rsidRPr="00617BF7">
        <w:rPr>
          <w:rFonts w:ascii="Arial" w:hAnsi="Arial" w:cs="Arial"/>
          <w:color w:val="2F5496" w:themeColor="accent1" w:themeShade="BF"/>
          <w:sz w:val="36"/>
          <w:szCs w:val="36"/>
        </w:rPr>
        <w:t xml:space="preserve"> Training and Guidance</w:t>
      </w:r>
    </w:p>
    <w:p w14:paraId="0A0841B4" w14:textId="77777777" w:rsidR="00316827" w:rsidRPr="00617BF7" w:rsidRDefault="00FC60EE" w:rsidP="002C43D4">
      <w:pPr>
        <w:jc w:val="center"/>
        <w:rPr>
          <w:color w:val="2F5496" w:themeColor="accent1" w:themeShade="BF"/>
          <w:sz w:val="28"/>
          <w:szCs w:val="23"/>
        </w:rPr>
      </w:pPr>
      <w:r w:rsidRPr="00617BF7">
        <w:rPr>
          <w:color w:val="2F5496" w:themeColor="accent1" w:themeShade="BF"/>
          <w:sz w:val="28"/>
          <w:szCs w:val="23"/>
        </w:rPr>
        <w:t>Recovery Timeline - Just-In-Time Training – Recovery Management Guide</w:t>
      </w:r>
    </w:p>
    <w:p w14:paraId="79CD4FDC" w14:textId="5D4DD408" w:rsidR="00FC60EE" w:rsidRDefault="00FC60EE">
      <w:pPr>
        <w:rPr>
          <w:sz w:val="23"/>
          <w:szCs w:val="23"/>
        </w:rPr>
      </w:pPr>
    </w:p>
    <w:p w14:paraId="1C09864A" w14:textId="134E4123" w:rsidR="00FD4317" w:rsidRDefault="00916CCB" w:rsidP="00F81A78">
      <w:pPr>
        <w:rPr>
          <w:sz w:val="23"/>
          <w:szCs w:val="23"/>
        </w:rPr>
      </w:pPr>
      <w:r w:rsidRPr="009905C2">
        <w:rPr>
          <w:noProof/>
        </w:rPr>
        <w:drawing>
          <wp:anchor distT="0" distB="0" distL="114300" distR="114300" simplePos="0" relativeHeight="251666432" behindDoc="0" locked="0" layoutInCell="1" allowOverlap="1" wp14:anchorId="0BF8E08E" wp14:editId="1D1C5FD7">
            <wp:simplePos x="0" y="0"/>
            <wp:positionH relativeFrom="column">
              <wp:posOffset>4792980</wp:posOffset>
            </wp:positionH>
            <wp:positionV relativeFrom="paragraph">
              <wp:posOffset>45720</wp:posOffset>
            </wp:positionV>
            <wp:extent cx="1866900" cy="31788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17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827" w:rsidRPr="00B420BE">
        <w:rPr>
          <w:sz w:val="23"/>
          <w:szCs w:val="23"/>
        </w:rPr>
        <w:t xml:space="preserve">FEMA’s Community Planning and Capacity Building </w:t>
      </w:r>
      <w:r w:rsidR="00316827">
        <w:rPr>
          <w:sz w:val="23"/>
          <w:szCs w:val="23"/>
        </w:rPr>
        <w:t>B</w:t>
      </w:r>
      <w:r w:rsidR="00316827" w:rsidRPr="00B420BE">
        <w:rPr>
          <w:sz w:val="23"/>
          <w:szCs w:val="23"/>
        </w:rPr>
        <w:t xml:space="preserve">ranch </w:t>
      </w:r>
      <w:r w:rsidR="007E4E80">
        <w:rPr>
          <w:sz w:val="23"/>
          <w:szCs w:val="23"/>
        </w:rPr>
        <w:t xml:space="preserve">(CPCB) </w:t>
      </w:r>
      <w:r w:rsidR="00316827">
        <w:rPr>
          <w:sz w:val="23"/>
          <w:szCs w:val="23"/>
        </w:rPr>
        <w:t>is leading a multi-partner effort to</w:t>
      </w:r>
      <w:r w:rsidR="00316827" w:rsidRPr="00B420BE">
        <w:rPr>
          <w:sz w:val="23"/>
          <w:szCs w:val="23"/>
        </w:rPr>
        <w:t xml:space="preserve"> </w:t>
      </w:r>
      <w:r w:rsidR="00B91785">
        <w:rPr>
          <w:sz w:val="23"/>
          <w:szCs w:val="23"/>
        </w:rPr>
        <w:t xml:space="preserve">strengthen </w:t>
      </w:r>
      <w:r w:rsidR="00316827">
        <w:rPr>
          <w:sz w:val="23"/>
          <w:szCs w:val="23"/>
        </w:rPr>
        <w:t xml:space="preserve">local </w:t>
      </w:r>
      <w:r w:rsidR="00B91785">
        <w:rPr>
          <w:sz w:val="23"/>
          <w:szCs w:val="23"/>
        </w:rPr>
        <w:t xml:space="preserve">disaster </w:t>
      </w:r>
      <w:r w:rsidR="00316827">
        <w:rPr>
          <w:sz w:val="23"/>
          <w:szCs w:val="23"/>
        </w:rPr>
        <w:t xml:space="preserve">recovery management capability by </w:t>
      </w:r>
      <w:r w:rsidR="00316827" w:rsidRPr="00B420BE">
        <w:rPr>
          <w:sz w:val="23"/>
          <w:szCs w:val="23"/>
        </w:rPr>
        <w:t xml:space="preserve">developing </w:t>
      </w:r>
      <w:r w:rsidR="00316827">
        <w:rPr>
          <w:sz w:val="23"/>
          <w:szCs w:val="23"/>
        </w:rPr>
        <w:t>targeted</w:t>
      </w:r>
      <w:r w:rsidR="002C43D4">
        <w:rPr>
          <w:sz w:val="23"/>
          <w:szCs w:val="23"/>
        </w:rPr>
        <w:t>,</w:t>
      </w:r>
      <w:r w:rsidR="00316827">
        <w:rPr>
          <w:sz w:val="23"/>
          <w:szCs w:val="23"/>
        </w:rPr>
        <w:t xml:space="preserve"> just-in-time training </w:t>
      </w:r>
      <w:r w:rsidR="005E4A00">
        <w:rPr>
          <w:sz w:val="23"/>
          <w:szCs w:val="23"/>
        </w:rPr>
        <w:t>courses</w:t>
      </w:r>
      <w:r w:rsidR="00316827" w:rsidRPr="00B420BE">
        <w:rPr>
          <w:sz w:val="23"/>
          <w:szCs w:val="23"/>
        </w:rPr>
        <w:t xml:space="preserve"> </w:t>
      </w:r>
      <w:r w:rsidR="00316827">
        <w:rPr>
          <w:sz w:val="23"/>
          <w:szCs w:val="23"/>
        </w:rPr>
        <w:t>that</w:t>
      </w:r>
      <w:r w:rsidR="00316827" w:rsidRPr="00B420BE">
        <w:rPr>
          <w:sz w:val="23"/>
          <w:szCs w:val="23"/>
        </w:rPr>
        <w:t xml:space="preserve"> support FEMA Strategic Goal 3.2.1</w:t>
      </w:r>
      <w:r w:rsidR="00C81323">
        <w:rPr>
          <w:rStyle w:val="FootnoteReference"/>
          <w:sz w:val="23"/>
          <w:szCs w:val="23"/>
        </w:rPr>
        <w:footnoteReference w:id="1"/>
      </w:r>
      <w:r w:rsidR="00C81323">
        <w:rPr>
          <w:sz w:val="23"/>
          <w:szCs w:val="23"/>
        </w:rPr>
        <w:t xml:space="preserve">. </w:t>
      </w:r>
      <w:r w:rsidR="0042395E">
        <w:rPr>
          <w:sz w:val="23"/>
          <w:szCs w:val="23"/>
        </w:rPr>
        <w:t xml:space="preserve">The courses are designed to deliver information </w:t>
      </w:r>
      <w:r w:rsidR="00C31C1D">
        <w:rPr>
          <w:sz w:val="23"/>
          <w:szCs w:val="23"/>
        </w:rPr>
        <w:t xml:space="preserve">following a disaster </w:t>
      </w:r>
      <w:r w:rsidR="0042395E">
        <w:rPr>
          <w:sz w:val="23"/>
          <w:szCs w:val="23"/>
        </w:rPr>
        <w:t xml:space="preserve">in appropriate packages, timed to the phase of the disaster when they are needed. </w:t>
      </w:r>
      <w:r w:rsidR="005E4A00">
        <w:rPr>
          <w:sz w:val="23"/>
          <w:szCs w:val="23"/>
        </w:rPr>
        <w:t xml:space="preserve">Along with these </w:t>
      </w:r>
      <w:r w:rsidR="002C43D4">
        <w:rPr>
          <w:sz w:val="23"/>
          <w:szCs w:val="23"/>
        </w:rPr>
        <w:t>offerings</w:t>
      </w:r>
      <w:r w:rsidR="005E4A00">
        <w:rPr>
          <w:sz w:val="23"/>
          <w:szCs w:val="23"/>
        </w:rPr>
        <w:t xml:space="preserve"> FEMA is developing a </w:t>
      </w:r>
      <w:r w:rsidR="00F81A78">
        <w:rPr>
          <w:sz w:val="23"/>
          <w:szCs w:val="23"/>
        </w:rPr>
        <w:t>R</w:t>
      </w:r>
      <w:r w:rsidR="005E4A00">
        <w:rPr>
          <w:sz w:val="23"/>
          <w:szCs w:val="23"/>
        </w:rPr>
        <w:t xml:space="preserve">ecovery </w:t>
      </w:r>
      <w:r w:rsidR="00F81A78">
        <w:rPr>
          <w:sz w:val="23"/>
          <w:szCs w:val="23"/>
        </w:rPr>
        <w:t>T</w:t>
      </w:r>
      <w:r w:rsidR="005E4A00">
        <w:rPr>
          <w:sz w:val="23"/>
          <w:szCs w:val="23"/>
        </w:rPr>
        <w:t xml:space="preserve">imeline and a Recovery Management Guide. </w:t>
      </w:r>
      <w:r w:rsidR="0042395E" w:rsidRPr="00904C5C">
        <w:rPr>
          <w:sz w:val="23"/>
          <w:szCs w:val="23"/>
        </w:rPr>
        <w:t xml:space="preserve">Each </w:t>
      </w:r>
      <w:r w:rsidR="002C43D4">
        <w:rPr>
          <w:sz w:val="23"/>
          <w:szCs w:val="23"/>
        </w:rPr>
        <w:t xml:space="preserve">of these </w:t>
      </w:r>
      <w:r w:rsidR="0042395E" w:rsidRPr="00904C5C">
        <w:rPr>
          <w:sz w:val="23"/>
          <w:szCs w:val="23"/>
        </w:rPr>
        <w:t>product</w:t>
      </w:r>
      <w:r w:rsidR="002C43D4">
        <w:rPr>
          <w:sz w:val="23"/>
          <w:szCs w:val="23"/>
        </w:rPr>
        <w:t>s</w:t>
      </w:r>
      <w:r w:rsidR="0042395E" w:rsidRPr="00904C5C">
        <w:rPr>
          <w:sz w:val="23"/>
          <w:szCs w:val="23"/>
        </w:rPr>
        <w:t xml:space="preserve"> will address the same local government recovery management disciplines but through different learning </w:t>
      </w:r>
      <w:r w:rsidR="0042395E" w:rsidRPr="00FD4317">
        <w:rPr>
          <w:sz w:val="23"/>
          <w:szCs w:val="23"/>
        </w:rPr>
        <w:t xml:space="preserve">formats. </w:t>
      </w:r>
      <w:r w:rsidR="00F81A78" w:rsidRPr="004E7975">
        <w:rPr>
          <w:i/>
          <w:sz w:val="23"/>
          <w:szCs w:val="23"/>
        </w:rPr>
        <w:t xml:space="preserve">More than 40 </w:t>
      </w:r>
      <w:r w:rsidR="00E90FBF">
        <w:rPr>
          <w:i/>
          <w:sz w:val="23"/>
          <w:szCs w:val="23"/>
        </w:rPr>
        <w:t xml:space="preserve">internal and external </w:t>
      </w:r>
      <w:r w:rsidR="00F81A78" w:rsidRPr="004E7975">
        <w:rPr>
          <w:i/>
          <w:sz w:val="23"/>
          <w:szCs w:val="23"/>
        </w:rPr>
        <w:t>partners</w:t>
      </w:r>
      <w:r w:rsidR="004E7975" w:rsidRPr="004E7975">
        <w:rPr>
          <w:i/>
          <w:sz w:val="23"/>
          <w:szCs w:val="23"/>
        </w:rPr>
        <w:t xml:space="preserve"> (listed on</w:t>
      </w:r>
      <w:r>
        <w:rPr>
          <w:i/>
          <w:sz w:val="23"/>
          <w:szCs w:val="23"/>
        </w:rPr>
        <w:t xml:space="preserve"> </w:t>
      </w:r>
      <w:r w:rsidR="004E7975" w:rsidRPr="004E7975">
        <w:rPr>
          <w:i/>
          <w:sz w:val="23"/>
          <w:szCs w:val="23"/>
        </w:rPr>
        <w:t>page</w:t>
      </w:r>
      <w:r w:rsidR="007D662A">
        <w:rPr>
          <w:i/>
          <w:sz w:val="23"/>
          <w:szCs w:val="23"/>
        </w:rPr>
        <w:t xml:space="preserve"> </w:t>
      </w:r>
      <w:r>
        <w:rPr>
          <w:i/>
          <w:sz w:val="23"/>
          <w:szCs w:val="23"/>
        </w:rPr>
        <w:t>3</w:t>
      </w:r>
      <w:r w:rsidR="004E7975" w:rsidRPr="004E7975">
        <w:rPr>
          <w:i/>
          <w:sz w:val="23"/>
          <w:szCs w:val="23"/>
        </w:rPr>
        <w:t>)</w:t>
      </w:r>
      <w:r w:rsidR="00F81A78" w:rsidRPr="004E7975">
        <w:rPr>
          <w:i/>
          <w:sz w:val="23"/>
          <w:szCs w:val="23"/>
        </w:rPr>
        <w:t xml:space="preserve"> </w:t>
      </w:r>
      <w:r w:rsidR="00FD4317" w:rsidRPr="004E7975">
        <w:rPr>
          <w:i/>
          <w:sz w:val="23"/>
          <w:szCs w:val="23"/>
        </w:rPr>
        <w:t>have participated in their development</w:t>
      </w:r>
      <w:r w:rsidR="004E7975" w:rsidRPr="004E7975">
        <w:rPr>
          <w:i/>
          <w:sz w:val="23"/>
          <w:szCs w:val="23"/>
        </w:rPr>
        <w:t>.</w:t>
      </w:r>
      <w:r w:rsidR="00554EED" w:rsidRPr="004E7975">
        <w:rPr>
          <w:sz w:val="23"/>
          <w:szCs w:val="23"/>
        </w:rPr>
        <w:t xml:space="preserve"> </w:t>
      </w:r>
    </w:p>
    <w:p w14:paraId="2B228D4A" w14:textId="77777777" w:rsidR="00F81A78" w:rsidRPr="0087167E" w:rsidRDefault="00F81A78">
      <w:pPr>
        <w:rPr>
          <w:sz w:val="23"/>
          <w:szCs w:val="23"/>
        </w:rPr>
      </w:pPr>
    </w:p>
    <w:p w14:paraId="6ABDECE5" w14:textId="0A8B1E9A" w:rsidR="007E4E80" w:rsidRDefault="00E90FBF">
      <w:pPr>
        <w:rPr>
          <w:sz w:val="23"/>
          <w:szCs w:val="23"/>
        </w:rPr>
      </w:pPr>
      <w:r w:rsidRPr="00617BF7">
        <w:rPr>
          <w:rFonts w:ascii="Arial Narrow" w:hAnsi="Arial Narrow"/>
          <w:b/>
          <w:color w:val="2F5496" w:themeColor="accent1" w:themeShade="BF"/>
          <w:sz w:val="30"/>
          <w:szCs w:val="30"/>
        </w:rPr>
        <w:t>The Need</w:t>
      </w:r>
      <w:r w:rsidRPr="00617BF7">
        <w:rPr>
          <w:color w:val="2F5496" w:themeColor="accent1" w:themeShade="BF"/>
          <w:sz w:val="32"/>
          <w:szCs w:val="23"/>
        </w:rPr>
        <w:t xml:space="preserve"> </w:t>
      </w:r>
      <w:r w:rsidR="00B420BE">
        <w:rPr>
          <w:sz w:val="23"/>
          <w:szCs w:val="23"/>
        </w:rPr>
        <w:t xml:space="preserve">- </w:t>
      </w:r>
      <w:r w:rsidR="00B420BE" w:rsidRPr="00B420BE">
        <w:rPr>
          <w:sz w:val="23"/>
          <w:szCs w:val="23"/>
        </w:rPr>
        <w:t>A disaster brings with it not just physical</w:t>
      </w:r>
      <w:r w:rsidR="00515284">
        <w:rPr>
          <w:sz w:val="23"/>
          <w:szCs w:val="23"/>
        </w:rPr>
        <w:t>, social, and economic</w:t>
      </w:r>
      <w:r w:rsidR="00B50913">
        <w:rPr>
          <w:sz w:val="23"/>
          <w:szCs w:val="23"/>
        </w:rPr>
        <w:t xml:space="preserve"> </w:t>
      </w:r>
      <w:r w:rsidR="00B420BE" w:rsidRPr="00B420BE">
        <w:rPr>
          <w:sz w:val="23"/>
          <w:szCs w:val="23"/>
        </w:rPr>
        <w:t>damage but also significant complexity for local governments responsible for managing the long</w:t>
      </w:r>
      <w:r w:rsidR="00B6626E">
        <w:rPr>
          <w:sz w:val="23"/>
          <w:szCs w:val="23"/>
        </w:rPr>
        <w:t>-</w:t>
      </w:r>
      <w:r w:rsidR="00B420BE" w:rsidRPr="00B420BE">
        <w:rPr>
          <w:sz w:val="23"/>
          <w:szCs w:val="23"/>
        </w:rPr>
        <w:t xml:space="preserve">term recovery process. </w:t>
      </w:r>
      <w:r w:rsidR="00284F05">
        <w:rPr>
          <w:sz w:val="23"/>
          <w:szCs w:val="23"/>
        </w:rPr>
        <w:t xml:space="preserve">Recovery presents a unique </w:t>
      </w:r>
      <w:r w:rsidR="007E4E80">
        <w:rPr>
          <w:sz w:val="23"/>
          <w:szCs w:val="23"/>
        </w:rPr>
        <w:t xml:space="preserve">management </w:t>
      </w:r>
      <w:r w:rsidR="00284F05">
        <w:rPr>
          <w:sz w:val="23"/>
          <w:szCs w:val="23"/>
        </w:rPr>
        <w:t>context with a</w:t>
      </w:r>
      <w:r w:rsidR="00B420BE" w:rsidRPr="00B420BE">
        <w:rPr>
          <w:sz w:val="23"/>
          <w:szCs w:val="23"/>
        </w:rPr>
        <w:t xml:space="preserve"> deluge of unfamiliar programs, compliance requirements, </w:t>
      </w:r>
      <w:r w:rsidR="007E4E80">
        <w:rPr>
          <w:sz w:val="23"/>
          <w:szCs w:val="23"/>
        </w:rPr>
        <w:t xml:space="preserve">many-fold increase in workload, </w:t>
      </w:r>
      <w:r w:rsidR="00B420BE" w:rsidRPr="00B420BE">
        <w:rPr>
          <w:sz w:val="23"/>
          <w:szCs w:val="23"/>
        </w:rPr>
        <w:t>unique financial challenges, new planning considerations</w:t>
      </w:r>
      <w:r w:rsidR="00B91785">
        <w:rPr>
          <w:sz w:val="23"/>
          <w:szCs w:val="23"/>
        </w:rPr>
        <w:t>,</w:t>
      </w:r>
      <w:r w:rsidR="00AB13C9">
        <w:rPr>
          <w:sz w:val="23"/>
          <w:szCs w:val="23"/>
        </w:rPr>
        <w:t xml:space="preserve"> </w:t>
      </w:r>
      <w:r w:rsidR="00422F57">
        <w:rPr>
          <w:sz w:val="23"/>
          <w:szCs w:val="23"/>
        </w:rPr>
        <w:t xml:space="preserve">and </w:t>
      </w:r>
      <w:r w:rsidR="009905C2">
        <w:rPr>
          <w:sz w:val="23"/>
          <w:szCs w:val="23"/>
        </w:rPr>
        <w:t xml:space="preserve">all of this at </w:t>
      </w:r>
      <w:r w:rsidR="00422F57">
        <w:rPr>
          <w:sz w:val="23"/>
          <w:szCs w:val="23"/>
        </w:rPr>
        <w:t>an incredibly</w:t>
      </w:r>
      <w:r w:rsidR="00AB13C9">
        <w:rPr>
          <w:sz w:val="23"/>
          <w:szCs w:val="23"/>
        </w:rPr>
        <w:t xml:space="preserve"> </w:t>
      </w:r>
      <w:r w:rsidR="00B420BE" w:rsidRPr="00B420BE">
        <w:rPr>
          <w:sz w:val="23"/>
          <w:szCs w:val="23"/>
        </w:rPr>
        <w:t>fast pace</w:t>
      </w:r>
      <w:r w:rsidR="007E4E80">
        <w:rPr>
          <w:sz w:val="23"/>
          <w:szCs w:val="23"/>
        </w:rPr>
        <w:t>.</w:t>
      </w:r>
      <w:r w:rsidR="00284F05">
        <w:rPr>
          <w:sz w:val="23"/>
          <w:szCs w:val="23"/>
        </w:rPr>
        <w:t xml:space="preserve"> </w:t>
      </w:r>
    </w:p>
    <w:p w14:paraId="13361065" w14:textId="7A0C44CF" w:rsidR="007E4E80" w:rsidRDefault="007E4E80">
      <w:pPr>
        <w:rPr>
          <w:sz w:val="23"/>
          <w:szCs w:val="23"/>
        </w:rPr>
      </w:pPr>
    </w:p>
    <w:p w14:paraId="1C1FA831" w14:textId="246ED6FD" w:rsidR="009B3763" w:rsidRDefault="00284F05">
      <w:pPr>
        <w:rPr>
          <w:sz w:val="23"/>
          <w:szCs w:val="23"/>
        </w:rPr>
      </w:pPr>
      <w:r>
        <w:rPr>
          <w:sz w:val="23"/>
          <w:szCs w:val="23"/>
        </w:rPr>
        <w:t xml:space="preserve">This </w:t>
      </w:r>
      <w:r w:rsidR="00422F57">
        <w:rPr>
          <w:sz w:val="23"/>
          <w:szCs w:val="23"/>
        </w:rPr>
        <w:t>period</w:t>
      </w:r>
      <w:r>
        <w:rPr>
          <w:sz w:val="23"/>
          <w:szCs w:val="23"/>
        </w:rPr>
        <w:t xml:space="preserve"> can be very challenging for local government executives, </w:t>
      </w:r>
      <w:r w:rsidR="007E4E80">
        <w:rPr>
          <w:sz w:val="23"/>
          <w:szCs w:val="23"/>
        </w:rPr>
        <w:t>managers</w:t>
      </w:r>
      <w:r w:rsidR="009905C2">
        <w:rPr>
          <w:sz w:val="23"/>
          <w:szCs w:val="23"/>
        </w:rPr>
        <w:t>,</w:t>
      </w:r>
      <w:r w:rsidR="007E4E80">
        <w:rPr>
          <w:sz w:val="23"/>
          <w:szCs w:val="23"/>
        </w:rPr>
        <w:t xml:space="preserve"> and organizations, </w:t>
      </w:r>
      <w:r>
        <w:rPr>
          <w:sz w:val="23"/>
          <w:szCs w:val="23"/>
        </w:rPr>
        <w:t xml:space="preserve">especially those with </w:t>
      </w:r>
      <w:r w:rsidR="007E4E80">
        <w:rPr>
          <w:sz w:val="23"/>
          <w:szCs w:val="23"/>
        </w:rPr>
        <w:t xml:space="preserve">little or </w:t>
      </w:r>
      <w:r>
        <w:rPr>
          <w:sz w:val="23"/>
          <w:szCs w:val="23"/>
        </w:rPr>
        <w:t>no prior experience managing recovery efforts</w:t>
      </w:r>
      <w:r w:rsidR="00B420BE" w:rsidRPr="00B420BE">
        <w:rPr>
          <w:sz w:val="23"/>
          <w:szCs w:val="23"/>
        </w:rPr>
        <w:t>.</w:t>
      </w:r>
      <w:r w:rsidR="007E4E80">
        <w:rPr>
          <w:sz w:val="23"/>
          <w:szCs w:val="23"/>
        </w:rPr>
        <w:t xml:space="preserve"> While training is offered before events, and that remains a priority focus for prepar</w:t>
      </w:r>
      <w:r w:rsidR="002D0B64">
        <w:rPr>
          <w:sz w:val="23"/>
          <w:szCs w:val="23"/>
        </w:rPr>
        <w:t>edness</w:t>
      </w:r>
      <w:r w:rsidR="007E4E80">
        <w:rPr>
          <w:sz w:val="23"/>
          <w:szCs w:val="23"/>
        </w:rPr>
        <w:t xml:space="preserve">, the fact remains that many local governments will not have leaders and staff </w:t>
      </w:r>
      <w:r w:rsidR="00B91785">
        <w:rPr>
          <w:sz w:val="23"/>
          <w:szCs w:val="23"/>
        </w:rPr>
        <w:t>experienced in disaster</w:t>
      </w:r>
      <w:r w:rsidR="00C47480">
        <w:rPr>
          <w:sz w:val="23"/>
          <w:szCs w:val="23"/>
        </w:rPr>
        <w:t xml:space="preserve"> </w:t>
      </w:r>
      <w:r w:rsidR="00B91785">
        <w:rPr>
          <w:sz w:val="23"/>
          <w:szCs w:val="23"/>
        </w:rPr>
        <w:t xml:space="preserve">recovery </w:t>
      </w:r>
      <w:r w:rsidR="00C47480">
        <w:rPr>
          <w:sz w:val="23"/>
          <w:szCs w:val="23"/>
        </w:rPr>
        <w:t xml:space="preserve">management. </w:t>
      </w:r>
    </w:p>
    <w:p w14:paraId="05842DCE" w14:textId="08A40DAF" w:rsidR="006D5E80" w:rsidRDefault="006D5E80">
      <w:pPr>
        <w:rPr>
          <w:sz w:val="23"/>
          <w:szCs w:val="23"/>
        </w:rPr>
      </w:pPr>
    </w:p>
    <w:p w14:paraId="3ADDEEAF" w14:textId="4B3A6D5E" w:rsidR="009905C2" w:rsidRPr="006D5E80" w:rsidRDefault="00B05FEE" w:rsidP="009905C2">
      <w:pPr>
        <w:rPr>
          <w:sz w:val="23"/>
          <w:szCs w:val="23"/>
        </w:rPr>
      </w:pPr>
      <w:r w:rsidRPr="009905C2">
        <w:rPr>
          <w:noProof/>
          <w:sz w:val="23"/>
          <w:szCs w:val="23"/>
        </w:rPr>
        <mc:AlternateContent>
          <mc:Choice Requires="wps">
            <w:drawing>
              <wp:anchor distT="45720" distB="45720" distL="114300" distR="114300" simplePos="0" relativeHeight="251668480" behindDoc="0" locked="0" layoutInCell="1" allowOverlap="1" wp14:anchorId="3A7CD248" wp14:editId="02527F0F">
                <wp:simplePos x="0" y="0"/>
                <wp:positionH relativeFrom="column">
                  <wp:posOffset>4373880</wp:posOffset>
                </wp:positionH>
                <wp:positionV relativeFrom="paragraph">
                  <wp:posOffset>11430</wp:posOffset>
                </wp:positionV>
                <wp:extent cx="2293620" cy="22936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293620"/>
                        </a:xfrm>
                        <a:prstGeom prst="rect">
                          <a:avLst/>
                        </a:prstGeom>
                        <a:solidFill>
                          <a:schemeClr val="accent1">
                            <a:lumMod val="20000"/>
                            <a:lumOff val="80000"/>
                          </a:schemeClr>
                        </a:solidFill>
                        <a:ln w="9525">
                          <a:solidFill>
                            <a:srgbClr val="000000"/>
                          </a:solidFill>
                          <a:miter lim="800000"/>
                          <a:headEnd/>
                          <a:tailEnd/>
                        </a:ln>
                      </wps:spPr>
                      <wps:txbx>
                        <w:txbxContent>
                          <w:p w14:paraId="12CE6596" w14:textId="77777777" w:rsidR="009905C2" w:rsidRPr="00941354" w:rsidRDefault="00941354">
                            <w:pPr>
                              <w:rPr>
                                <w:i/>
                              </w:rPr>
                            </w:pPr>
                            <w:r w:rsidRPr="00941354">
                              <w:rPr>
                                <w:i/>
                              </w:rPr>
                              <w:t xml:space="preserve">When you are a small town you just don’t have the capacity. For example, we don’t have a housing department. Our finance department is one person. Information thrown at you following a federal disaster is so overwhelming. There’s so much to learn. But so confusing because they all have different rules and processes. </w:t>
                            </w:r>
                          </w:p>
                          <w:p w14:paraId="131BEA23" w14:textId="77777777" w:rsidR="00941354" w:rsidRPr="00554EED" w:rsidRDefault="00941354" w:rsidP="00941354">
                            <w:pPr>
                              <w:pStyle w:val="ListParagraph"/>
                              <w:numPr>
                                <w:ilvl w:val="0"/>
                                <w:numId w:val="9"/>
                              </w:numPr>
                              <w:ind w:left="180" w:hanging="180"/>
                            </w:pPr>
                            <w:r w:rsidRPr="00554EED">
                              <w:t>Victoria Simonsen, Town Administrator, Lyons, 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CD248" id="_x0000_t202" coordsize="21600,21600" o:spt="202" path="m,l,21600r21600,l21600,xe">
                <v:stroke joinstyle="miter"/>
                <v:path gradientshapeok="t" o:connecttype="rect"/>
              </v:shapetype>
              <v:shape id="Text Box 2" o:spid="_x0000_s1026" type="#_x0000_t202" style="position:absolute;margin-left:344.4pt;margin-top:.9pt;width:180.6pt;height:18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QQIAAIUEAAAOAAAAZHJzL2Uyb0RvYy54bWysVNtu2zAMfR+wfxD0vjjxkrYx4hRdug4D&#10;ugvQ7gMUWY6FSaImKbG7ry8lOWm6vQ17MSSSOjzkIb26HrQiB+G8BFPT2WRKiTAcGml2Nf3xePfu&#10;ihIfmGmYAiNq+iQ8vV6/fbPqbSVK6EA1whEEMb7qbU27EGxVFJ53QjM/ASsMOltwmgW8ul3RONYj&#10;ulZFOZ1eFD24xjrgwnu03mYnXSf8thU8fGtbLwJRNUVuIX1d+m7jt1ivWLVzzHaSjzTYP7DQTBpM&#10;eoK6ZYGRvZN/QWnJHXhow4SDLqBtJRepBqxmNv2jmoeOWZFqweZ4e2qT/3+w/OvhuyOyqWk5u6TE&#10;MI0iPYohkA8wkDL2p7e+wrAHi4FhQDPqnGr19h74T08MbDpmduLGOeg7wRrkN4svi7OnGcdHkG3/&#10;BRpMw/YBEtDQOh2bh+0giI46PZ20iVQ4Gsty+f6iRBdH3/ESc7Dq+Nw6Hz4J0CQeaupQ/ATPDvc+&#10;5NBjSMzmQcnmTiqVLnHgxEY5cmA4KoxzYUIuU+018s12HLnpODRoxtHK5qujGdmk0Y1IidurJMqQ&#10;vqbLRbnI/XtFwO22p/QRLueJgOdhWgbcFyV1TVPSkUzs+kfTYJGsCkyqfMbHyowyxM5nDcKwHTAw&#10;arOF5gkFcZD3AvcYDx2435T0uBM19b/2zAlK1GeDoi5n83lconSZLy6jHO7csz33MMMRqqaBknzc&#10;hLR4kaOBGxS/lUmWFyYjV5z11LxxL+Mynd9T1MvfY/0MAAD//wMAUEsDBBQABgAIAAAAIQCYTh1/&#10;3gAAAAoBAAAPAAAAZHJzL2Rvd25yZXYueG1sTI/BTsMwDIbvSLxDZCRuLIGKUnVNJ4TUiQsCWi7c&#10;ssZrqzVO1WRbeXu8E5ws67N+f3+xWdwoTjiHwZOG+5UCgdR6O1Cn4aup7jIQIRqyZvSEGn4wwKa8&#10;vipMbv2ZPvFUx05wCIXcaOhjnHIpQ9ujM2HlJyRmez87E3mdO2lnc+ZwN8oHpVLpzED8oTcTvvTY&#10;Huqj07D9qN588l0/jWFLsaum5n3/2mh9e7M8r0FEXOLfMVz0WR1Kdtr5I9kgRg1plrF6ZMDjwtWj&#10;4nI7DUmaKJBlIf9XKH8BAAD//wMAUEsBAi0AFAAGAAgAAAAhALaDOJL+AAAA4QEAABMAAAAAAAAA&#10;AAAAAAAAAAAAAFtDb250ZW50X1R5cGVzXS54bWxQSwECLQAUAAYACAAAACEAOP0h/9YAAACUAQAA&#10;CwAAAAAAAAAAAAAAAAAvAQAAX3JlbHMvLnJlbHNQSwECLQAUAAYACAAAACEAv0MgfkECAACFBAAA&#10;DgAAAAAAAAAAAAAAAAAuAgAAZHJzL2Uyb0RvYy54bWxQSwECLQAUAAYACAAAACEAmE4df94AAAAK&#10;AQAADwAAAAAAAAAAAAAAAACbBAAAZHJzL2Rvd25yZXYueG1sUEsFBgAAAAAEAAQA8wAAAKYFAAAA&#10;AA==&#10;" fillcolor="#d9e2f3 [660]">
                <v:textbox>
                  <w:txbxContent>
                    <w:p w14:paraId="12CE6596" w14:textId="77777777" w:rsidR="009905C2" w:rsidRPr="00941354" w:rsidRDefault="00941354">
                      <w:pPr>
                        <w:rPr>
                          <w:i/>
                        </w:rPr>
                      </w:pPr>
                      <w:r w:rsidRPr="00941354">
                        <w:rPr>
                          <w:i/>
                        </w:rPr>
                        <w:t xml:space="preserve">When you are a small town you just don’t have the capacity. For example, we don’t have a housing department. Our finance department is one person. Information thrown at you following a federal disaster is so overwhelming. There’s so much to learn. But so confusing because they all have different rules and processes. </w:t>
                      </w:r>
                    </w:p>
                    <w:p w14:paraId="131BEA23" w14:textId="77777777" w:rsidR="00941354" w:rsidRPr="00554EED" w:rsidRDefault="00941354" w:rsidP="00941354">
                      <w:pPr>
                        <w:pStyle w:val="ListParagraph"/>
                        <w:numPr>
                          <w:ilvl w:val="0"/>
                          <w:numId w:val="9"/>
                        </w:numPr>
                        <w:ind w:left="180" w:hanging="180"/>
                      </w:pPr>
                      <w:r w:rsidRPr="00554EED">
                        <w:t>Victoria Simonsen, Town Administrator, Lyons, CO</w:t>
                      </w:r>
                    </w:p>
                  </w:txbxContent>
                </v:textbox>
                <w10:wrap type="square"/>
              </v:shape>
            </w:pict>
          </mc:Fallback>
        </mc:AlternateContent>
      </w:r>
      <w:r w:rsidR="009905C2">
        <w:rPr>
          <w:sz w:val="23"/>
          <w:szCs w:val="23"/>
        </w:rPr>
        <w:t>Currently a</w:t>
      </w:r>
      <w:r w:rsidR="009905C2" w:rsidRPr="006D5E80">
        <w:rPr>
          <w:sz w:val="23"/>
          <w:szCs w:val="23"/>
        </w:rPr>
        <w:t xml:space="preserve">vailable guidance for local government executives </w:t>
      </w:r>
      <w:r w:rsidR="009905C2">
        <w:rPr>
          <w:sz w:val="23"/>
          <w:szCs w:val="23"/>
        </w:rPr>
        <w:t xml:space="preserve">(offered by governmental and non-governmental sources) </w:t>
      </w:r>
      <w:r w:rsidR="009905C2" w:rsidRPr="006D5E80">
        <w:rPr>
          <w:sz w:val="23"/>
          <w:szCs w:val="23"/>
        </w:rPr>
        <w:t>is far from scant. Rather, it is often</w:t>
      </w:r>
      <w:r w:rsidR="009905C2">
        <w:rPr>
          <w:sz w:val="23"/>
          <w:szCs w:val="23"/>
        </w:rPr>
        <w:t>:</w:t>
      </w:r>
      <w:r w:rsidR="009905C2" w:rsidRPr="006D5E80">
        <w:rPr>
          <w:sz w:val="23"/>
          <w:szCs w:val="23"/>
        </w:rPr>
        <w:t xml:space="preserve"> </w:t>
      </w:r>
    </w:p>
    <w:p w14:paraId="6F1A87EA" w14:textId="77777777" w:rsidR="009905C2" w:rsidRPr="0087167E" w:rsidRDefault="009905C2" w:rsidP="0087167E">
      <w:pPr>
        <w:pStyle w:val="ListParagraph"/>
        <w:numPr>
          <w:ilvl w:val="0"/>
          <w:numId w:val="11"/>
        </w:numPr>
        <w:ind w:left="360"/>
        <w:rPr>
          <w:sz w:val="23"/>
          <w:szCs w:val="23"/>
        </w:rPr>
      </w:pPr>
      <w:r w:rsidRPr="0087167E">
        <w:rPr>
          <w:sz w:val="23"/>
          <w:szCs w:val="23"/>
        </w:rPr>
        <w:t>Too much information that cannot be digested easily by local government officials</w:t>
      </w:r>
    </w:p>
    <w:p w14:paraId="67DCFBC4" w14:textId="77777777" w:rsidR="009905C2" w:rsidRPr="0087167E" w:rsidRDefault="009905C2" w:rsidP="0087167E">
      <w:pPr>
        <w:pStyle w:val="ListParagraph"/>
        <w:numPr>
          <w:ilvl w:val="0"/>
          <w:numId w:val="11"/>
        </w:numPr>
        <w:ind w:left="360"/>
        <w:rPr>
          <w:sz w:val="23"/>
          <w:szCs w:val="23"/>
        </w:rPr>
      </w:pPr>
      <w:r w:rsidRPr="0087167E">
        <w:rPr>
          <w:sz w:val="23"/>
          <w:szCs w:val="23"/>
        </w:rPr>
        <w:t>Not presented as a coordinated, comprehensive training system</w:t>
      </w:r>
    </w:p>
    <w:p w14:paraId="23B36D70" w14:textId="4BEF4652" w:rsidR="009905C2" w:rsidRPr="0087167E" w:rsidRDefault="009905C2" w:rsidP="0087167E">
      <w:pPr>
        <w:pStyle w:val="ListParagraph"/>
        <w:numPr>
          <w:ilvl w:val="0"/>
          <w:numId w:val="11"/>
        </w:numPr>
        <w:ind w:left="360"/>
        <w:rPr>
          <w:sz w:val="23"/>
          <w:szCs w:val="23"/>
        </w:rPr>
      </w:pPr>
      <w:r w:rsidRPr="0087167E">
        <w:rPr>
          <w:sz w:val="23"/>
          <w:szCs w:val="23"/>
        </w:rPr>
        <w:t>Not tailored to the disaster environment - in content, timing or duration.</w:t>
      </w:r>
      <w:r w:rsidR="0087167E" w:rsidRPr="0087167E">
        <w:rPr>
          <w:sz w:val="23"/>
          <w:szCs w:val="23"/>
        </w:rPr>
        <w:t xml:space="preserve"> </w:t>
      </w:r>
    </w:p>
    <w:p w14:paraId="04F8E753" w14:textId="77777777" w:rsidR="0087167E" w:rsidRPr="0087167E" w:rsidRDefault="0087167E" w:rsidP="0087167E">
      <w:pPr>
        <w:rPr>
          <w:sz w:val="23"/>
          <w:szCs w:val="23"/>
        </w:rPr>
      </w:pPr>
    </w:p>
    <w:p w14:paraId="60C53F3F" w14:textId="13FD7D03" w:rsidR="00185CD3" w:rsidRPr="00617BF7" w:rsidRDefault="00B420BE" w:rsidP="002C43D4">
      <w:pPr>
        <w:rPr>
          <w:rFonts w:ascii="Arial Narrow" w:hAnsi="Arial Narrow"/>
          <w:b/>
          <w:color w:val="2F5496" w:themeColor="accent1" w:themeShade="BF"/>
          <w:sz w:val="30"/>
          <w:szCs w:val="30"/>
        </w:rPr>
      </w:pPr>
      <w:r w:rsidRPr="00617BF7">
        <w:rPr>
          <w:rFonts w:ascii="Arial Narrow" w:hAnsi="Arial Narrow"/>
          <w:b/>
          <w:color w:val="2F5496" w:themeColor="accent1" w:themeShade="BF"/>
          <w:sz w:val="30"/>
          <w:szCs w:val="30"/>
        </w:rPr>
        <w:t>Three P</w:t>
      </w:r>
      <w:r w:rsidR="00554EED" w:rsidRPr="00617BF7">
        <w:rPr>
          <w:rFonts w:ascii="Arial Narrow" w:hAnsi="Arial Narrow"/>
          <w:b/>
          <w:color w:val="2F5496" w:themeColor="accent1" w:themeShade="BF"/>
          <w:sz w:val="30"/>
          <w:szCs w:val="30"/>
        </w:rPr>
        <w:t>roducts</w:t>
      </w:r>
      <w:r w:rsidRPr="00617BF7">
        <w:rPr>
          <w:rFonts w:ascii="Arial Narrow" w:hAnsi="Arial Narrow"/>
          <w:b/>
          <w:color w:val="2F5496" w:themeColor="accent1" w:themeShade="BF"/>
          <w:sz w:val="30"/>
          <w:szCs w:val="30"/>
        </w:rPr>
        <w:t xml:space="preserve"> </w:t>
      </w:r>
    </w:p>
    <w:p w14:paraId="0A182C75" w14:textId="20C2DAA2" w:rsidR="006D5E80" w:rsidRDefault="006D5E80" w:rsidP="00A42203">
      <w:pPr>
        <w:pStyle w:val="ListParagraph"/>
        <w:numPr>
          <w:ilvl w:val="0"/>
          <w:numId w:val="2"/>
        </w:numPr>
        <w:ind w:left="360"/>
        <w:rPr>
          <w:sz w:val="23"/>
          <w:szCs w:val="23"/>
        </w:rPr>
      </w:pPr>
      <w:r w:rsidRPr="00617BF7">
        <w:rPr>
          <w:rFonts w:ascii="Arial" w:hAnsi="Arial" w:cs="Arial"/>
          <w:i/>
          <w:color w:val="2F5496" w:themeColor="accent1" w:themeShade="BF"/>
          <w:sz w:val="24"/>
          <w:szCs w:val="23"/>
        </w:rPr>
        <w:t>Recovery Timeline</w:t>
      </w:r>
      <w:r w:rsidRPr="00617BF7">
        <w:rPr>
          <w:rFonts w:ascii="Arial" w:hAnsi="Arial" w:cs="Arial"/>
          <w:i/>
          <w:color w:val="2F5496" w:themeColor="accent1" w:themeShade="BF"/>
          <w:sz w:val="23"/>
          <w:szCs w:val="23"/>
        </w:rPr>
        <w:t>:</w:t>
      </w:r>
      <w:r w:rsidRPr="00617BF7">
        <w:rPr>
          <w:color w:val="2F5496" w:themeColor="accent1" w:themeShade="BF"/>
          <w:sz w:val="23"/>
          <w:szCs w:val="23"/>
        </w:rPr>
        <w:t xml:space="preserve"> </w:t>
      </w:r>
      <w:r w:rsidR="002D0B64">
        <w:rPr>
          <w:sz w:val="23"/>
          <w:szCs w:val="23"/>
        </w:rPr>
        <w:t>A</w:t>
      </w:r>
      <w:r w:rsidR="00A42203">
        <w:rPr>
          <w:sz w:val="23"/>
          <w:szCs w:val="23"/>
        </w:rPr>
        <w:t xml:space="preserve"> </w:t>
      </w:r>
      <w:proofErr w:type="gramStart"/>
      <w:r w:rsidR="00A42203">
        <w:rPr>
          <w:sz w:val="23"/>
          <w:szCs w:val="23"/>
        </w:rPr>
        <w:t>20,000 foot</w:t>
      </w:r>
      <w:proofErr w:type="gramEnd"/>
      <w:r w:rsidR="00A42203">
        <w:rPr>
          <w:sz w:val="23"/>
          <w:szCs w:val="23"/>
        </w:rPr>
        <w:t xml:space="preserve"> overview of the significant recovery milestones and action steps that local governments should be familiar with across the first year and a half after a disaster. This will first be developed as a </w:t>
      </w:r>
      <w:r w:rsidR="00B50913">
        <w:rPr>
          <w:sz w:val="23"/>
          <w:szCs w:val="23"/>
        </w:rPr>
        <w:t>static visual</w:t>
      </w:r>
      <w:r w:rsidR="00A42203">
        <w:rPr>
          <w:sz w:val="23"/>
          <w:szCs w:val="23"/>
        </w:rPr>
        <w:t xml:space="preserve"> and later as a web</w:t>
      </w:r>
      <w:r w:rsidR="00904C5C">
        <w:rPr>
          <w:sz w:val="23"/>
          <w:szCs w:val="23"/>
        </w:rPr>
        <w:t>-</w:t>
      </w:r>
      <w:r w:rsidR="00A42203">
        <w:rPr>
          <w:sz w:val="23"/>
          <w:szCs w:val="23"/>
        </w:rPr>
        <w:t xml:space="preserve">based document allowing the user to zoom in on specific dates and activities that will link to additional technical guidance, </w:t>
      </w:r>
      <w:r w:rsidR="00A42203">
        <w:rPr>
          <w:sz w:val="23"/>
          <w:szCs w:val="23"/>
        </w:rPr>
        <w:lastRenderedPageBreak/>
        <w:t xml:space="preserve">resources, case studies, and peer support. The Recovery Timeline informs the sequence of chapters and lessons in the next two products.  </w:t>
      </w:r>
    </w:p>
    <w:p w14:paraId="5C6E2C70" w14:textId="77777777" w:rsidR="00A42203" w:rsidRPr="00A42203" w:rsidRDefault="00A42203" w:rsidP="00A42203">
      <w:pPr>
        <w:rPr>
          <w:sz w:val="23"/>
          <w:szCs w:val="23"/>
        </w:rPr>
      </w:pPr>
    </w:p>
    <w:p w14:paraId="09ABBDC6" w14:textId="21ED3475" w:rsidR="00C93785" w:rsidRDefault="00A42203" w:rsidP="00617BF7">
      <w:pPr>
        <w:pStyle w:val="ListParagraph"/>
        <w:numPr>
          <w:ilvl w:val="0"/>
          <w:numId w:val="2"/>
        </w:numPr>
        <w:spacing w:after="120"/>
        <w:ind w:left="360"/>
        <w:contextualSpacing w:val="0"/>
        <w:rPr>
          <w:sz w:val="23"/>
          <w:szCs w:val="23"/>
        </w:rPr>
      </w:pPr>
      <w:r w:rsidRPr="00617BF7">
        <w:rPr>
          <w:rFonts w:ascii="Arial" w:hAnsi="Arial" w:cs="Arial"/>
          <w:i/>
          <w:color w:val="2F5496" w:themeColor="accent1" w:themeShade="BF"/>
          <w:sz w:val="24"/>
          <w:szCs w:val="23"/>
        </w:rPr>
        <w:t>Just-In-Time Recovery Management Training</w:t>
      </w:r>
      <w:r w:rsidR="00A759A7" w:rsidRPr="00617BF7">
        <w:rPr>
          <w:rFonts w:ascii="Arial" w:hAnsi="Arial" w:cs="Arial"/>
          <w:i/>
          <w:color w:val="2F5496" w:themeColor="accent1" w:themeShade="BF"/>
          <w:sz w:val="24"/>
          <w:szCs w:val="23"/>
        </w:rPr>
        <w:t xml:space="preserve"> (JIT-RMT</w:t>
      </w:r>
      <w:r w:rsidR="00A759A7" w:rsidRPr="00617BF7">
        <w:rPr>
          <w:rFonts w:ascii="Arial" w:hAnsi="Arial" w:cs="Arial"/>
          <w:i/>
          <w:color w:val="2F5496" w:themeColor="accent1" w:themeShade="BF"/>
          <w:sz w:val="23"/>
          <w:szCs w:val="23"/>
        </w:rPr>
        <w:t>)</w:t>
      </w:r>
      <w:r w:rsidR="00240731" w:rsidRPr="0072724F">
        <w:rPr>
          <w:i/>
          <w:sz w:val="23"/>
          <w:szCs w:val="23"/>
        </w:rPr>
        <w:t>:</w:t>
      </w:r>
      <w:r w:rsidR="00240731">
        <w:rPr>
          <w:sz w:val="23"/>
          <w:szCs w:val="23"/>
        </w:rPr>
        <w:t xml:space="preserve"> This is a series of sequenced and coordinated post-disaster training</w:t>
      </w:r>
      <w:r w:rsidR="0072724F">
        <w:rPr>
          <w:sz w:val="23"/>
          <w:szCs w:val="23"/>
        </w:rPr>
        <w:t>s</w:t>
      </w:r>
      <w:r w:rsidR="00C93785">
        <w:rPr>
          <w:sz w:val="23"/>
          <w:szCs w:val="23"/>
        </w:rPr>
        <w:t xml:space="preserve"> </w:t>
      </w:r>
      <w:r w:rsidR="00707082">
        <w:rPr>
          <w:sz w:val="23"/>
          <w:szCs w:val="23"/>
        </w:rPr>
        <w:t>that will</w:t>
      </w:r>
      <w:r w:rsidR="00C93785">
        <w:rPr>
          <w:sz w:val="23"/>
          <w:szCs w:val="23"/>
        </w:rPr>
        <w:t xml:space="preserve"> teach</w:t>
      </w:r>
      <w:r w:rsidR="00F264E3">
        <w:rPr>
          <w:sz w:val="23"/>
          <w:szCs w:val="23"/>
        </w:rPr>
        <w:t xml:space="preserve">, using peer </w:t>
      </w:r>
      <w:r w:rsidR="00174511">
        <w:rPr>
          <w:sz w:val="23"/>
          <w:szCs w:val="23"/>
        </w:rPr>
        <w:t>and SME</w:t>
      </w:r>
      <w:r w:rsidR="00F264E3">
        <w:rPr>
          <w:sz w:val="23"/>
          <w:szCs w:val="23"/>
        </w:rPr>
        <w:t xml:space="preserve"> instructors,</w:t>
      </w:r>
      <w:r w:rsidR="00C93785">
        <w:rPr>
          <w:sz w:val="23"/>
          <w:szCs w:val="23"/>
        </w:rPr>
        <w:t xml:space="preserve"> to the challenges and solutions </w:t>
      </w:r>
      <w:r w:rsidR="005E4A00">
        <w:rPr>
          <w:sz w:val="23"/>
          <w:szCs w:val="23"/>
        </w:rPr>
        <w:t xml:space="preserve">across the recovery management </w:t>
      </w:r>
      <w:r w:rsidR="00174511">
        <w:rPr>
          <w:sz w:val="23"/>
          <w:szCs w:val="23"/>
        </w:rPr>
        <w:t>disciplines</w:t>
      </w:r>
      <w:r w:rsidR="005E4A00">
        <w:rPr>
          <w:sz w:val="23"/>
          <w:szCs w:val="23"/>
        </w:rPr>
        <w:t xml:space="preserve"> </w:t>
      </w:r>
      <w:r w:rsidR="00C93785">
        <w:rPr>
          <w:sz w:val="23"/>
          <w:szCs w:val="23"/>
        </w:rPr>
        <w:t xml:space="preserve">that are </w:t>
      </w:r>
      <w:r w:rsidR="00B50913">
        <w:rPr>
          <w:sz w:val="23"/>
          <w:szCs w:val="23"/>
        </w:rPr>
        <w:t xml:space="preserve">relevant to the </w:t>
      </w:r>
      <w:r w:rsidR="00C93785">
        <w:rPr>
          <w:sz w:val="23"/>
          <w:szCs w:val="23"/>
        </w:rPr>
        <w:t xml:space="preserve">term of the disaster </w:t>
      </w:r>
      <w:r w:rsidR="0072724F">
        <w:rPr>
          <w:sz w:val="23"/>
          <w:szCs w:val="23"/>
        </w:rPr>
        <w:t xml:space="preserve">in which </w:t>
      </w:r>
      <w:r w:rsidR="00C93785">
        <w:rPr>
          <w:sz w:val="23"/>
          <w:szCs w:val="23"/>
        </w:rPr>
        <w:t xml:space="preserve">they </w:t>
      </w:r>
      <w:r w:rsidR="00B50913">
        <w:rPr>
          <w:sz w:val="23"/>
          <w:szCs w:val="23"/>
        </w:rPr>
        <w:t>are</w:t>
      </w:r>
      <w:r w:rsidR="00C93785">
        <w:rPr>
          <w:sz w:val="23"/>
          <w:szCs w:val="23"/>
        </w:rPr>
        <w:t xml:space="preserve"> given.</w:t>
      </w:r>
      <w:r w:rsidR="00E90FBF">
        <w:rPr>
          <w:sz w:val="23"/>
          <w:szCs w:val="23"/>
        </w:rPr>
        <w:t xml:space="preserve"> </w:t>
      </w:r>
      <w:r w:rsidR="00311558">
        <w:rPr>
          <w:sz w:val="23"/>
          <w:szCs w:val="23"/>
        </w:rPr>
        <w:t>Several elements will be developed</w:t>
      </w:r>
      <w:r w:rsidR="00C93785">
        <w:rPr>
          <w:sz w:val="23"/>
          <w:szCs w:val="23"/>
        </w:rPr>
        <w:t>:</w:t>
      </w:r>
    </w:p>
    <w:p w14:paraId="2C092C47" w14:textId="77777777" w:rsidR="00C93785" w:rsidRDefault="00C93785" w:rsidP="00617BF7">
      <w:pPr>
        <w:pStyle w:val="ListParagraph"/>
        <w:numPr>
          <w:ilvl w:val="0"/>
          <w:numId w:val="4"/>
        </w:numPr>
        <w:spacing w:after="120"/>
        <w:contextualSpacing w:val="0"/>
        <w:rPr>
          <w:sz w:val="23"/>
          <w:szCs w:val="23"/>
        </w:rPr>
      </w:pPr>
      <w:r w:rsidRPr="00617BF7">
        <w:rPr>
          <w:rFonts w:ascii="Arial Narrow" w:hAnsi="Arial Narrow"/>
          <w:b/>
          <w:color w:val="2F5496" w:themeColor="accent1" w:themeShade="BF"/>
          <w:sz w:val="23"/>
          <w:szCs w:val="23"/>
        </w:rPr>
        <w:t xml:space="preserve">Immediate Guidance </w:t>
      </w:r>
      <w:r w:rsidR="00A27695" w:rsidRPr="00617BF7">
        <w:rPr>
          <w:rFonts w:ascii="Arial Narrow" w:hAnsi="Arial Narrow"/>
          <w:b/>
          <w:color w:val="2F5496" w:themeColor="accent1" w:themeShade="BF"/>
          <w:sz w:val="23"/>
          <w:szCs w:val="23"/>
        </w:rPr>
        <w:t>(future development)</w:t>
      </w:r>
      <w:r w:rsidR="00174511" w:rsidRPr="00617BF7">
        <w:rPr>
          <w:color w:val="2F5496" w:themeColor="accent1" w:themeShade="BF"/>
          <w:sz w:val="23"/>
          <w:szCs w:val="23"/>
        </w:rPr>
        <w:t xml:space="preserve"> </w:t>
      </w:r>
      <w:r w:rsidR="00174511">
        <w:rPr>
          <w:sz w:val="23"/>
          <w:szCs w:val="23"/>
        </w:rPr>
        <w:t xml:space="preserve">- </w:t>
      </w:r>
      <w:r>
        <w:rPr>
          <w:sz w:val="23"/>
          <w:szCs w:val="23"/>
        </w:rPr>
        <w:t>Very short</w:t>
      </w:r>
      <w:r w:rsidR="00174511">
        <w:rPr>
          <w:sz w:val="23"/>
          <w:szCs w:val="23"/>
        </w:rPr>
        <w:t>,</w:t>
      </w:r>
      <w:r>
        <w:rPr>
          <w:sz w:val="23"/>
          <w:szCs w:val="23"/>
        </w:rPr>
        <w:t xml:space="preserve"> </w:t>
      </w:r>
      <w:r w:rsidR="00311558">
        <w:rPr>
          <w:sz w:val="23"/>
          <w:szCs w:val="23"/>
        </w:rPr>
        <w:t>webinar</w:t>
      </w:r>
      <w:r w:rsidR="00A27695">
        <w:rPr>
          <w:sz w:val="23"/>
          <w:szCs w:val="23"/>
        </w:rPr>
        <w:t>-</w:t>
      </w:r>
      <w:r w:rsidR="00311558">
        <w:rPr>
          <w:sz w:val="23"/>
          <w:szCs w:val="23"/>
        </w:rPr>
        <w:t xml:space="preserve">based </w:t>
      </w:r>
      <w:r>
        <w:rPr>
          <w:sz w:val="23"/>
          <w:szCs w:val="23"/>
        </w:rPr>
        <w:t>learning engagements provided s</w:t>
      </w:r>
      <w:r w:rsidR="00515284">
        <w:rPr>
          <w:sz w:val="23"/>
          <w:szCs w:val="23"/>
        </w:rPr>
        <w:t>oon</w:t>
      </w:r>
      <w:r>
        <w:rPr>
          <w:sz w:val="23"/>
          <w:szCs w:val="23"/>
        </w:rPr>
        <w:t xml:space="preserve"> after disaster</w:t>
      </w:r>
      <w:r w:rsidR="00707082">
        <w:rPr>
          <w:sz w:val="23"/>
          <w:szCs w:val="23"/>
        </w:rPr>
        <w:t xml:space="preserve"> impact</w:t>
      </w:r>
      <w:r w:rsidR="00A27695">
        <w:rPr>
          <w:sz w:val="23"/>
          <w:szCs w:val="23"/>
        </w:rPr>
        <w:t>.</w:t>
      </w:r>
    </w:p>
    <w:p w14:paraId="76F470CA" w14:textId="4A97F20F" w:rsidR="00C93785" w:rsidRDefault="002C43D4" w:rsidP="00617BF7">
      <w:pPr>
        <w:pStyle w:val="ListParagraph"/>
        <w:numPr>
          <w:ilvl w:val="0"/>
          <w:numId w:val="4"/>
        </w:numPr>
        <w:spacing w:after="120"/>
        <w:contextualSpacing w:val="0"/>
        <w:rPr>
          <w:sz w:val="23"/>
          <w:szCs w:val="23"/>
        </w:rPr>
      </w:pPr>
      <w:r w:rsidRPr="00617BF7">
        <w:rPr>
          <w:rFonts w:ascii="Arial Narrow" w:hAnsi="Arial Narrow"/>
          <w:b/>
          <w:noProof/>
          <w:color w:val="2F5496" w:themeColor="accent1" w:themeShade="BF"/>
          <w:sz w:val="23"/>
          <w:szCs w:val="23"/>
        </w:rPr>
        <w:drawing>
          <wp:anchor distT="0" distB="0" distL="114300" distR="114300" simplePos="0" relativeHeight="251665408" behindDoc="0" locked="0" layoutInCell="1" allowOverlap="1" wp14:anchorId="293D58CF" wp14:editId="099774B7">
            <wp:simplePos x="0" y="0"/>
            <wp:positionH relativeFrom="column">
              <wp:posOffset>2186940</wp:posOffset>
            </wp:positionH>
            <wp:positionV relativeFrom="paragraph">
              <wp:posOffset>344170</wp:posOffset>
            </wp:positionV>
            <wp:extent cx="4341495" cy="29476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495" cy="294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23C">
        <w:rPr>
          <w:rFonts w:ascii="Arial Narrow" w:hAnsi="Arial Narrow"/>
          <w:b/>
          <w:color w:val="2F5496" w:themeColor="accent1" w:themeShade="BF"/>
          <w:sz w:val="23"/>
          <w:szCs w:val="23"/>
        </w:rPr>
        <w:t xml:space="preserve">Three </w:t>
      </w:r>
      <w:r w:rsidR="00C93785" w:rsidRPr="00617BF7">
        <w:rPr>
          <w:rFonts w:ascii="Arial Narrow" w:hAnsi="Arial Narrow"/>
          <w:b/>
          <w:color w:val="2F5496" w:themeColor="accent1" w:themeShade="BF"/>
          <w:sz w:val="23"/>
          <w:szCs w:val="23"/>
        </w:rPr>
        <w:t xml:space="preserve">Foundational </w:t>
      </w:r>
      <w:r w:rsidR="00A27695" w:rsidRPr="00617BF7">
        <w:rPr>
          <w:rFonts w:ascii="Arial Narrow" w:hAnsi="Arial Narrow"/>
          <w:b/>
          <w:color w:val="2F5496" w:themeColor="accent1" w:themeShade="BF"/>
          <w:sz w:val="23"/>
          <w:szCs w:val="23"/>
        </w:rPr>
        <w:t>Course</w:t>
      </w:r>
      <w:r w:rsidR="00F5623C">
        <w:rPr>
          <w:rFonts w:ascii="Arial Narrow" w:hAnsi="Arial Narrow"/>
          <w:b/>
          <w:color w:val="2F5496" w:themeColor="accent1" w:themeShade="BF"/>
          <w:sz w:val="23"/>
          <w:szCs w:val="23"/>
        </w:rPr>
        <w:t>s</w:t>
      </w:r>
      <w:r w:rsidR="00A27695" w:rsidRPr="00617BF7">
        <w:rPr>
          <w:rFonts w:ascii="Arial Narrow" w:hAnsi="Arial Narrow"/>
          <w:b/>
          <w:color w:val="2F5496" w:themeColor="accent1" w:themeShade="BF"/>
          <w:sz w:val="23"/>
          <w:szCs w:val="23"/>
        </w:rPr>
        <w:t xml:space="preserve"> </w:t>
      </w:r>
      <w:r w:rsidR="00174511" w:rsidRPr="00617BF7">
        <w:rPr>
          <w:rFonts w:ascii="Arial Narrow" w:hAnsi="Arial Narrow"/>
          <w:b/>
          <w:color w:val="2F5496" w:themeColor="accent1" w:themeShade="BF"/>
          <w:sz w:val="23"/>
          <w:szCs w:val="23"/>
        </w:rPr>
        <w:t>(piloted in early 2020)</w:t>
      </w:r>
      <w:r w:rsidR="00174511">
        <w:rPr>
          <w:sz w:val="23"/>
          <w:szCs w:val="23"/>
        </w:rPr>
        <w:t xml:space="preserve"> - </w:t>
      </w:r>
      <w:r w:rsidR="00707082">
        <w:rPr>
          <w:sz w:val="23"/>
          <w:szCs w:val="23"/>
        </w:rPr>
        <w:t>Survey classes that present best practices on all recovery disciplines</w:t>
      </w:r>
    </w:p>
    <w:p w14:paraId="1A97DCC9" w14:textId="47F7BFBF" w:rsidR="00311558" w:rsidRDefault="00311558" w:rsidP="00617BF7">
      <w:pPr>
        <w:pStyle w:val="ListParagraph"/>
        <w:numPr>
          <w:ilvl w:val="0"/>
          <w:numId w:val="4"/>
        </w:numPr>
        <w:spacing w:after="120"/>
        <w:contextualSpacing w:val="0"/>
        <w:rPr>
          <w:sz w:val="23"/>
          <w:szCs w:val="23"/>
        </w:rPr>
      </w:pPr>
      <w:r w:rsidRPr="00617BF7">
        <w:rPr>
          <w:rFonts w:ascii="Arial Narrow" w:hAnsi="Arial Narrow"/>
          <w:b/>
          <w:color w:val="2F5496" w:themeColor="accent1" w:themeShade="BF"/>
          <w:sz w:val="23"/>
          <w:szCs w:val="23"/>
        </w:rPr>
        <w:t xml:space="preserve">Community Recovery Symposium </w:t>
      </w:r>
      <w:r w:rsidR="00A27695" w:rsidRPr="00617BF7">
        <w:rPr>
          <w:rFonts w:ascii="Arial Narrow" w:hAnsi="Arial Narrow"/>
          <w:b/>
          <w:color w:val="2F5496" w:themeColor="accent1" w:themeShade="BF"/>
          <w:sz w:val="23"/>
          <w:szCs w:val="23"/>
        </w:rPr>
        <w:t>Template</w:t>
      </w:r>
      <w:r w:rsidR="00174511">
        <w:rPr>
          <w:sz w:val="23"/>
          <w:szCs w:val="23"/>
        </w:rPr>
        <w:t xml:space="preserve"> </w:t>
      </w:r>
      <w:r w:rsidR="00174511" w:rsidRPr="00617BF7">
        <w:rPr>
          <w:rFonts w:ascii="Arial Narrow" w:hAnsi="Arial Narrow"/>
          <w:b/>
          <w:color w:val="2F5496" w:themeColor="accent1" w:themeShade="BF"/>
          <w:sz w:val="23"/>
          <w:szCs w:val="23"/>
        </w:rPr>
        <w:t xml:space="preserve">(available now) </w:t>
      </w:r>
      <w:r w:rsidR="00174511">
        <w:rPr>
          <w:sz w:val="23"/>
          <w:szCs w:val="23"/>
        </w:rPr>
        <w:t xml:space="preserve">– </w:t>
      </w:r>
      <w:r w:rsidR="00617BF7">
        <w:rPr>
          <w:sz w:val="23"/>
          <w:szCs w:val="23"/>
        </w:rPr>
        <w:t>A gathering of local governments, hosted by the state and organized by CPCB, to mobilize leaders and shift the focus from response to resilience and long-term recovery.</w:t>
      </w:r>
    </w:p>
    <w:p w14:paraId="4EFDD7F8" w14:textId="505FC47F" w:rsidR="0042395E" w:rsidRDefault="00C93785" w:rsidP="00617BF7">
      <w:pPr>
        <w:pStyle w:val="ListParagraph"/>
        <w:numPr>
          <w:ilvl w:val="0"/>
          <w:numId w:val="4"/>
        </w:numPr>
        <w:spacing w:after="120"/>
        <w:contextualSpacing w:val="0"/>
        <w:rPr>
          <w:sz w:val="23"/>
          <w:szCs w:val="23"/>
        </w:rPr>
      </w:pPr>
      <w:r w:rsidRPr="00617BF7">
        <w:rPr>
          <w:rFonts w:ascii="Arial Narrow" w:hAnsi="Arial Narrow"/>
          <w:b/>
          <w:color w:val="2F5496" w:themeColor="accent1" w:themeShade="BF"/>
          <w:sz w:val="23"/>
          <w:szCs w:val="23"/>
        </w:rPr>
        <w:t>Skills Building</w:t>
      </w:r>
      <w:r w:rsidR="00A27695" w:rsidRPr="00617BF7">
        <w:rPr>
          <w:rFonts w:ascii="Arial Narrow" w:hAnsi="Arial Narrow"/>
          <w:b/>
          <w:color w:val="2F5496" w:themeColor="accent1" w:themeShade="BF"/>
          <w:sz w:val="23"/>
          <w:szCs w:val="23"/>
        </w:rPr>
        <w:t xml:space="preserve"> Course</w:t>
      </w:r>
      <w:r w:rsidR="00E90FBF" w:rsidRPr="00617BF7">
        <w:rPr>
          <w:rFonts w:ascii="Arial Narrow" w:hAnsi="Arial Narrow"/>
          <w:b/>
          <w:color w:val="2F5496" w:themeColor="accent1" w:themeShade="BF"/>
          <w:sz w:val="23"/>
          <w:szCs w:val="23"/>
        </w:rPr>
        <w:t>s</w:t>
      </w:r>
      <w:r w:rsidR="00617BF7">
        <w:rPr>
          <w:rFonts w:ascii="Arial Narrow" w:hAnsi="Arial Narrow"/>
          <w:b/>
          <w:color w:val="2F5496" w:themeColor="accent1" w:themeShade="BF"/>
          <w:sz w:val="23"/>
          <w:szCs w:val="23"/>
        </w:rPr>
        <w:t xml:space="preserve"> </w:t>
      </w:r>
      <w:r w:rsidR="00617BF7" w:rsidRPr="00617BF7">
        <w:rPr>
          <w:rFonts w:ascii="Arial Narrow" w:hAnsi="Arial Narrow"/>
          <w:b/>
          <w:color w:val="2F5496" w:themeColor="accent1" w:themeShade="BF"/>
          <w:sz w:val="23"/>
          <w:szCs w:val="23"/>
        </w:rPr>
        <w:t>(future development)</w:t>
      </w:r>
      <w:r w:rsidR="00E90FBF" w:rsidRPr="00617BF7">
        <w:rPr>
          <w:rFonts w:ascii="Arial Narrow" w:hAnsi="Arial Narrow"/>
          <w:b/>
          <w:color w:val="2F5496" w:themeColor="accent1" w:themeShade="BF"/>
          <w:sz w:val="23"/>
          <w:szCs w:val="23"/>
        </w:rPr>
        <w:t>.</w:t>
      </w:r>
      <w:r w:rsidR="00E90FBF" w:rsidRPr="00617BF7">
        <w:rPr>
          <w:sz w:val="23"/>
          <w:szCs w:val="23"/>
          <w:u w:val="single"/>
        </w:rPr>
        <w:t xml:space="preserve">  </w:t>
      </w:r>
      <w:r w:rsidR="00F5623C" w:rsidRPr="00617BF7">
        <w:rPr>
          <w:sz w:val="23"/>
          <w:szCs w:val="23"/>
        </w:rPr>
        <w:t>Discipline-specific classes offering intensive training on each recovery management</w:t>
      </w:r>
      <w:r w:rsidR="0087167E">
        <w:rPr>
          <w:sz w:val="23"/>
          <w:szCs w:val="23"/>
        </w:rPr>
        <w:t xml:space="preserve"> discipline</w:t>
      </w:r>
      <w:r w:rsidR="00F5623C" w:rsidRPr="00617BF7">
        <w:rPr>
          <w:sz w:val="23"/>
          <w:szCs w:val="23"/>
        </w:rPr>
        <w:t>.</w:t>
      </w:r>
    </w:p>
    <w:p w14:paraId="5136E739" w14:textId="77777777" w:rsidR="00617BF7" w:rsidRPr="00617BF7" w:rsidRDefault="00617BF7" w:rsidP="001D13BB"/>
    <w:p w14:paraId="41F8846A" w14:textId="05021BC0" w:rsidR="00240731" w:rsidRDefault="00240731" w:rsidP="00617BF7">
      <w:pPr>
        <w:pStyle w:val="ListParagraph"/>
        <w:numPr>
          <w:ilvl w:val="0"/>
          <w:numId w:val="2"/>
        </w:numPr>
        <w:spacing w:after="120"/>
        <w:ind w:left="360"/>
        <w:rPr>
          <w:sz w:val="23"/>
          <w:szCs w:val="23"/>
        </w:rPr>
      </w:pPr>
      <w:r w:rsidRPr="00617BF7">
        <w:rPr>
          <w:rFonts w:ascii="Arial" w:hAnsi="Arial" w:cs="Arial"/>
          <w:i/>
          <w:color w:val="2F5496" w:themeColor="accent1" w:themeShade="BF"/>
          <w:sz w:val="24"/>
          <w:szCs w:val="23"/>
        </w:rPr>
        <w:t>Recovery Management Guide:</w:t>
      </w:r>
      <w:r w:rsidRPr="00617BF7">
        <w:rPr>
          <w:sz w:val="24"/>
          <w:szCs w:val="23"/>
        </w:rPr>
        <w:t xml:space="preserve"> </w:t>
      </w:r>
      <w:r>
        <w:rPr>
          <w:sz w:val="23"/>
          <w:szCs w:val="23"/>
        </w:rPr>
        <w:t>This comprehensive</w:t>
      </w:r>
      <w:r w:rsidR="00B50913">
        <w:rPr>
          <w:sz w:val="23"/>
          <w:szCs w:val="23"/>
        </w:rPr>
        <w:t>, stand-alone</w:t>
      </w:r>
      <w:r>
        <w:rPr>
          <w:sz w:val="23"/>
          <w:szCs w:val="23"/>
        </w:rPr>
        <w:t xml:space="preserve"> manual presents</w:t>
      </w:r>
      <w:r w:rsidR="00F264E3">
        <w:rPr>
          <w:sz w:val="23"/>
          <w:szCs w:val="23"/>
        </w:rPr>
        <w:t xml:space="preserve"> succinct </w:t>
      </w:r>
      <w:r>
        <w:rPr>
          <w:sz w:val="23"/>
          <w:szCs w:val="23"/>
        </w:rPr>
        <w:t>recovery management guidance in written form</w:t>
      </w:r>
      <w:r w:rsidR="005E4A00">
        <w:rPr>
          <w:sz w:val="23"/>
          <w:szCs w:val="23"/>
        </w:rPr>
        <w:t>, with multiple references to detailed information</w:t>
      </w:r>
      <w:r>
        <w:rPr>
          <w:sz w:val="23"/>
          <w:szCs w:val="23"/>
        </w:rPr>
        <w:t xml:space="preserve">. It </w:t>
      </w:r>
      <w:r w:rsidR="00F264E3">
        <w:rPr>
          <w:sz w:val="23"/>
          <w:szCs w:val="23"/>
        </w:rPr>
        <w:t>will</w:t>
      </w:r>
      <w:r>
        <w:rPr>
          <w:sz w:val="23"/>
          <w:szCs w:val="23"/>
        </w:rPr>
        <w:t xml:space="preserve"> </w:t>
      </w:r>
      <w:r w:rsidR="002C43D4">
        <w:rPr>
          <w:sz w:val="23"/>
          <w:szCs w:val="23"/>
        </w:rPr>
        <w:t>complement</w:t>
      </w:r>
      <w:r>
        <w:rPr>
          <w:sz w:val="23"/>
          <w:szCs w:val="23"/>
        </w:rPr>
        <w:t xml:space="preserve"> the Just-In-Time trainings and present information in a highly accessible and easy to follow format. </w:t>
      </w:r>
      <w:r w:rsidR="00B50913">
        <w:rPr>
          <w:sz w:val="23"/>
          <w:szCs w:val="23"/>
        </w:rPr>
        <w:t>It will be useful to those who cannot take the JIT</w:t>
      </w:r>
      <w:r w:rsidR="002C43D4">
        <w:rPr>
          <w:sz w:val="23"/>
          <w:szCs w:val="23"/>
        </w:rPr>
        <w:t xml:space="preserve"> trainings</w:t>
      </w:r>
      <w:r w:rsidR="00B50913">
        <w:rPr>
          <w:sz w:val="23"/>
          <w:szCs w:val="23"/>
        </w:rPr>
        <w:t xml:space="preserve"> or who want a written explanation of what </w:t>
      </w:r>
      <w:r w:rsidR="00F264E3">
        <w:rPr>
          <w:sz w:val="23"/>
          <w:szCs w:val="23"/>
        </w:rPr>
        <w:t>th</w:t>
      </w:r>
      <w:r w:rsidR="00B50913">
        <w:rPr>
          <w:sz w:val="23"/>
          <w:szCs w:val="23"/>
        </w:rPr>
        <w:t xml:space="preserve">ey just learned. </w:t>
      </w:r>
      <w:r w:rsidR="005E4A00">
        <w:rPr>
          <w:sz w:val="23"/>
          <w:szCs w:val="23"/>
        </w:rPr>
        <w:t>It will also be synced with a new version of FEMA’s Community Recovery Management Toolkit website.</w:t>
      </w:r>
    </w:p>
    <w:p w14:paraId="3CEF3F89" w14:textId="77777777" w:rsidR="0087167E" w:rsidRPr="00B50913" w:rsidRDefault="0087167E" w:rsidP="0087167E">
      <w:pPr>
        <w:pStyle w:val="ListParagraph"/>
        <w:spacing w:after="120"/>
        <w:ind w:left="360"/>
        <w:rPr>
          <w:sz w:val="23"/>
          <w:szCs w:val="23"/>
        </w:rPr>
      </w:pPr>
    </w:p>
    <w:p w14:paraId="37E72727" w14:textId="77777777" w:rsidR="00EC0E27" w:rsidRPr="00707082" w:rsidRDefault="00EC0E27" w:rsidP="00EC0E27">
      <w:pPr>
        <w:rPr>
          <w:b/>
          <w:sz w:val="23"/>
          <w:szCs w:val="23"/>
        </w:rPr>
      </w:pPr>
      <w:r w:rsidRPr="00707082">
        <w:rPr>
          <w:b/>
          <w:sz w:val="23"/>
          <w:szCs w:val="23"/>
        </w:rPr>
        <w:t>Development Timeline</w:t>
      </w:r>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sidRPr="00B50913">
        <w:rPr>
          <w:sz w:val="16"/>
          <w:szCs w:val="16"/>
        </w:rPr>
        <w:t>PD = Post Disaster</w:t>
      </w:r>
    </w:p>
    <w:tbl>
      <w:tblPr>
        <w:tblW w:w="9895" w:type="dxa"/>
        <w:tblLook w:val="04A0" w:firstRow="1" w:lastRow="0" w:firstColumn="1" w:lastColumn="0" w:noHBand="0" w:noVBand="1"/>
      </w:tblPr>
      <w:tblGrid>
        <w:gridCol w:w="3420"/>
        <w:gridCol w:w="1520"/>
        <w:gridCol w:w="1625"/>
        <w:gridCol w:w="1710"/>
        <w:gridCol w:w="1620"/>
      </w:tblGrid>
      <w:tr w:rsidR="00EC0E27" w:rsidRPr="00707082" w14:paraId="54DD7513" w14:textId="77777777" w:rsidTr="00617BF7">
        <w:trPr>
          <w:trHeight w:val="288"/>
        </w:trPr>
        <w:tc>
          <w:tcPr>
            <w:tcW w:w="3420" w:type="dxa"/>
            <w:tcBorders>
              <w:top w:val="single" w:sz="4" w:space="0" w:color="auto"/>
              <w:left w:val="single" w:sz="4" w:space="0" w:color="auto"/>
              <w:bottom w:val="single" w:sz="4" w:space="0" w:color="auto"/>
              <w:right w:val="single" w:sz="4" w:space="0" w:color="auto"/>
            </w:tcBorders>
            <w:shd w:val="clear" w:color="000000" w:fill="C6E0B4"/>
            <w:hideMark/>
          </w:tcPr>
          <w:p w14:paraId="39D5C8B4" w14:textId="77777777"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Recovery Timeline (Pdf)</w:t>
            </w:r>
          </w:p>
        </w:tc>
        <w:tc>
          <w:tcPr>
            <w:tcW w:w="6475" w:type="dxa"/>
            <w:gridSpan w:val="4"/>
            <w:tcBorders>
              <w:top w:val="single" w:sz="4" w:space="0" w:color="auto"/>
              <w:left w:val="nil"/>
              <w:bottom w:val="single" w:sz="4" w:space="0" w:color="auto"/>
              <w:right w:val="single" w:sz="4" w:space="0" w:color="auto"/>
            </w:tcBorders>
            <w:shd w:val="clear" w:color="000000" w:fill="C6E0B4"/>
            <w:hideMark/>
          </w:tcPr>
          <w:p w14:paraId="59816A72"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Published January 2020</w:t>
            </w:r>
          </w:p>
        </w:tc>
      </w:tr>
      <w:tr w:rsidR="00EC0E27" w:rsidRPr="00707082" w14:paraId="0BC23437" w14:textId="77777777" w:rsidTr="00617BF7">
        <w:trPr>
          <w:trHeight w:val="288"/>
        </w:trPr>
        <w:tc>
          <w:tcPr>
            <w:tcW w:w="3420" w:type="dxa"/>
            <w:tcBorders>
              <w:top w:val="nil"/>
              <w:left w:val="single" w:sz="4" w:space="0" w:color="auto"/>
              <w:bottom w:val="single" w:sz="4" w:space="0" w:color="auto"/>
              <w:right w:val="single" w:sz="4" w:space="0" w:color="auto"/>
            </w:tcBorders>
            <w:shd w:val="clear" w:color="000000" w:fill="C6E0B4"/>
            <w:hideMark/>
          </w:tcPr>
          <w:p w14:paraId="4EE135B0" w14:textId="77777777"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Recovery Timeline (Web)</w:t>
            </w:r>
          </w:p>
        </w:tc>
        <w:tc>
          <w:tcPr>
            <w:tcW w:w="6475" w:type="dxa"/>
            <w:gridSpan w:val="4"/>
            <w:tcBorders>
              <w:top w:val="single" w:sz="4" w:space="0" w:color="auto"/>
              <w:left w:val="nil"/>
              <w:bottom w:val="single" w:sz="4" w:space="0" w:color="auto"/>
              <w:right w:val="single" w:sz="4" w:space="0" w:color="auto"/>
            </w:tcBorders>
            <w:shd w:val="clear" w:color="000000" w:fill="C6E0B4"/>
            <w:hideMark/>
          </w:tcPr>
          <w:p w14:paraId="30D58E56" w14:textId="77777777" w:rsidR="00EC0E27" w:rsidRPr="00707082" w:rsidRDefault="00EC0E27" w:rsidP="006D0AD7">
            <w:pPr>
              <w:spacing w:line="240" w:lineRule="auto"/>
              <w:rPr>
                <w:rFonts w:ascii="Calibri" w:eastAsia="Times New Roman" w:hAnsi="Calibri" w:cs="Calibri"/>
                <w:color w:val="000000"/>
              </w:rPr>
            </w:pPr>
            <w:r>
              <w:rPr>
                <w:rFonts w:ascii="Calibri" w:eastAsia="Times New Roman" w:hAnsi="Calibri" w:cs="Calibri"/>
                <w:color w:val="000000"/>
              </w:rPr>
              <w:t xml:space="preserve">Late 2020 or </w:t>
            </w:r>
            <w:r w:rsidRPr="00707082">
              <w:rPr>
                <w:rFonts w:ascii="Calibri" w:eastAsia="Times New Roman" w:hAnsi="Calibri" w:cs="Calibri"/>
                <w:color w:val="000000"/>
              </w:rPr>
              <w:t>2021</w:t>
            </w:r>
          </w:p>
        </w:tc>
      </w:tr>
      <w:tr w:rsidR="00EC0E27" w:rsidRPr="00707082" w14:paraId="095F2F79" w14:textId="77777777" w:rsidTr="00617BF7">
        <w:trPr>
          <w:trHeight w:val="288"/>
        </w:trPr>
        <w:tc>
          <w:tcPr>
            <w:tcW w:w="3420" w:type="dxa"/>
            <w:tcBorders>
              <w:top w:val="nil"/>
              <w:left w:val="single" w:sz="4" w:space="0" w:color="auto"/>
              <w:bottom w:val="single" w:sz="4" w:space="0" w:color="auto"/>
              <w:right w:val="single" w:sz="4" w:space="0" w:color="auto"/>
            </w:tcBorders>
            <w:shd w:val="clear" w:color="000000" w:fill="D9E1F2"/>
            <w:hideMark/>
          </w:tcPr>
          <w:p w14:paraId="3459D396" w14:textId="77777777"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Recovery Management Guide</w:t>
            </w:r>
          </w:p>
        </w:tc>
        <w:tc>
          <w:tcPr>
            <w:tcW w:w="6475" w:type="dxa"/>
            <w:gridSpan w:val="4"/>
            <w:tcBorders>
              <w:top w:val="single" w:sz="4" w:space="0" w:color="auto"/>
              <w:left w:val="nil"/>
              <w:bottom w:val="single" w:sz="4" w:space="0" w:color="auto"/>
              <w:right w:val="single" w:sz="4" w:space="0" w:color="auto"/>
            </w:tcBorders>
            <w:shd w:val="clear" w:color="000000" w:fill="D9E1F2"/>
            <w:hideMark/>
          </w:tcPr>
          <w:p w14:paraId="7516DE68"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March 2020</w:t>
            </w:r>
          </w:p>
        </w:tc>
      </w:tr>
      <w:tr w:rsidR="00EC0E27" w:rsidRPr="00707082" w14:paraId="263F4A10" w14:textId="77777777" w:rsidTr="00617BF7">
        <w:trPr>
          <w:trHeight w:val="288"/>
        </w:trPr>
        <w:tc>
          <w:tcPr>
            <w:tcW w:w="3420" w:type="dxa"/>
            <w:tcBorders>
              <w:top w:val="nil"/>
              <w:left w:val="single" w:sz="4" w:space="0" w:color="auto"/>
              <w:bottom w:val="single" w:sz="4" w:space="0" w:color="auto"/>
              <w:right w:val="single" w:sz="4" w:space="0" w:color="auto"/>
            </w:tcBorders>
            <w:shd w:val="clear" w:color="000000" w:fill="F4B084"/>
            <w:hideMark/>
          </w:tcPr>
          <w:p w14:paraId="23ACF9D1" w14:textId="77777777"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Just-In-Time Trainings</w:t>
            </w:r>
          </w:p>
        </w:tc>
        <w:tc>
          <w:tcPr>
            <w:tcW w:w="1520" w:type="dxa"/>
            <w:tcBorders>
              <w:top w:val="nil"/>
              <w:left w:val="nil"/>
              <w:bottom w:val="single" w:sz="4" w:space="0" w:color="auto"/>
              <w:right w:val="single" w:sz="4" w:space="0" w:color="auto"/>
            </w:tcBorders>
            <w:shd w:val="clear" w:color="000000" w:fill="F4B084"/>
            <w:hideMark/>
          </w:tcPr>
          <w:p w14:paraId="3DF89DFE"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0-3 Weeks PD</w:t>
            </w:r>
          </w:p>
        </w:tc>
        <w:tc>
          <w:tcPr>
            <w:tcW w:w="1625" w:type="dxa"/>
            <w:tcBorders>
              <w:top w:val="nil"/>
              <w:left w:val="nil"/>
              <w:bottom w:val="single" w:sz="4" w:space="0" w:color="auto"/>
              <w:right w:val="single" w:sz="4" w:space="0" w:color="auto"/>
            </w:tcBorders>
            <w:shd w:val="clear" w:color="000000" w:fill="F4B084"/>
            <w:hideMark/>
          </w:tcPr>
          <w:p w14:paraId="05D1F5AA"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4-9 Weeks PD</w:t>
            </w:r>
          </w:p>
        </w:tc>
        <w:tc>
          <w:tcPr>
            <w:tcW w:w="1710" w:type="dxa"/>
            <w:tcBorders>
              <w:top w:val="nil"/>
              <w:left w:val="nil"/>
              <w:bottom w:val="single" w:sz="4" w:space="0" w:color="auto"/>
              <w:right w:val="single" w:sz="4" w:space="0" w:color="auto"/>
            </w:tcBorders>
            <w:shd w:val="clear" w:color="000000" w:fill="F4B084"/>
            <w:hideMark/>
          </w:tcPr>
          <w:p w14:paraId="62CA2CCF"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10-22 Weeks PD</w:t>
            </w:r>
          </w:p>
        </w:tc>
        <w:tc>
          <w:tcPr>
            <w:tcW w:w="1620" w:type="dxa"/>
            <w:tcBorders>
              <w:top w:val="nil"/>
              <w:left w:val="nil"/>
              <w:bottom w:val="single" w:sz="4" w:space="0" w:color="auto"/>
              <w:right w:val="single" w:sz="4" w:space="0" w:color="auto"/>
            </w:tcBorders>
            <w:shd w:val="clear" w:color="000000" w:fill="F4B084"/>
            <w:hideMark/>
          </w:tcPr>
          <w:p w14:paraId="0125E7EE"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22+ Weeks PD</w:t>
            </w:r>
          </w:p>
        </w:tc>
      </w:tr>
      <w:tr w:rsidR="00EC0E27" w:rsidRPr="00707082" w14:paraId="68FB1773" w14:textId="77777777" w:rsidTr="00617BF7">
        <w:trPr>
          <w:trHeight w:val="288"/>
        </w:trPr>
        <w:tc>
          <w:tcPr>
            <w:tcW w:w="3420" w:type="dxa"/>
            <w:tcBorders>
              <w:top w:val="nil"/>
              <w:left w:val="single" w:sz="4" w:space="0" w:color="auto"/>
              <w:bottom w:val="single" w:sz="4" w:space="0" w:color="auto"/>
              <w:right w:val="single" w:sz="4" w:space="0" w:color="auto"/>
            </w:tcBorders>
            <w:shd w:val="clear" w:color="000000" w:fill="F8CBAD"/>
            <w:hideMark/>
          </w:tcPr>
          <w:p w14:paraId="65090EEB" w14:textId="4251693F"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 xml:space="preserve">   Immediate Guidance</w:t>
            </w:r>
            <w:r w:rsidR="00C81323">
              <w:rPr>
                <w:rFonts w:ascii="Arial Narrow" w:eastAsia="Times New Roman" w:hAnsi="Arial Narrow" w:cs="Calibri"/>
                <w:color w:val="2F5496" w:themeColor="accent1" w:themeShade="BF"/>
              </w:rPr>
              <w:t>/</w:t>
            </w:r>
            <w:r w:rsidRPr="00617BF7">
              <w:rPr>
                <w:rFonts w:ascii="Arial Narrow" w:eastAsia="Times New Roman" w:hAnsi="Arial Narrow" w:cs="Calibri"/>
                <w:color w:val="2F5496" w:themeColor="accent1" w:themeShade="BF"/>
              </w:rPr>
              <w:t>Webinar</w:t>
            </w:r>
          </w:p>
        </w:tc>
        <w:tc>
          <w:tcPr>
            <w:tcW w:w="1520" w:type="dxa"/>
            <w:tcBorders>
              <w:top w:val="nil"/>
              <w:left w:val="nil"/>
              <w:bottom w:val="single" w:sz="4" w:space="0" w:color="auto"/>
              <w:right w:val="single" w:sz="4" w:space="0" w:color="auto"/>
            </w:tcBorders>
            <w:shd w:val="clear" w:color="000000" w:fill="F8CBAD"/>
            <w:hideMark/>
          </w:tcPr>
          <w:p w14:paraId="278E412D"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2021</w:t>
            </w:r>
          </w:p>
        </w:tc>
        <w:tc>
          <w:tcPr>
            <w:tcW w:w="4955" w:type="dxa"/>
            <w:gridSpan w:val="3"/>
            <w:tcBorders>
              <w:top w:val="single" w:sz="4" w:space="0" w:color="auto"/>
              <w:left w:val="nil"/>
              <w:bottom w:val="single" w:sz="4" w:space="0" w:color="auto"/>
              <w:right w:val="single" w:sz="4" w:space="0" w:color="000000"/>
            </w:tcBorders>
            <w:shd w:val="clear" w:color="000000" w:fill="757171"/>
            <w:hideMark/>
          </w:tcPr>
          <w:p w14:paraId="17671771"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 </w:t>
            </w:r>
          </w:p>
        </w:tc>
      </w:tr>
      <w:tr w:rsidR="00EC0E27" w:rsidRPr="00707082" w14:paraId="7F822FDE" w14:textId="77777777" w:rsidTr="00617BF7">
        <w:trPr>
          <w:trHeight w:val="278"/>
        </w:trPr>
        <w:tc>
          <w:tcPr>
            <w:tcW w:w="3420" w:type="dxa"/>
            <w:tcBorders>
              <w:top w:val="nil"/>
              <w:left w:val="single" w:sz="4" w:space="0" w:color="auto"/>
              <w:bottom w:val="single" w:sz="4" w:space="0" w:color="auto"/>
              <w:right w:val="single" w:sz="4" w:space="0" w:color="auto"/>
            </w:tcBorders>
            <w:shd w:val="clear" w:color="000000" w:fill="F8CBAD"/>
            <w:hideMark/>
          </w:tcPr>
          <w:p w14:paraId="03BF88F9" w14:textId="77777777"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 xml:space="preserve">   Foundational Courses</w:t>
            </w:r>
          </w:p>
        </w:tc>
        <w:tc>
          <w:tcPr>
            <w:tcW w:w="1520" w:type="dxa"/>
            <w:vMerge w:val="restart"/>
            <w:tcBorders>
              <w:top w:val="nil"/>
              <w:left w:val="single" w:sz="4" w:space="0" w:color="auto"/>
              <w:bottom w:val="single" w:sz="4" w:space="0" w:color="000000"/>
              <w:right w:val="single" w:sz="4" w:space="0" w:color="auto"/>
            </w:tcBorders>
            <w:shd w:val="clear" w:color="000000" w:fill="757171"/>
            <w:hideMark/>
          </w:tcPr>
          <w:p w14:paraId="65F6650A"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 </w:t>
            </w:r>
          </w:p>
        </w:tc>
        <w:tc>
          <w:tcPr>
            <w:tcW w:w="1625" w:type="dxa"/>
            <w:tcBorders>
              <w:top w:val="nil"/>
              <w:left w:val="nil"/>
              <w:bottom w:val="single" w:sz="4" w:space="0" w:color="auto"/>
              <w:right w:val="single" w:sz="4" w:space="0" w:color="auto"/>
            </w:tcBorders>
            <w:shd w:val="clear" w:color="000000" w:fill="F8CBAD"/>
            <w:hideMark/>
          </w:tcPr>
          <w:p w14:paraId="388F0D65" w14:textId="12654CCD"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Pilot Jan 2020</w:t>
            </w:r>
          </w:p>
        </w:tc>
        <w:tc>
          <w:tcPr>
            <w:tcW w:w="1710" w:type="dxa"/>
            <w:tcBorders>
              <w:top w:val="nil"/>
              <w:left w:val="nil"/>
              <w:bottom w:val="single" w:sz="4" w:space="0" w:color="auto"/>
              <w:right w:val="single" w:sz="4" w:space="0" w:color="auto"/>
            </w:tcBorders>
            <w:shd w:val="clear" w:color="000000" w:fill="F8CBAD"/>
            <w:hideMark/>
          </w:tcPr>
          <w:p w14:paraId="6301B095" w14:textId="5340106A"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Pilot Jan 2020</w:t>
            </w:r>
          </w:p>
        </w:tc>
        <w:tc>
          <w:tcPr>
            <w:tcW w:w="1620" w:type="dxa"/>
            <w:tcBorders>
              <w:top w:val="nil"/>
              <w:left w:val="nil"/>
              <w:bottom w:val="single" w:sz="4" w:space="0" w:color="auto"/>
              <w:right w:val="single" w:sz="4" w:space="0" w:color="auto"/>
            </w:tcBorders>
            <w:shd w:val="clear" w:color="000000" w:fill="F8CBAD"/>
            <w:hideMark/>
          </w:tcPr>
          <w:p w14:paraId="52E03C9D" w14:textId="5BC29856" w:rsidR="00EC0E27" w:rsidRPr="00707082" w:rsidRDefault="00B05FEE" w:rsidP="006D0AD7">
            <w:pPr>
              <w:spacing w:line="240" w:lineRule="auto"/>
              <w:rPr>
                <w:rFonts w:ascii="Calibri" w:eastAsia="Times New Roman" w:hAnsi="Calibri" w:cs="Calibri"/>
                <w:color w:val="000000"/>
              </w:rPr>
            </w:pPr>
            <w:r>
              <w:rPr>
                <w:rFonts w:ascii="Calibri" w:eastAsia="Times New Roman" w:hAnsi="Calibri" w:cs="Calibri"/>
                <w:color w:val="000000"/>
              </w:rPr>
              <w:t>Pilot late 2020</w:t>
            </w:r>
          </w:p>
        </w:tc>
      </w:tr>
      <w:tr w:rsidR="00EC0E27" w:rsidRPr="00707082" w14:paraId="7CDF1F09" w14:textId="77777777" w:rsidTr="00617BF7">
        <w:trPr>
          <w:trHeight w:val="288"/>
        </w:trPr>
        <w:tc>
          <w:tcPr>
            <w:tcW w:w="3420" w:type="dxa"/>
            <w:tcBorders>
              <w:top w:val="nil"/>
              <w:left w:val="single" w:sz="4" w:space="0" w:color="auto"/>
              <w:bottom w:val="single" w:sz="4" w:space="0" w:color="auto"/>
              <w:right w:val="single" w:sz="4" w:space="0" w:color="auto"/>
            </w:tcBorders>
            <w:shd w:val="clear" w:color="000000" w:fill="F8CBAD"/>
            <w:hideMark/>
          </w:tcPr>
          <w:p w14:paraId="407359E0" w14:textId="77777777" w:rsidR="00EC0E27" w:rsidRPr="00617BF7" w:rsidRDefault="00EC0E27" w:rsidP="006D0AD7">
            <w:pPr>
              <w:spacing w:line="240" w:lineRule="auto"/>
              <w:rPr>
                <w:rFonts w:ascii="Arial Narrow" w:eastAsia="Times New Roman" w:hAnsi="Arial Narrow" w:cs="Calibri"/>
                <w:color w:val="2F5496" w:themeColor="accent1" w:themeShade="BF"/>
              </w:rPr>
            </w:pPr>
            <w:r w:rsidRPr="00617BF7">
              <w:rPr>
                <w:rFonts w:ascii="Arial Narrow" w:eastAsia="Times New Roman" w:hAnsi="Arial Narrow" w:cs="Calibri"/>
                <w:color w:val="2F5496" w:themeColor="accent1" w:themeShade="BF"/>
              </w:rPr>
              <w:t xml:space="preserve">   Skills Building Courses</w:t>
            </w:r>
          </w:p>
        </w:tc>
        <w:tc>
          <w:tcPr>
            <w:tcW w:w="1520" w:type="dxa"/>
            <w:vMerge/>
            <w:tcBorders>
              <w:top w:val="nil"/>
              <w:left w:val="single" w:sz="4" w:space="0" w:color="auto"/>
              <w:bottom w:val="single" w:sz="4" w:space="0" w:color="000000"/>
              <w:right w:val="single" w:sz="4" w:space="0" w:color="auto"/>
            </w:tcBorders>
            <w:vAlign w:val="center"/>
            <w:hideMark/>
          </w:tcPr>
          <w:p w14:paraId="244BB487" w14:textId="77777777" w:rsidR="00EC0E27" w:rsidRPr="00707082" w:rsidRDefault="00EC0E27" w:rsidP="006D0AD7">
            <w:pPr>
              <w:spacing w:line="240" w:lineRule="auto"/>
              <w:rPr>
                <w:rFonts w:ascii="Calibri" w:eastAsia="Times New Roman" w:hAnsi="Calibri" w:cs="Calibri"/>
                <w:color w:val="000000"/>
              </w:rPr>
            </w:pPr>
          </w:p>
        </w:tc>
        <w:tc>
          <w:tcPr>
            <w:tcW w:w="1625" w:type="dxa"/>
            <w:tcBorders>
              <w:top w:val="nil"/>
              <w:left w:val="nil"/>
              <w:bottom w:val="single" w:sz="4" w:space="0" w:color="auto"/>
              <w:right w:val="single" w:sz="4" w:space="0" w:color="auto"/>
            </w:tcBorders>
            <w:shd w:val="clear" w:color="000000" w:fill="F8CBAD"/>
            <w:hideMark/>
          </w:tcPr>
          <w:p w14:paraId="075963D5"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2021</w:t>
            </w:r>
          </w:p>
        </w:tc>
        <w:tc>
          <w:tcPr>
            <w:tcW w:w="1710" w:type="dxa"/>
            <w:tcBorders>
              <w:top w:val="nil"/>
              <w:left w:val="nil"/>
              <w:bottom w:val="single" w:sz="4" w:space="0" w:color="auto"/>
              <w:right w:val="single" w:sz="4" w:space="0" w:color="auto"/>
            </w:tcBorders>
            <w:shd w:val="clear" w:color="000000" w:fill="F8CBAD"/>
            <w:hideMark/>
          </w:tcPr>
          <w:p w14:paraId="0B578C1E"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2021</w:t>
            </w:r>
          </w:p>
        </w:tc>
        <w:tc>
          <w:tcPr>
            <w:tcW w:w="1620" w:type="dxa"/>
            <w:tcBorders>
              <w:top w:val="nil"/>
              <w:left w:val="nil"/>
              <w:bottom w:val="single" w:sz="4" w:space="0" w:color="auto"/>
              <w:right w:val="single" w:sz="4" w:space="0" w:color="auto"/>
            </w:tcBorders>
            <w:shd w:val="clear" w:color="000000" w:fill="F8CBAD"/>
            <w:hideMark/>
          </w:tcPr>
          <w:p w14:paraId="38A7150B" w14:textId="77777777" w:rsidR="00EC0E27" w:rsidRPr="00707082" w:rsidRDefault="00EC0E27" w:rsidP="006D0AD7">
            <w:pPr>
              <w:spacing w:line="240" w:lineRule="auto"/>
              <w:rPr>
                <w:rFonts w:ascii="Calibri" w:eastAsia="Times New Roman" w:hAnsi="Calibri" w:cs="Calibri"/>
                <w:color w:val="000000"/>
              </w:rPr>
            </w:pPr>
            <w:r w:rsidRPr="00707082">
              <w:rPr>
                <w:rFonts w:ascii="Calibri" w:eastAsia="Times New Roman" w:hAnsi="Calibri" w:cs="Calibri"/>
                <w:color w:val="000000"/>
              </w:rPr>
              <w:t>2021</w:t>
            </w:r>
          </w:p>
        </w:tc>
      </w:tr>
    </w:tbl>
    <w:p w14:paraId="5375D85E" w14:textId="472756B8" w:rsidR="00EC0E27" w:rsidRDefault="00E90FBF">
      <w:pPr>
        <w:rPr>
          <w:sz w:val="23"/>
          <w:szCs w:val="23"/>
        </w:rPr>
      </w:pPr>
      <w:r w:rsidRPr="00617BF7">
        <w:rPr>
          <w:rFonts w:ascii="Arial Narrow" w:hAnsi="Arial Narrow"/>
          <w:b/>
          <w:color w:val="2F5496" w:themeColor="accent1" w:themeShade="BF"/>
          <w:sz w:val="30"/>
          <w:szCs w:val="30"/>
        </w:rPr>
        <w:lastRenderedPageBreak/>
        <w:t xml:space="preserve">Delivery </w:t>
      </w:r>
      <w:r w:rsidR="00EC0E27" w:rsidRPr="0072724F">
        <w:rPr>
          <w:sz w:val="23"/>
          <w:szCs w:val="23"/>
        </w:rPr>
        <w:t xml:space="preserve">– </w:t>
      </w:r>
      <w:r w:rsidR="00EC0E27">
        <w:rPr>
          <w:sz w:val="23"/>
          <w:szCs w:val="23"/>
        </w:rPr>
        <w:t xml:space="preserve">State governments are key to building the capacity of their local governments following disasters. States have the best understanding of local needs as well as access to significant administrative and management funds and personnel to ensure localities are in a strong position to succeed with long term recovery. For these reasons, they are central </w:t>
      </w:r>
      <w:r>
        <w:rPr>
          <w:sz w:val="23"/>
          <w:szCs w:val="23"/>
        </w:rPr>
        <w:t>to</w:t>
      </w:r>
      <w:r w:rsidR="00EC0E27">
        <w:rPr>
          <w:sz w:val="23"/>
          <w:szCs w:val="23"/>
        </w:rPr>
        <w:t xml:space="preserve"> how </w:t>
      </w:r>
      <w:r w:rsidR="00EC0E27" w:rsidRPr="0072724F">
        <w:rPr>
          <w:sz w:val="23"/>
          <w:szCs w:val="23"/>
        </w:rPr>
        <w:t xml:space="preserve">the JIT-RMT will be delivered in their state. </w:t>
      </w:r>
    </w:p>
    <w:p w14:paraId="2360077D" w14:textId="0DF001CC" w:rsidR="00EC0E27" w:rsidRDefault="00E90FBF" w:rsidP="00617BF7">
      <w:pPr>
        <w:spacing w:after="120"/>
        <w:rPr>
          <w:sz w:val="23"/>
          <w:szCs w:val="23"/>
        </w:rPr>
      </w:pPr>
      <w:r>
        <w:rPr>
          <w:sz w:val="23"/>
          <w:szCs w:val="23"/>
        </w:rPr>
        <w:t>EMI is engaged in supporting development of the</w:t>
      </w:r>
      <w:r w:rsidR="0087167E">
        <w:rPr>
          <w:sz w:val="23"/>
          <w:szCs w:val="23"/>
        </w:rPr>
        <w:t>se</w:t>
      </w:r>
      <w:r>
        <w:rPr>
          <w:sz w:val="23"/>
          <w:szCs w:val="23"/>
        </w:rPr>
        <w:t xml:space="preserve"> courses to meet EMI standards, with assigned </w:t>
      </w:r>
      <w:r w:rsidR="005E6307">
        <w:rPr>
          <w:sz w:val="23"/>
          <w:szCs w:val="23"/>
        </w:rPr>
        <w:t xml:space="preserve">“L” course </w:t>
      </w:r>
      <w:r>
        <w:rPr>
          <w:sz w:val="23"/>
          <w:szCs w:val="23"/>
        </w:rPr>
        <w:t xml:space="preserve">numbers so they can be </w:t>
      </w:r>
      <w:r w:rsidR="005E6307">
        <w:rPr>
          <w:sz w:val="23"/>
          <w:szCs w:val="23"/>
        </w:rPr>
        <w:t xml:space="preserve">field </w:t>
      </w:r>
      <w:r>
        <w:rPr>
          <w:sz w:val="23"/>
          <w:szCs w:val="23"/>
        </w:rPr>
        <w:t>delivered consistently</w:t>
      </w:r>
      <w:r w:rsidR="005E6307">
        <w:rPr>
          <w:sz w:val="23"/>
          <w:szCs w:val="23"/>
        </w:rPr>
        <w:t>,</w:t>
      </w:r>
      <w:r>
        <w:rPr>
          <w:sz w:val="23"/>
          <w:szCs w:val="23"/>
        </w:rPr>
        <w:t xml:space="preserve"> using EMI standards. FEMA anticipates working with states to tailor the instruction team to respond to state preferences while meeting the consistent delivery of planned content. FEMA will</w:t>
      </w:r>
      <w:r w:rsidR="0087167E">
        <w:rPr>
          <w:sz w:val="23"/>
          <w:szCs w:val="23"/>
        </w:rPr>
        <w:t xml:space="preserve"> also </w:t>
      </w:r>
      <w:r>
        <w:rPr>
          <w:sz w:val="23"/>
          <w:szCs w:val="23"/>
        </w:rPr>
        <w:t xml:space="preserve">work with states to support </w:t>
      </w:r>
      <w:r w:rsidR="00313850">
        <w:rPr>
          <w:sz w:val="23"/>
          <w:szCs w:val="23"/>
        </w:rPr>
        <w:t>‘</w:t>
      </w:r>
      <w:r>
        <w:rPr>
          <w:sz w:val="23"/>
          <w:szCs w:val="23"/>
        </w:rPr>
        <w:t>train the trainer</w:t>
      </w:r>
      <w:r w:rsidR="00313850">
        <w:rPr>
          <w:sz w:val="23"/>
          <w:szCs w:val="23"/>
        </w:rPr>
        <w:t>’ endeavors</w:t>
      </w:r>
      <w:r>
        <w:rPr>
          <w:sz w:val="23"/>
          <w:szCs w:val="23"/>
        </w:rPr>
        <w:t xml:space="preserve">.  </w:t>
      </w:r>
    </w:p>
    <w:p w14:paraId="08C299FF" w14:textId="57799F8A" w:rsidR="00EC0E27" w:rsidRDefault="00EC0E27" w:rsidP="0087167E">
      <w:pPr>
        <w:spacing w:after="120"/>
        <w:rPr>
          <w:sz w:val="23"/>
          <w:szCs w:val="23"/>
        </w:rPr>
      </w:pPr>
      <w:r>
        <w:rPr>
          <w:sz w:val="23"/>
          <w:szCs w:val="23"/>
        </w:rPr>
        <w:t>FEMA</w:t>
      </w:r>
      <w:r w:rsidR="005E6307">
        <w:rPr>
          <w:sz w:val="23"/>
          <w:szCs w:val="23"/>
        </w:rPr>
        <w:t xml:space="preserve"> plans to use</w:t>
      </w:r>
      <w:r>
        <w:rPr>
          <w:sz w:val="23"/>
          <w:szCs w:val="23"/>
        </w:rPr>
        <w:t xml:space="preserve"> local government peers with recovery experience as well as subject matter experts </w:t>
      </w:r>
      <w:r w:rsidR="005E6307">
        <w:rPr>
          <w:sz w:val="23"/>
          <w:szCs w:val="23"/>
        </w:rPr>
        <w:t xml:space="preserve">and EMI qualified instructors </w:t>
      </w:r>
      <w:r>
        <w:rPr>
          <w:sz w:val="23"/>
          <w:szCs w:val="23"/>
        </w:rPr>
        <w:t xml:space="preserve">to deliver the foundational courses. It is </w:t>
      </w:r>
      <w:r w:rsidR="005E6307">
        <w:rPr>
          <w:sz w:val="23"/>
          <w:szCs w:val="23"/>
        </w:rPr>
        <w:t>critical</w:t>
      </w:r>
      <w:r>
        <w:rPr>
          <w:sz w:val="23"/>
          <w:szCs w:val="23"/>
        </w:rPr>
        <w:t xml:space="preserve"> that </w:t>
      </w:r>
      <w:r w:rsidR="005E6307">
        <w:rPr>
          <w:sz w:val="23"/>
          <w:szCs w:val="23"/>
        </w:rPr>
        <w:t xml:space="preserve">knowledgeable </w:t>
      </w:r>
      <w:r>
        <w:rPr>
          <w:sz w:val="23"/>
          <w:szCs w:val="23"/>
        </w:rPr>
        <w:t xml:space="preserve">peers be involved in the instruction as peers lend credibility </w:t>
      </w:r>
      <w:r w:rsidR="005E6307">
        <w:rPr>
          <w:sz w:val="23"/>
          <w:szCs w:val="23"/>
        </w:rPr>
        <w:t xml:space="preserve">and depth </w:t>
      </w:r>
      <w:r>
        <w:rPr>
          <w:sz w:val="23"/>
          <w:szCs w:val="23"/>
        </w:rPr>
        <w:t xml:space="preserve">to the material and have proven to be highly effective in delivering </w:t>
      </w:r>
      <w:r w:rsidR="00313850">
        <w:rPr>
          <w:sz w:val="23"/>
          <w:szCs w:val="23"/>
        </w:rPr>
        <w:t xml:space="preserve">well-received </w:t>
      </w:r>
      <w:r>
        <w:rPr>
          <w:sz w:val="23"/>
          <w:szCs w:val="23"/>
        </w:rPr>
        <w:t>content.</w:t>
      </w:r>
    </w:p>
    <w:p w14:paraId="1EC3A16B" w14:textId="4B8195EC" w:rsidR="00EC0E27" w:rsidRDefault="00EC0E27" w:rsidP="0087167E">
      <w:pPr>
        <w:spacing w:after="120"/>
        <w:rPr>
          <w:sz w:val="23"/>
          <w:szCs w:val="23"/>
        </w:rPr>
      </w:pPr>
      <w:r w:rsidRPr="0087167E">
        <w:rPr>
          <w:rFonts w:ascii="Arial Narrow" w:hAnsi="Arial Narrow"/>
          <w:b/>
          <w:color w:val="2F5496" w:themeColor="accent1" w:themeShade="BF"/>
          <w:sz w:val="30"/>
          <w:szCs w:val="30"/>
        </w:rPr>
        <w:t xml:space="preserve">Partners </w:t>
      </w:r>
      <w:r>
        <w:rPr>
          <w:sz w:val="23"/>
          <w:szCs w:val="23"/>
        </w:rPr>
        <w:t xml:space="preserve">- More than </w:t>
      </w:r>
      <w:r w:rsidRPr="0072724F">
        <w:rPr>
          <w:sz w:val="23"/>
          <w:szCs w:val="23"/>
        </w:rPr>
        <w:t xml:space="preserve">40 </w:t>
      </w:r>
      <w:r w:rsidR="005E6307">
        <w:rPr>
          <w:sz w:val="23"/>
          <w:szCs w:val="23"/>
        </w:rPr>
        <w:t xml:space="preserve">internal and external </w:t>
      </w:r>
      <w:r w:rsidRPr="0072724F">
        <w:rPr>
          <w:sz w:val="23"/>
          <w:szCs w:val="23"/>
        </w:rPr>
        <w:t xml:space="preserve">partners have provided detailed verbal and written feedback on this initiative </w:t>
      </w:r>
      <w:r>
        <w:rPr>
          <w:sz w:val="23"/>
          <w:szCs w:val="23"/>
        </w:rPr>
        <w:t xml:space="preserve">in extensive interviews, </w:t>
      </w:r>
      <w:r w:rsidRPr="0072724F">
        <w:rPr>
          <w:sz w:val="23"/>
          <w:szCs w:val="23"/>
        </w:rPr>
        <w:t xml:space="preserve">have convened at FEMA to provide direct input </w:t>
      </w:r>
      <w:r>
        <w:rPr>
          <w:sz w:val="23"/>
          <w:szCs w:val="23"/>
        </w:rPr>
        <w:t>during a formal focus group (</w:t>
      </w:r>
      <w:r w:rsidRPr="0072724F">
        <w:rPr>
          <w:sz w:val="23"/>
          <w:szCs w:val="23"/>
        </w:rPr>
        <w:t>8/24/18</w:t>
      </w:r>
      <w:r>
        <w:rPr>
          <w:sz w:val="23"/>
          <w:szCs w:val="23"/>
        </w:rPr>
        <w:t>)</w:t>
      </w:r>
      <w:r w:rsidRPr="0072724F">
        <w:rPr>
          <w:sz w:val="23"/>
          <w:szCs w:val="23"/>
        </w:rPr>
        <w:t xml:space="preserve"> and </w:t>
      </w:r>
      <w:r>
        <w:rPr>
          <w:sz w:val="23"/>
          <w:szCs w:val="23"/>
        </w:rPr>
        <w:t>in a course development workshop (</w:t>
      </w:r>
      <w:r w:rsidRPr="0072724F">
        <w:rPr>
          <w:sz w:val="23"/>
          <w:szCs w:val="23"/>
        </w:rPr>
        <w:t>7/22-23/19</w:t>
      </w:r>
      <w:r>
        <w:rPr>
          <w:sz w:val="23"/>
          <w:szCs w:val="23"/>
        </w:rPr>
        <w:t xml:space="preserve">). </w:t>
      </w:r>
      <w:r w:rsidR="00B05FEE" w:rsidRPr="00B55957">
        <w:rPr>
          <w:sz w:val="23"/>
          <w:szCs w:val="23"/>
        </w:rPr>
        <w:t xml:space="preserve">The courses have also been informed by feedback from precursor courses that have been delivered numerous times in </w:t>
      </w:r>
      <w:r w:rsidR="00B05FEE">
        <w:rPr>
          <w:sz w:val="23"/>
          <w:szCs w:val="23"/>
        </w:rPr>
        <w:t xml:space="preserve">collaboration with the states of </w:t>
      </w:r>
      <w:r w:rsidR="00B05FEE" w:rsidRPr="00B55957">
        <w:rPr>
          <w:sz w:val="23"/>
          <w:szCs w:val="23"/>
        </w:rPr>
        <w:t xml:space="preserve">Florida and Louisiana. </w:t>
      </w:r>
      <w:r>
        <w:rPr>
          <w:sz w:val="23"/>
          <w:szCs w:val="23"/>
        </w:rPr>
        <w:t>Partners</w:t>
      </w:r>
      <w:r w:rsidRPr="0072724F">
        <w:rPr>
          <w:sz w:val="23"/>
          <w:szCs w:val="23"/>
        </w:rPr>
        <w:t xml:space="preserve"> includ</w:t>
      </w:r>
      <w:r>
        <w:rPr>
          <w:sz w:val="23"/>
          <w:szCs w:val="23"/>
        </w:rPr>
        <w:t>e:</w:t>
      </w:r>
    </w:p>
    <w:p w14:paraId="583A52D7" w14:textId="535AEF50" w:rsidR="00B55957" w:rsidRPr="00EC0E27" w:rsidRDefault="00554EED" w:rsidP="0087167E">
      <w:pPr>
        <w:spacing w:after="120"/>
        <w:ind w:left="180"/>
        <w:rPr>
          <w:sz w:val="23"/>
          <w:szCs w:val="23"/>
        </w:rPr>
      </w:pPr>
      <w:r w:rsidRPr="0087167E">
        <w:rPr>
          <w:rFonts w:ascii="Arial" w:hAnsi="Arial" w:cs="Arial"/>
          <w:color w:val="2F5496" w:themeColor="accent1" w:themeShade="BF"/>
          <w:sz w:val="23"/>
          <w:szCs w:val="23"/>
        </w:rPr>
        <w:t>FEM</w:t>
      </w:r>
      <w:r w:rsidR="00B55957" w:rsidRPr="0087167E">
        <w:rPr>
          <w:rFonts w:ascii="Arial" w:hAnsi="Arial" w:cs="Arial"/>
          <w:color w:val="2F5496" w:themeColor="accent1" w:themeShade="BF"/>
          <w:sz w:val="23"/>
          <w:szCs w:val="23"/>
        </w:rPr>
        <w:t>A</w:t>
      </w:r>
      <w:r w:rsidR="00EC0E27" w:rsidRPr="0087167E">
        <w:rPr>
          <w:rFonts w:ascii="Arial" w:hAnsi="Arial" w:cs="Arial"/>
          <w:color w:val="2F5496" w:themeColor="accent1" w:themeShade="BF"/>
          <w:sz w:val="23"/>
          <w:szCs w:val="23"/>
        </w:rPr>
        <w:t xml:space="preserve"> </w:t>
      </w:r>
      <w:r w:rsidR="00B05FEE">
        <w:rPr>
          <w:sz w:val="23"/>
          <w:szCs w:val="23"/>
        </w:rPr>
        <w:t>–</w:t>
      </w:r>
      <w:r w:rsidR="00EC0E27">
        <w:rPr>
          <w:sz w:val="23"/>
          <w:szCs w:val="23"/>
        </w:rPr>
        <w:t xml:space="preserve"> </w:t>
      </w:r>
      <w:r w:rsidR="00B05FEE">
        <w:rPr>
          <w:sz w:val="23"/>
          <w:szCs w:val="23"/>
        </w:rPr>
        <w:t xml:space="preserve">FEMA programs were engaged, consulted and provided comments at multiple stages. FEMA components substantially involved include </w:t>
      </w:r>
      <w:r w:rsidR="00B55957" w:rsidRPr="00EC0E27">
        <w:rPr>
          <w:sz w:val="23"/>
          <w:szCs w:val="23"/>
        </w:rPr>
        <w:t>National Integration Center, Public Assistance, Hazard Mitigation Grant Program, Intergovernmental Affairs-</w:t>
      </w:r>
      <w:r w:rsidRPr="00EC0E27">
        <w:rPr>
          <w:sz w:val="23"/>
          <w:szCs w:val="23"/>
        </w:rPr>
        <w:t>TPT, P</w:t>
      </w:r>
      <w:r w:rsidR="00B55957" w:rsidRPr="00EC0E27">
        <w:rPr>
          <w:sz w:val="23"/>
          <w:szCs w:val="23"/>
        </w:rPr>
        <w:t>rocurement Disaster Assistance Team</w:t>
      </w:r>
      <w:r w:rsidRPr="00EC0E27">
        <w:rPr>
          <w:sz w:val="23"/>
          <w:szCs w:val="23"/>
        </w:rPr>
        <w:t>, Grants, N</w:t>
      </w:r>
      <w:r w:rsidR="00B55957" w:rsidRPr="00EC0E27">
        <w:rPr>
          <w:sz w:val="23"/>
          <w:szCs w:val="23"/>
        </w:rPr>
        <w:t>ational Training and Educational Division</w:t>
      </w:r>
      <w:r w:rsidRPr="00EC0E27">
        <w:rPr>
          <w:sz w:val="23"/>
          <w:szCs w:val="23"/>
        </w:rPr>
        <w:t>, E</w:t>
      </w:r>
      <w:r w:rsidR="00B55957" w:rsidRPr="00EC0E27">
        <w:rPr>
          <w:sz w:val="23"/>
          <w:szCs w:val="23"/>
        </w:rPr>
        <w:t>mergency Management Institute</w:t>
      </w:r>
      <w:r w:rsidRPr="00EC0E27">
        <w:rPr>
          <w:sz w:val="23"/>
          <w:szCs w:val="23"/>
        </w:rPr>
        <w:t xml:space="preserve">, </w:t>
      </w:r>
      <w:r w:rsidR="005E6307">
        <w:rPr>
          <w:sz w:val="23"/>
          <w:szCs w:val="23"/>
        </w:rPr>
        <w:t xml:space="preserve">and </w:t>
      </w:r>
      <w:r w:rsidRPr="00EC0E27">
        <w:rPr>
          <w:sz w:val="23"/>
          <w:szCs w:val="23"/>
        </w:rPr>
        <w:t>Region</w:t>
      </w:r>
      <w:r w:rsidR="005E6307">
        <w:rPr>
          <w:sz w:val="23"/>
          <w:szCs w:val="23"/>
        </w:rPr>
        <w:t>s</w:t>
      </w:r>
      <w:r w:rsidRPr="00EC0E27">
        <w:rPr>
          <w:sz w:val="23"/>
          <w:szCs w:val="23"/>
        </w:rPr>
        <w:t xml:space="preserve"> 6, 8, </w:t>
      </w:r>
      <w:r w:rsidR="005E6307">
        <w:rPr>
          <w:sz w:val="23"/>
          <w:szCs w:val="23"/>
        </w:rPr>
        <w:t xml:space="preserve">and </w:t>
      </w:r>
      <w:r w:rsidRPr="00EC0E27">
        <w:rPr>
          <w:sz w:val="23"/>
          <w:szCs w:val="23"/>
        </w:rPr>
        <w:t>10</w:t>
      </w:r>
      <w:r w:rsidR="00EC0E27" w:rsidRPr="00EC0E27">
        <w:rPr>
          <w:sz w:val="23"/>
          <w:szCs w:val="23"/>
        </w:rPr>
        <w:t xml:space="preserve">. </w:t>
      </w:r>
    </w:p>
    <w:p w14:paraId="00FF9717" w14:textId="154F1031" w:rsidR="00B55957" w:rsidRPr="00EC0E27" w:rsidRDefault="00554EED" w:rsidP="0087167E">
      <w:pPr>
        <w:spacing w:after="120"/>
        <w:ind w:left="180"/>
        <w:rPr>
          <w:sz w:val="23"/>
          <w:szCs w:val="23"/>
        </w:rPr>
      </w:pPr>
      <w:r w:rsidRPr="0087167E">
        <w:rPr>
          <w:rFonts w:ascii="Arial" w:hAnsi="Arial" w:cs="Arial"/>
          <w:color w:val="2F5496" w:themeColor="accent1" w:themeShade="BF"/>
          <w:sz w:val="23"/>
          <w:szCs w:val="23"/>
        </w:rPr>
        <w:t>Federal</w:t>
      </w:r>
      <w:r w:rsidR="00EC0E27">
        <w:rPr>
          <w:sz w:val="23"/>
          <w:szCs w:val="23"/>
        </w:rPr>
        <w:t xml:space="preserve"> - </w:t>
      </w:r>
      <w:r w:rsidRPr="00EC0E27">
        <w:rPr>
          <w:sz w:val="23"/>
          <w:szCs w:val="23"/>
        </w:rPr>
        <w:t>HUD, USDA, EPA, Economic RSF</w:t>
      </w:r>
    </w:p>
    <w:p w14:paraId="5D5EF4F8" w14:textId="27B9F718" w:rsidR="00AA214D" w:rsidRPr="00EC0E27" w:rsidRDefault="00554EED" w:rsidP="0087167E">
      <w:pPr>
        <w:spacing w:after="120"/>
        <w:ind w:left="180"/>
        <w:rPr>
          <w:sz w:val="23"/>
          <w:szCs w:val="23"/>
        </w:rPr>
      </w:pPr>
      <w:r w:rsidRPr="0087167E">
        <w:rPr>
          <w:rFonts w:ascii="Arial" w:hAnsi="Arial" w:cs="Arial"/>
          <w:color w:val="2F5496" w:themeColor="accent1" w:themeShade="BF"/>
          <w:sz w:val="23"/>
          <w:szCs w:val="23"/>
        </w:rPr>
        <w:t xml:space="preserve">State </w:t>
      </w:r>
      <w:r w:rsidR="00EC0E27">
        <w:rPr>
          <w:sz w:val="23"/>
          <w:szCs w:val="23"/>
        </w:rPr>
        <w:t xml:space="preserve">- </w:t>
      </w:r>
      <w:r w:rsidR="00AA214D" w:rsidRPr="00EC0E27">
        <w:rPr>
          <w:sz w:val="23"/>
          <w:szCs w:val="23"/>
        </w:rPr>
        <w:t>State of Louisiana - Office of Community Development</w:t>
      </w:r>
      <w:r w:rsidRPr="00EC0E27">
        <w:rPr>
          <w:sz w:val="23"/>
          <w:szCs w:val="23"/>
        </w:rPr>
        <w:t xml:space="preserve">, </w:t>
      </w:r>
      <w:bookmarkStart w:id="0" w:name="_GoBack"/>
      <w:bookmarkEnd w:id="0"/>
      <w:r w:rsidR="00AA214D" w:rsidRPr="00EC0E27">
        <w:rPr>
          <w:sz w:val="23"/>
          <w:szCs w:val="23"/>
        </w:rPr>
        <w:t>State of Colorado – Department of Local Affairs, State of North Dakota – Department of Emergency Services</w:t>
      </w:r>
    </w:p>
    <w:p w14:paraId="330D927F" w14:textId="0B6A0518" w:rsidR="00EC0E27" w:rsidRPr="00EC0E27" w:rsidRDefault="00EC0E27" w:rsidP="0087167E">
      <w:pPr>
        <w:spacing w:after="120"/>
        <w:ind w:left="180"/>
        <w:rPr>
          <w:sz w:val="23"/>
          <w:szCs w:val="23"/>
        </w:rPr>
      </w:pPr>
      <w:r w:rsidRPr="0087167E">
        <w:rPr>
          <w:rFonts w:ascii="Arial" w:hAnsi="Arial" w:cs="Arial"/>
          <w:color w:val="2F5496" w:themeColor="accent1" w:themeShade="BF"/>
          <w:sz w:val="23"/>
          <w:szCs w:val="23"/>
        </w:rPr>
        <w:t xml:space="preserve">Local </w:t>
      </w:r>
      <w:r>
        <w:rPr>
          <w:sz w:val="23"/>
          <w:szCs w:val="23"/>
        </w:rPr>
        <w:t xml:space="preserve">- </w:t>
      </w:r>
      <w:r w:rsidRPr="00EC0E27">
        <w:rPr>
          <w:sz w:val="23"/>
          <w:szCs w:val="23"/>
        </w:rPr>
        <w:t>City of Bloomfield, IL, City of Longmont, CO, Town of Lyons, CO, City of Cedar Rapids, IA, Monroe County, FL, Snohomish County, WA</w:t>
      </w:r>
    </w:p>
    <w:p w14:paraId="651EF5C8" w14:textId="600AC7CB" w:rsidR="00EC0E27" w:rsidRPr="00EC0E27" w:rsidRDefault="00554EED" w:rsidP="0087167E">
      <w:pPr>
        <w:spacing w:after="120"/>
        <w:ind w:left="180"/>
        <w:rPr>
          <w:sz w:val="23"/>
          <w:szCs w:val="23"/>
        </w:rPr>
      </w:pPr>
      <w:r w:rsidRPr="0087167E">
        <w:rPr>
          <w:rFonts w:ascii="Arial" w:hAnsi="Arial" w:cs="Arial"/>
          <w:color w:val="2F5496" w:themeColor="accent1" w:themeShade="BF"/>
          <w:sz w:val="23"/>
          <w:szCs w:val="23"/>
        </w:rPr>
        <w:t xml:space="preserve">Organizational </w:t>
      </w:r>
      <w:r w:rsidR="00EC0E27">
        <w:rPr>
          <w:sz w:val="23"/>
          <w:szCs w:val="23"/>
        </w:rPr>
        <w:t xml:space="preserve">- </w:t>
      </w:r>
      <w:r w:rsidR="00AA214D" w:rsidRPr="00EC0E27">
        <w:rPr>
          <w:sz w:val="23"/>
          <w:szCs w:val="23"/>
        </w:rPr>
        <w:t xml:space="preserve">National Emergency Management Association, International Emergency Management Association, National Governors Association, National Council of State Legislators, National Association of Development Organizations, National Association of Counties, </w:t>
      </w:r>
      <w:r w:rsidR="00EC0E27" w:rsidRPr="00EC0E27">
        <w:rPr>
          <w:sz w:val="23"/>
          <w:szCs w:val="23"/>
        </w:rPr>
        <w:t xml:space="preserve">International City/County Management Association, National League of Cities, </w:t>
      </w:r>
      <w:r w:rsidR="00AA214D" w:rsidRPr="00EC0E27">
        <w:rPr>
          <w:sz w:val="23"/>
          <w:szCs w:val="23"/>
        </w:rPr>
        <w:t>National Grants Management Association, Government Finance Officers Association</w:t>
      </w:r>
      <w:r w:rsidR="00EC0E27" w:rsidRPr="00EC0E27">
        <w:rPr>
          <w:sz w:val="23"/>
          <w:szCs w:val="23"/>
        </w:rPr>
        <w:t>, Society for Human Resource Management, Louisiana Municipal Association, National Voluntary Associations Active in Disaster, Extension Disaster Education Network, University of North Carolina School of Local Government, Old Dominion University – Center for Regional Excellence</w:t>
      </w:r>
    </w:p>
    <w:p w14:paraId="6E5DDC1F" w14:textId="77777777" w:rsidR="00A759A7" w:rsidRPr="0072724F" w:rsidRDefault="00A759A7" w:rsidP="0087167E">
      <w:pPr>
        <w:spacing w:after="120"/>
        <w:rPr>
          <w:sz w:val="23"/>
          <w:szCs w:val="23"/>
        </w:rPr>
      </w:pPr>
      <w:r w:rsidRPr="0087167E">
        <w:rPr>
          <w:rFonts w:ascii="Arial Narrow" w:hAnsi="Arial Narrow"/>
          <w:b/>
          <w:color w:val="2F5496" w:themeColor="accent1" w:themeShade="BF"/>
          <w:sz w:val="30"/>
          <w:szCs w:val="30"/>
        </w:rPr>
        <w:t>For more information</w:t>
      </w:r>
      <w:r w:rsidRPr="0072724F">
        <w:rPr>
          <w:b/>
          <w:sz w:val="23"/>
          <w:szCs w:val="23"/>
        </w:rPr>
        <w:t xml:space="preserve"> – </w:t>
      </w:r>
      <w:r w:rsidRPr="0072724F">
        <w:rPr>
          <w:sz w:val="23"/>
          <w:szCs w:val="23"/>
        </w:rPr>
        <w:t>Please contact:</w:t>
      </w:r>
    </w:p>
    <w:p w14:paraId="7030F5AE" w14:textId="45615C05" w:rsidR="00EE55A6" w:rsidRDefault="00A759A7">
      <w:pPr>
        <w:rPr>
          <w:sz w:val="23"/>
          <w:szCs w:val="23"/>
        </w:rPr>
      </w:pPr>
      <w:r w:rsidRPr="0072724F">
        <w:rPr>
          <w:sz w:val="23"/>
          <w:szCs w:val="23"/>
        </w:rPr>
        <w:t>Michael Gumpert, JIT-RMT Project Lead</w:t>
      </w:r>
      <w:r w:rsidR="00B05FEE">
        <w:rPr>
          <w:sz w:val="23"/>
          <w:szCs w:val="23"/>
        </w:rPr>
        <w:t xml:space="preserve">, </w:t>
      </w:r>
      <w:hyperlink r:id="rId10" w:history="1">
        <w:r w:rsidRPr="0072724F">
          <w:rPr>
            <w:rStyle w:val="Hyperlink"/>
            <w:sz w:val="23"/>
            <w:szCs w:val="23"/>
          </w:rPr>
          <w:t>Michael.Gumpert@fema.dhs.gov</w:t>
        </w:r>
      </w:hyperlink>
      <w:r w:rsidRPr="0072724F">
        <w:rPr>
          <w:sz w:val="23"/>
          <w:szCs w:val="23"/>
        </w:rPr>
        <w:t xml:space="preserve"> or 720-415-6499</w:t>
      </w:r>
    </w:p>
    <w:p w14:paraId="214E06C7" w14:textId="4FAB6D83" w:rsidR="00EE55A6" w:rsidRDefault="00EE55A6">
      <w:pPr>
        <w:rPr>
          <w:sz w:val="23"/>
          <w:szCs w:val="23"/>
        </w:rPr>
      </w:pPr>
      <w:r>
        <w:rPr>
          <w:sz w:val="23"/>
          <w:szCs w:val="23"/>
        </w:rPr>
        <w:t>Or Matt Campbell, Branch Chief, Community Planning and Capacity Building</w:t>
      </w:r>
    </w:p>
    <w:p w14:paraId="2A42FC24" w14:textId="31DC9ABE" w:rsidR="00916CCB" w:rsidRPr="0072724F" w:rsidRDefault="002850F0">
      <w:pPr>
        <w:rPr>
          <w:sz w:val="23"/>
          <w:szCs w:val="23"/>
        </w:rPr>
      </w:pPr>
      <w:hyperlink r:id="rId11" w:history="1">
        <w:r w:rsidR="00EE55A6" w:rsidRPr="00DB2685">
          <w:rPr>
            <w:rStyle w:val="Hyperlink"/>
            <w:sz w:val="23"/>
            <w:szCs w:val="23"/>
          </w:rPr>
          <w:t>Matt.campbell@fema.dhs.gov</w:t>
        </w:r>
      </w:hyperlink>
      <w:r w:rsidR="00EE55A6">
        <w:rPr>
          <w:sz w:val="23"/>
          <w:szCs w:val="23"/>
        </w:rPr>
        <w:t>, 202-870-4495</w:t>
      </w:r>
    </w:p>
    <w:sectPr w:rsidR="00916CCB" w:rsidRPr="0072724F" w:rsidSect="00781B47">
      <w:pgSz w:w="12240" w:h="15840"/>
      <w:pgMar w:top="1152" w:right="1152" w:bottom="9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8166" w14:textId="77777777" w:rsidR="002850F0" w:rsidRDefault="002850F0" w:rsidP="009B3763">
      <w:pPr>
        <w:spacing w:line="240" w:lineRule="auto"/>
      </w:pPr>
      <w:r>
        <w:separator/>
      </w:r>
    </w:p>
  </w:endnote>
  <w:endnote w:type="continuationSeparator" w:id="0">
    <w:p w14:paraId="661E7F74" w14:textId="77777777" w:rsidR="002850F0" w:rsidRDefault="002850F0" w:rsidP="009B3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76B2" w14:textId="77777777" w:rsidR="002850F0" w:rsidRDefault="002850F0" w:rsidP="009B3763">
      <w:pPr>
        <w:spacing w:line="240" w:lineRule="auto"/>
      </w:pPr>
      <w:r>
        <w:separator/>
      </w:r>
    </w:p>
  </w:footnote>
  <w:footnote w:type="continuationSeparator" w:id="0">
    <w:p w14:paraId="4AD6E019" w14:textId="77777777" w:rsidR="002850F0" w:rsidRDefault="002850F0" w:rsidP="009B3763">
      <w:pPr>
        <w:spacing w:line="240" w:lineRule="auto"/>
      </w:pPr>
      <w:r>
        <w:continuationSeparator/>
      </w:r>
    </w:p>
  </w:footnote>
  <w:footnote w:id="1">
    <w:p w14:paraId="05857C1B" w14:textId="4EFC9145" w:rsidR="00C81323" w:rsidRDefault="00C81323">
      <w:pPr>
        <w:pStyle w:val="FootnoteText"/>
      </w:pPr>
      <w:r>
        <w:rPr>
          <w:rStyle w:val="FootnoteReference"/>
        </w:rPr>
        <w:footnoteRef/>
      </w:r>
      <w:r>
        <w:t xml:space="preserve"> </w:t>
      </w:r>
      <w:r w:rsidRPr="009B3763">
        <w:rPr>
          <w:rFonts w:cstheme="minorHAnsi"/>
          <w:color w:val="000000" w:themeColor="text1"/>
          <w:sz w:val="18"/>
          <w:szCs w:val="18"/>
        </w:rPr>
        <w:t>Increase State, Local, Tribal, and Territorial embrace and implementation of NDRF principles and concepts through recovery management, planning, and preparedness</w:t>
      </w:r>
      <w:r>
        <w:rPr>
          <w:rFonts w:cstheme="minorHAnsi"/>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60"/>
    <w:multiLevelType w:val="hybridMultilevel"/>
    <w:tmpl w:val="6BA0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C071C"/>
    <w:multiLevelType w:val="hybridMultilevel"/>
    <w:tmpl w:val="E09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730E1"/>
    <w:multiLevelType w:val="hybridMultilevel"/>
    <w:tmpl w:val="AE22E344"/>
    <w:lvl w:ilvl="0" w:tplc="CD0CD1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25D6D"/>
    <w:multiLevelType w:val="hybridMultilevel"/>
    <w:tmpl w:val="C866706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1F417C1"/>
    <w:multiLevelType w:val="hybridMultilevel"/>
    <w:tmpl w:val="F8161F1C"/>
    <w:lvl w:ilvl="0" w:tplc="0FB03C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7E85"/>
    <w:multiLevelType w:val="hybridMultilevel"/>
    <w:tmpl w:val="148A6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1469A"/>
    <w:multiLevelType w:val="hybridMultilevel"/>
    <w:tmpl w:val="6AE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53774"/>
    <w:multiLevelType w:val="hybridMultilevel"/>
    <w:tmpl w:val="995041C6"/>
    <w:lvl w:ilvl="0" w:tplc="CE9237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F69E9"/>
    <w:multiLevelType w:val="hybridMultilevel"/>
    <w:tmpl w:val="BC5E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24C71"/>
    <w:multiLevelType w:val="hybridMultilevel"/>
    <w:tmpl w:val="1DC43A78"/>
    <w:lvl w:ilvl="0" w:tplc="489039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63A2C"/>
    <w:multiLevelType w:val="hybridMultilevel"/>
    <w:tmpl w:val="E23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6"/>
  </w:num>
  <w:num w:numId="6">
    <w:abstractNumId w:val="4"/>
  </w:num>
  <w:num w:numId="7">
    <w:abstractNumId w:val="3"/>
  </w:num>
  <w:num w:numId="8">
    <w:abstractNumId w:val="8"/>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63"/>
    <w:rsid w:val="00017254"/>
    <w:rsid w:val="00047AF1"/>
    <w:rsid w:val="000C7912"/>
    <w:rsid w:val="000F2786"/>
    <w:rsid w:val="0010518A"/>
    <w:rsid w:val="00107C83"/>
    <w:rsid w:val="00130684"/>
    <w:rsid w:val="00172592"/>
    <w:rsid w:val="00174511"/>
    <w:rsid w:val="00185CD3"/>
    <w:rsid w:val="001D13BB"/>
    <w:rsid w:val="002315B1"/>
    <w:rsid w:val="00240731"/>
    <w:rsid w:val="00284F05"/>
    <w:rsid w:val="002850F0"/>
    <w:rsid w:val="002929B7"/>
    <w:rsid w:val="002B591A"/>
    <w:rsid w:val="002C43D4"/>
    <w:rsid w:val="002D0B64"/>
    <w:rsid w:val="002D395C"/>
    <w:rsid w:val="00311558"/>
    <w:rsid w:val="00311FB5"/>
    <w:rsid w:val="00313850"/>
    <w:rsid w:val="00316827"/>
    <w:rsid w:val="003264CD"/>
    <w:rsid w:val="00362D98"/>
    <w:rsid w:val="003909E4"/>
    <w:rsid w:val="00391035"/>
    <w:rsid w:val="003A0D62"/>
    <w:rsid w:val="003B2401"/>
    <w:rsid w:val="003C7223"/>
    <w:rsid w:val="003E4B18"/>
    <w:rsid w:val="00422F57"/>
    <w:rsid w:val="0042395E"/>
    <w:rsid w:val="004A6324"/>
    <w:rsid w:val="004E7975"/>
    <w:rsid w:val="00515284"/>
    <w:rsid w:val="0053708B"/>
    <w:rsid w:val="00554EED"/>
    <w:rsid w:val="005D4A23"/>
    <w:rsid w:val="005E4A00"/>
    <w:rsid w:val="005E6307"/>
    <w:rsid w:val="00617BF7"/>
    <w:rsid w:val="006B51A4"/>
    <w:rsid w:val="006D5E80"/>
    <w:rsid w:val="00705261"/>
    <w:rsid w:val="00707082"/>
    <w:rsid w:val="00711CB7"/>
    <w:rsid w:val="0072724F"/>
    <w:rsid w:val="00781B47"/>
    <w:rsid w:val="007D662A"/>
    <w:rsid w:val="007E4E80"/>
    <w:rsid w:val="0080697D"/>
    <w:rsid w:val="0081046F"/>
    <w:rsid w:val="0087167E"/>
    <w:rsid w:val="00880DC9"/>
    <w:rsid w:val="00891F94"/>
    <w:rsid w:val="008A5FE5"/>
    <w:rsid w:val="00904C5C"/>
    <w:rsid w:val="00915FC2"/>
    <w:rsid w:val="00916CCB"/>
    <w:rsid w:val="00941354"/>
    <w:rsid w:val="0097153E"/>
    <w:rsid w:val="0098143E"/>
    <w:rsid w:val="009905C2"/>
    <w:rsid w:val="009B3763"/>
    <w:rsid w:val="009C5161"/>
    <w:rsid w:val="009E5E78"/>
    <w:rsid w:val="009F6644"/>
    <w:rsid w:val="00A27695"/>
    <w:rsid w:val="00A42203"/>
    <w:rsid w:val="00A759A7"/>
    <w:rsid w:val="00A807DD"/>
    <w:rsid w:val="00A9740D"/>
    <w:rsid w:val="00AA214D"/>
    <w:rsid w:val="00AA317F"/>
    <w:rsid w:val="00AB13C9"/>
    <w:rsid w:val="00B05FEE"/>
    <w:rsid w:val="00B21CF3"/>
    <w:rsid w:val="00B420BE"/>
    <w:rsid w:val="00B50913"/>
    <w:rsid w:val="00B55957"/>
    <w:rsid w:val="00B6626E"/>
    <w:rsid w:val="00B91785"/>
    <w:rsid w:val="00BC05AD"/>
    <w:rsid w:val="00BC53C9"/>
    <w:rsid w:val="00C31C1D"/>
    <w:rsid w:val="00C44284"/>
    <w:rsid w:val="00C47480"/>
    <w:rsid w:val="00C81323"/>
    <w:rsid w:val="00C93785"/>
    <w:rsid w:val="00D91710"/>
    <w:rsid w:val="00D92B37"/>
    <w:rsid w:val="00DC5F57"/>
    <w:rsid w:val="00DD2BC9"/>
    <w:rsid w:val="00DF2F45"/>
    <w:rsid w:val="00E0292B"/>
    <w:rsid w:val="00E0729F"/>
    <w:rsid w:val="00E75B61"/>
    <w:rsid w:val="00E90FBF"/>
    <w:rsid w:val="00EA1B7E"/>
    <w:rsid w:val="00EC0E27"/>
    <w:rsid w:val="00ED72F4"/>
    <w:rsid w:val="00EE55A6"/>
    <w:rsid w:val="00F06E8B"/>
    <w:rsid w:val="00F264E3"/>
    <w:rsid w:val="00F5623C"/>
    <w:rsid w:val="00F63A08"/>
    <w:rsid w:val="00F81A78"/>
    <w:rsid w:val="00F90E63"/>
    <w:rsid w:val="00FB7F99"/>
    <w:rsid w:val="00FC60EE"/>
    <w:rsid w:val="00FD4317"/>
    <w:rsid w:val="00F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57A"/>
  <w15:chartTrackingRefBased/>
  <w15:docId w15:val="{8679D001-9796-4106-B0AF-7219F06B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3763"/>
    <w:pPr>
      <w:spacing w:line="240" w:lineRule="auto"/>
    </w:pPr>
    <w:rPr>
      <w:sz w:val="20"/>
      <w:szCs w:val="20"/>
    </w:rPr>
  </w:style>
  <w:style w:type="character" w:customStyle="1" w:styleId="FootnoteTextChar">
    <w:name w:val="Footnote Text Char"/>
    <w:basedOn w:val="DefaultParagraphFont"/>
    <w:link w:val="FootnoteText"/>
    <w:uiPriority w:val="99"/>
    <w:semiHidden/>
    <w:rsid w:val="009B3763"/>
    <w:rPr>
      <w:sz w:val="20"/>
      <w:szCs w:val="20"/>
    </w:rPr>
  </w:style>
  <w:style w:type="character" w:styleId="FootnoteReference">
    <w:name w:val="footnote reference"/>
    <w:basedOn w:val="DefaultParagraphFont"/>
    <w:uiPriority w:val="99"/>
    <w:semiHidden/>
    <w:unhideWhenUsed/>
    <w:rsid w:val="009B3763"/>
    <w:rPr>
      <w:vertAlign w:val="superscript"/>
    </w:rPr>
  </w:style>
  <w:style w:type="paragraph" w:styleId="ListParagraph">
    <w:name w:val="List Paragraph"/>
    <w:basedOn w:val="Normal"/>
    <w:link w:val="ListParagraphChar"/>
    <w:uiPriority w:val="34"/>
    <w:qFormat/>
    <w:rsid w:val="006D5E80"/>
    <w:pPr>
      <w:ind w:left="720"/>
      <w:contextualSpacing/>
    </w:pPr>
  </w:style>
  <w:style w:type="character" w:styleId="Hyperlink">
    <w:name w:val="Hyperlink"/>
    <w:basedOn w:val="DefaultParagraphFont"/>
    <w:uiPriority w:val="99"/>
    <w:unhideWhenUsed/>
    <w:rsid w:val="00A759A7"/>
    <w:rPr>
      <w:color w:val="0563C1" w:themeColor="hyperlink"/>
      <w:u w:val="single"/>
    </w:rPr>
  </w:style>
  <w:style w:type="character" w:styleId="UnresolvedMention">
    <w:name w:val="Unresolved Mention"/>
    <w:basedOn w:val="DefaultParagraphFont"/>
    <w:uiPriority w:val="99"/>
    <w:semiHidden/>
    <w:unhideWhenUsed/>
    <w:rsid w:val="00A759A7"/>
    <w:rPr>
      <w:color w:val="605E5C"/>
      <w:shd w:val="clear" w:color="auto" w:fill="E1DFDD"/>
    </w:rPr>
  </w:style>
  <w:style w:type="paragraph" w:styleId="BalloonText">
    <w:name w:val="Balloon Text"/>
    <w:basedOn w:val="Normal"/>
    <w:link w:val="BalloonTextChar"/>
    <w:uiPriority w:val="99"/>
    <w:semiHidden/>
    <w:unhideWhenUsed/>
    <w:rsid w:val="00D92B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3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16827"/>
  </w:style>
  <w:style w:type="character" w:styleId="CommentReference">
    <w:name w:val="annotation reference"/>
    <w:basedOn w:val="DefaultParagraphFont"/>
    <w:uiPriority w:val="99"/>
    <w:semiHidden/>
    <w:unhideWhenUsed/>
    <w:rsid w:val="00C31C1D"/>
    <w:rPr>
      <w:sz w:val="16"/>
      <w:szCs w:val="16"/>
    </w:rPr>
  </w:style>
  <w:style w:type="paragraph" w:styleId="CommentText">
    <w:name w:val="annotation text"/>
    <w:basedOn w:val="Normal"/>
    <w:link w:val="CommentTextChar"/>
    <w:uiPriority w:val="99"/>
    <w:semiHidden/>
    <w:unhideWhenUsed/>
    <w:rsid w:val="00C31C1D"/>
    <w:pPr>
      <w:spacing w:line="240" w:lineRule="auto"/>
    </w:pPr>
    <w:rPr>
      <w:sz w:val="20"/>
      <w:szCs w:val="20"/>
    </w:rPr>
  </w:style>
  <w:style w:type="character" w:customStyle="1" w:styleId="CommentTextChar">
    <w:name w:val="Comment Text Char"/>
    <w:basedOn w:val="DefaultParagraphFont"/>
    <w:link w:val="CommentText"/>
    <w:uiPriority w:val="99"/>
    <w:semiHidden/>
    <w:rsid w:val="00C31C1D"/>
    <w:rPr>
      <w:sz w:val="20"/>
      <w:szCs w:val="20"/>
    </w:rPr>
  </w:style>
  <w:style w:type="paragraph" w:styleId="CommentSubject">
    <w:name w:val="annotation subject"/>
    <w:basedOn w:val="CommentText"/>
    <w:next w:val="CommentText"/>
    <w:link w:val="CommentSubjectChar"/>
    <w:uiPriority w:val="99"/>
    <w:semiHidden/>
    <w:unhideWhenUsed/>
    <w:rsid w:val="00C31C1D"/>
    <w:rPr>
      <w:b/>
      <w:bCs/>
    </w:rPr>
  </w:style>
  <w:style w:type="character" w:customStyle="1" w:styleId="CommentSubjectChar">
    <w:name w:val="Comment Subject Char"/>
    <w:basedOn w:val="CommentTextChar"/>
    <w:link w:val="CommentSubject"/>
    <w:uiPriority w:val="99"/>
    <w:semiHidden/>
    <w:rsid w:val="00C31C1D"/>
    <w:rPr>
      <w:b/>
      <w:bCs/>
      <w:sz w:val="20"/>
      <w:szCs w:val="20"/>
    </w:rPr>
  </w:style>
  <w:style w:type="paragraph" w:styleId="EndnoteText">
    <w:name w:val="endnote text"/>
    <w:basedOn w:val="Normal"/>
    <w:link w:val="EndnoteTextChar"/>
    <w:uiPriority w:val="99"/>
    <w:semiHidden/>
    <w:unhideWhenUsed/>
    <w:rsid w:val="00F81A78"/>
    <w:pPr>
      <w:spacing w:line="240" w:lineRule="auto"/>
    </w:pPr>
    <w:rPr>
      <w:sz w:val="20"/>
      <w:szCs w:val="20"/>
    </w:rPr>
  </w:style>
  <w:style w:type="character" w:customStyle="1" w:styleId="EndnoteTextChar">
    <w:name w:val="Endnote Text Char"/>
    <w:basedOn w:val="DefaultParagraphFont"/>
    <w:link w:val="EndnoteText"/>
    <w:uiPriority w:val="99"/>
    <w:semiHidden/>
    <w:rsid w:val="00F81A78"/>
    <w:rPr>
      <w:sz w:val="20"/>
      <w:szCs w:val="20"/>
    </w:rPr>
  </w:style>
  <w:style w:type="character" w:styleId="EndnoteReference">
    <w:name w:val="endnote reference"/>
    <w:basedOn w:val="DefaultParagraphFont"/>
    <w:uiPriority w:val="99"/>
    <w:semiHidden/>
    <w:unhideWhenUsed/>
    <w:rsid w:val="00F8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campbell@fema.dhs.gov" TargetMode="External"/><Relationship Id="rId5" Type="http://schemas.openxmlformats.org/officeDocument/2006/relationships/webSettings" Target="webSettings.xml"/><Relationship Id="rId10" Type="http://schemas.openxmlformats.org/officeDocument/2006/relationships/hyperlink" Target="mailto:Michael.Gumpert@fema.dhs.gov"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4295-0A26-41B3-93AA-C13FB409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Gumpert, Michael</dc:creator>
  <cp:keywords/>
  <dc:description/>
  <cp:lastModifiedBy>Gumpert, Michael</cp:lastModifiedBy>
  <cp:revision>5</cp:revision>
  <cp:lastPrinted>2019-09-16T17:27:00Z</cp:lastPrinted>
  <dcterms:created xsi:type="dcterms:W3CDTF">2019-09-19T16:23:00Z</dcterms:created>
  <dcterms:modified xsi:type="dcterms:W3CDTF">2019-10-04T14:02:00Z</dcterms:modified>
</cp:coreProperties>
</file>