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96" w:rsidRDefault="004D404D" w:rsidP="007C1796">
      <w:pPr>
        <w:pStyle w:val="Header"/>
        <w:rPr>
          <w:rFonts w:ascii="Arial" w:hAnsi="Arial" w:cs="Arial"/>
          <w:noProof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2578735" cy="1130300"/>
            <wp:effectExtent l="0" t="0" r="0" b="0"/>
            <wp:wrapSquare wrapText="bothSides"/>
            <wp:docPr id="4" name="Picture 4" descr="ACCA_Primary Logo_RGB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A_Primary Logo_RGB_P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BCC">
        <w:rPr>
          <w:rFonts w:ascii="NewsGoth BT" w:hAnsi="NewsGoth BT"/>
          <w:sz w:val="36"/>
          <w:szCs w:val="36"/>
        </w:rPr>
        <w:t xml:space="preserve">     </w:t>
      </w:r>
    </w:p>
    <w:p w:rsidR="007C1796" w:rsidRDefault="007C1796" w:rsidP="007C1796">
      <w:pPr>
        <w:pStyle w:val="Header"/>
        <w:rPr>
          <w:rFonts w:ascii="Arial" w:hAnsi="Arial" w:cs="Arial"/>
          <w:noProof/>
          <w:color w:val="000000"/>
          <w:sz w:val="20"/>
          <w:szCs w:val="20"/>
          <w:lang w:eastAsia="en-GB"/>
        </w:rPr>
      </w:pPr>
    </w:p>
    <w:p w:rsidR="007C1796" w:rsidRPr="007C1796" w:rsidRDefault="007C1796" w:rsidP="007C1796">
      <w:pPr>
        <w:pStyle w:val="Header"/>
        <w:tabs>
          <w:tab w:val="clear" w:pos="8306"/>
          <w:tab w:val="left" w:pos="0"/>
          <w:tab w:val="left" w:pos="1320"/>
          <w:tab w:val="left" w:pos="4153"/>
        </w:tabs>
        <w:rPr>
          <w:rFonts w:ascii="Arial" w:hAnsi="Arial" w:cs="Arial"/>
          <w:noProof/>
          <w:color w:val="000000"/>
          <w:sz w:val="28"/>
          <w:szCs w:val="28"/>
          <w:lang w:eastAsia="en-GB"/>
        </w:rPr>
      </w:pPr>
      <w:r w:rsidRPr="007A2402">
        <w:rPr>
          <w:rFonts w:ascii="Arial" w:hAnsi="Arial" w:cs="Arial"/>
          <w:noProof/>
          <w:color w:val="000000"/>
          <w:sz w:val="28"/>
          <w:szCs w:val="28"/>
          <w:lang w:eastAsia="en-GB"/>
        </w:rPr>
        <w:t>Guide from</w:t>
      </w:r>
    </w:p>
    <w:p w:rsidR="00A630D4" w:rsidRPr="00A630D4" w:rsidRDefault="00A630D4" w:rsidP="00A630D4">
      <w:pPr>
        <w:pStyle w:val="Header"/>
        <w:shd w:val="clear" w:color="auto" w:fill="D9D9D9"/>
        <w:tabs>
          <w:tab w:val="left" w:pos="284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Cs/>
          <w:sz w:val="44"/>
          <w:szCs w:val="44"/>
        </w:rPr>
        <w:tab/>
      </w:r>
      <w:r w:rsidRPr="00A630D4">
        <w:rPr>
          <w:rFonts w:ascii="Arial" w:hAnsi="Arial" w:cs="Arial"/>
          <w:bCs/>
          <w:sz w:val="44"/>
          <w:szCs w:val="44"/>
        </w:rPr>
        <w:t>PGD Accountants</w:t>
      </w:r>
    </w:p>
    <w:p w:rsidR="00A630D4" w:rsidRPr="00A630D4" w:rsidRDefault="00A630D4" w:rsidP="00A630D4">
      <w:pPr>
        <w:pStyle w:val="Header"/>
        <w:shd w:val="clear" w:color="auto" w:fill="D9D9D9"/>
        <w:tabs>
          <w:tab w:val="left" w:pos="915"/>
        </w:tabs>
        <w:rPr>
          <w:rFonts w:ascii="Arial" w:hAnsi="Arial" w:cs="Arial"/>
          <w:b/>
          <w:bCs/>
        </w:rPr>
      </w:pPr>
      <w:r w:rsidRPr="00A630D4">
        <w:rPr>
          <w:rFonts w:ascii="Arial" w:hAnsi="Arial" w:cs="Arial"/>
          <w:b/>
          <w:bCs/>
        </w:rPr>
        <w:tab/>
      </w:r>
    </w:p>
    <w:p w:rsidR="00A630D4" w:rsidRDefault="00A630D4" w:rsidP="00A630D4">
      <w:pPr>
        <w:pStyle w:val="Header"/>
        <w:shd w:val="clear" w:color="auto" w:fill="D9D9D9"/>
        <w:tabs>
          <w:tab w:val="left" w:pos="284"/>
        </w:tabs>
        <w:rPr>
          <w:rFonts w:ascii="Arial" w:hAnsi="Arial" w:cs="Arial"/>
          <w:bCs/>
          <w:sz w:val="20"/>
          <w:szCs w:val="20"/>
        </w:rPr>
      </w:pPr>
      <w:r w:rsidRPr="00A630D4">
        <w:rPr>
          <w:rFonts w:ascii="Arial" w:hAnsi="Arial" w:cs="Arial"/>
          <w:bCs/>
          <w:sz w:val="20"/>
          <w:szCs w:val="20"/>
        </w:rPr>
        <w:tab/>
        <w:t xml:space="preserve">Tel: 01271 </w:t>
      </w:r>
      <w:proofErr w:type="gramStart"/>
      <w:r w:rsidRPr="00A630D4">
        <w:rPr>
          <w:rFonts w:ascii="Arial" w:hAnsi="Arial" w:cs="Arial"/>
          <w:bCs/>
          <w:sz w:val="20"/>
          <w:szCs w:val="20"/>
        </w:rPr>
        <w:t>268082  Email:pgdaccountants@talktalkbusiness.net</w:t>
      </w:r>
      <w:proofErr w:type="gramEnd"/>
      <w:r w:rsidRPr="00A630D4">
        <w:rPr>
          <w:rFonts w:ascii="Arial" w:hAnsi="Arial" w:cs="Arial"/>
          <w:bCs/>
          <w:sz w:val="20"/>
          <w:szCs w:val="20"/>
        </w:rPr>
        <w:t xml:space="preserve">  www.pgdaccountants.com</w:t>
      </w:r>
    </w:p>
    <w:p w:rsidR="00F435AF" w:rsidRPr="00F435AF" w:rsidRDefault="00340BCC" w:rsidP="006319B2">
      <w:pPr>
        <w:rPr>
          <w:rFonts w:ascii="NewsGoth BT" w:hAnsi="NewsGoth BT"/>
        </w:rPr>
      </w:pPr>
      <w:r w:rsidRPr="00F435AF">
        <w:rPr>
          <w:rFonts w:ascii="NewsGoth BT" w:hAnsi="NewsGoth BT"/>
        </w:rPr>
        <w:t xml:space="preserve">                 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9"/>
        <w:gridCol w:w="666"/>
        <w:gridCol w:w="1318"/>
        <w:gridCol w:w="389"/>
        <w:gridCol w:w="1454"/>
      </w:tblGrid>
      <w:tr w:rsidR="00F435AF" w:rsidRPr="00F435AF" w:rsidTr="00D84AFC">
        <w:trPr>
          <w:trHeight w:val="255"/>
        </w:trPr>
        <w:tc>
          <w:tcPr>
            <w:tcW w:w="5969" w:type="dxa"/>
            <w:shd w:val="clear" w:color="auto" w:fill="D9D9D9"/>
            <w:noWrap/>
            <w:vAlign w:val="bottom"/>
          </w:tcPr>
          <w:p w:rsidR="00F435AF" w:rsidRPr="00F435AF" w:rsidRDefault="00F435AF" w:rsidP="005B7B85">
            <w:pPr>
              <w:rPr>
                <w:rFonts w:ascii="NewsGoth BT" w:hAnsi="NewsGoth BT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D9D9D9"/>
            <w:noWrap/>
            <w:vAlign w:val="bottom"/>
          </w:tcPr>
          <w:p w:rsidR="00F435AF" w:rsidRPr="00F435AF" w:rsidRDefault="002F2C38" w:rsidP="005B7B85">
            <w:pPr>
              <w:jc w:val="center"/>
              <w:rPr>
                <w:rFonts w:ascii="NewsGoth BT" w:hAnsi="NewsGoth BT"/>
                <w:b/>
                <w:bCs/>
                <w:lang w:eastAsia="en-GB"/>
              </w:rPr>
            </w:pPr>
            <w:r>
              <w:rPr>
                <w:rFonts w:ascii="NewsGoth BT" w:hAnsi="NewsGoth BT"/>
                <w:b/>
                <w:bCs/>
                <w:lang w:eastAsia="en-GB"/>
              </w:rPr>
              <w:t>2015/16</w:t>
            </w:r>
          </w:p>
        </w:tc>
        <w:tc>
          <w:tcPr>
            <w:tcW w:w="1843" w:type="dxa"/>
            <w:gridSpan w:val="2"/>
            <w:shd w:val="clear" w:color="auto" w:fill="D9D9D9"/>
            <w:noWrap/>
            <w:vAlign w:val="bottom"/>
          </w:tcPr>
          <w:p w:rsidR="00F435AF" w:rsidRPr="00F435AF" w:rsidRDefault="00C0204A" w:rsidP="005B7B85">
            <w:pPr>
              <w:jc w:val="center"/>
              <w:rPr>
                <w:rFonts w:ascii="NewsGoth BT" w:hAnsi="NewsGoth BT"/>
                <w:b/>
                <w:bCs/>
                <w:lang w:eastAsia="en-GB"/>
              </w:rPr>
            </w:pPr>
            <w:r>
              <w:rPr>
                <w:rFonts w:ascii="NewsGoth BT" w:hAnsi="NewsGoth BT"/>
                <w:b/>
                <w:bCs/>
                <w:lang w:eastAsia="en-GB"/>
              </w:rPr>
              <w:t>2016/17</w:t>
            </w:r>
          </w:p>
        </w:tc>
      </w:tr>
      <w:tr w:rsidR="00F435AF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F435AF" w:rsidRPr="00F435AF" w:rsidRDefault="00F435AF" w:rsidP="005B7B85">
            <w:pPr>
              <w:rPr>
                <w:rFonts w:ascii="NewsGoth BT" w:hAnsi="NewsGoth BT"/>
                <w:lang w:eastAsia="en-GB"/>
              </w:rPr>
            </w:pPr>
          </w:p>
        </w:tc>
        <w:tc>
          <w:tcPr>
            <w:tcW w:w="1984" w:type="dxa"/>
            <w:gridSpan w:val="2"/>
            <w:noWrap/>
            <w:vAlign w:val="bottom"/>
          </w:tcPr>
          <w:p w:rsidR="00F435AF" w:rsidRPr="00F435AF" w:rsidRDefault="00F435AF" w:rsidP="005B7B85">
            <w:pPr>
              <w:jc w:val="center"/>
              <w:rPr>
                <w:rFonts w:ascii="NewsGoth BT" w:hAnsi="NewsGoth BT"/>
                <w:b/>
                <w:bCs/>
                <w:lang w:eastAsia="en-GB"/>
              </w:rPr>
            </w:pPr>
            <w:r w:rsidRPr="00F435AF">
              <w:rPr>
                <w:rFonts w:ascii="NewsGoth BT" w:hAnsi="NewsGoth BT"/>
                <w:b/>
                <w:bCs/>
                <w:lang w:eastAsia="en-GB"/>
              </w:rPr>
              <w:t>£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F435AF" w:rsidRPr="00F435AF" w:rsidRDefault="00F435AF" w:rsidP="005B7B85">
            <w:pPr>
              <w:jc w:val="center"/>
              <w:rPr>
                <w:rFonts w:ascii="NewsGoth BT" w:hAnsi="NewsGoth BT"/>
                <w:b/>
                <w:bCs/>
                <w:lang w:eastAsia="en-GB"/>
              </w:rPr>
            </w:pPr>
            <w:r w:rsidRPr="00F435AF">
              <w:rPr>
                <w:rFonts w:ascii="NewsGoth BT" w:hAnsi="NewsGoth BT"/>
                <w:b/>
                <w:bCs/>
                <w:lang w:eastAsia="en-GB"/>
              </w:rPr>
              <w:t>£</w:t>
            </w:r>
          </w:p>
        </w:tc>
      </w:tr>
      <w:tr w:rsidR="00F435AF" w:rsidRPr="00F435AF" w:rsidTr="00D84AFC">
        <w:trPr>
          <w:trHeight w:val="255"/>
        </w:trPr>
        <w:tc>
          <w:tcPr>
            <w:tcW w:w="9796" w:type="dxa"/>
            <w:gridSpan w:val="5"/>
            <w:shd w:val="clear" w:color="auto" w:fill="D9D9D9"/>
            <w:noWrap/>
            <w:vAlign w:val="bottom"/>
          </w:tcPr>
          <w:p w:rsidR="00F435AF" w:rsidRPr="0071035C" w:rsidRDefault="00F435AF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Income tax rates - (non-dividend income)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10% lower rate tax - savings rate only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1761E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1761E4">
              <w:rPr>
                <w:rFonts w:ascii="NewsGoth BT" w:hAnsi="NewsGoth BT" w:cs="Calibri"/>
                <w:sz w:val="20"/>
                <w:szCs w:val="20"/>
              </w:rPr>
              <w:t>Up to 5,000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1761E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1761E4">
              <w:rPr>
                <w:rFonts w:ascii="NewsGoth BT" w:hAnsi="NewsGoth BT" w:cs="Calibri"/>
                <w:sz w:val="20"/>
                <w:szCs w:val="20"/>
              </w:rPr>
              <w:t>Up to 5,000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20% basic rate tax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Up to 31,785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C0204A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C0204A">
              <w:rPr>
                <w:rFonts w:ascii="NewsGoth BT" w:hAnsi="NewsGoth BT" w:cs="Calibri"/>
                <w:sz w:val="20"/>
                <w:szCs w:val="20"/>
              </w:rPr>
              <w:t xml:space="preserve">Up to </w:t>
            </w:r>
            <w:r>
              <w:rPr>
                <w:rFonts w:ascii="NewsGoth BT" w:hAnsi="NewsGoth BT" w:cs="Calibri"/>
                <w:sz w:val="20"/>
                <w:szCs w:val="20"/>
              </w:rPr>
              <w:t>32,000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40% highe</w:t>
            </w:r>
            <w:bookmarkStart w:id="0" w:name="_GoBack"/>
            <w:bookmarkEnd w:id="0"/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r rate tax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31,786</w:t>
            </w:r>
            <w:r w:rsidRPr="0071035C">
              <w:rPr>
                <w:rFonts w:ascii="NewsGoth BT" w:hAnsi="NewsGoth BT" w:cs="Calibri"/>
                <w:sz w:val="20"/>
                <w:szCs w:val="20"/>
              </w:rPr>
              <w:t xml:space="preserve"> - 150,000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C0204A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 xml:space="preserve">32,001 to </w:t>
            </w:r>
            <w:r w:rsidRPr="00C0204A">
              <w:rPr>
                <w:rFonts w:ascii="NewsGoth BT" w:hAnsi="NewsGoth BT" w:cs="Calibri"/>
                <w:sz w:val="20"/>
                <w:szCs w:val="20"/>
              </w:rPr>
              <w:t>150,000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45% additional rate tax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Above £150,000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C0204A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C0204A">
              <w:rPr>
                <w:rFonts w:ascii="NewsGoth BT" w:hAnsi="NewsGoth BT" w:cs="Calibri"/>
                <w:sz w:val="20"/>
                <w:szCs w:val="20"/>
              </w:rPr>
              <w:t>Above £150,000</w:t>
            </w:r>
          </w:p>
        </w:tc>
      </w:tr>
      <w:tr w:rsidR="002F2C38" w:rsidRPr="00F435AF" w:rsidTr="00D84AFC">
        <w:trPr>
          <w:trHeight w:val="255"/>
        </w:trPr>
        <w:tc>
          <w:tcPr>
            <w:tcW w:w="9796" w:type="dxa"/>
            <w:gridSpan w:val="5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i/>
                <w:iCs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i/>
                <w:iCs/>
                <w:sz w:val="20"/>
                <w:szCs w:val="20"/>
                <w:lang w:eastAsia="en-GB"/>
              </w:rPr>
              <w:t>From 2008-09 10% starting rate applies to savings income only and will not apply if non-savings income exceeds threshold.</w:t>
            </w:r>
          </w:p>
        </w:tc>
      </w:tr>
      <w:tr w:rsidR="002F2C38" w:rsidRPr="00F435AF" w:rsidTr="00D84AFC">
        <w:trPr>
          <w:trHeight w:val="255"/>
        </w:trPr>
        <w:tc>
          <w:tcPr>
            <w:tcW w:w="9796" w:type="dxa"/>
            <w:gridSpan w:val="5"/>
            <w:shd w:val="clear" w:color="auto" w:fill="D9D9D9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Income tax rates - (dividend income)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10% rate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Up to 31,785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6E532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32.5% higher dividend rate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31,786</w:t>
            </w:r>
            <w:r w:rsidRPr="0071035C">
              <w:rPr>
                <w:rFonts w:ascii="NewsGoth BT" w:hAnsi="NewsGoth BT" w:cs="Calibri"/>
                <w:sz w:val="20"/>
                <w:szCs w:val="20"/>
              </w:rPr>
              <w:t xml:space="preserve"> - 150,000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6E532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2F2C38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37.5% additional dividend rate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Above £150,000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2F2C38" w:rsidRPr="0071035C" w:rsidRDefault="006E532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C0204A" w:rsidRPr="00F435AF" w:rsidTr="00D84AFC">
        <w:trPr>
          <w:trHeight w:val="255"/>
        </w:trPr>
        <w:tc>
          <w:tcPr>
            <w:tcW w:w="9796" w:type="dxa"/>
            <w:gridSpan w:val="5"/>
            <w:shd w:val="clear" w:color="auto" w:fill="D9D9D9"/>
            <w:noWrap/>
            <w:vAlign w:val="bottom"/>
          </w:tcPr>
          <w:p w:rsidR="00C0204A" w:rsidRPr="0071035C" w:rsidRDefault="00C0204A" w:rsidP="005B7B85">
            <w:pPr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Income tax rates – (dividend income new rules from 5/4/2016)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shd w:val="clear" w:color="auto" w:fill="auto"/>
            <w:noWrap/>
            <w:vAlign w:val="bottom"/>
          </w:tcPr>
          <w:p w:rsidR="00D31604" w:rsidRDefault="00E10B77" w:rsidP="005B7B85">
            <w:pPr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U</w:t>
            </w:r>
            <w:r w:rsidRPr="00E10B77"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p to £ 5000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D31604" w:rsidRDefault="00D31604" w:rsidP="00D31604">
            <w:pPr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31604" w:rsidRPr="006E532B" w:rsidRDefault="00D31604" w:rsidP="00E10B77">
            <w:pPr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0%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shd w:val="clear" w:color="auto" w:fill="auto"/>
            <w:noWrap/>
            <w:vAlign w:val="bottom"/>
          </w:tcPr>
          <w:p w:rsidR="00D31604" w:rsidRDefault="00E10B77" w:rsidP="005B7B85">
            <w:pPr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 w:rsidRPr="00E10B77"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£ 5000  - £ 32,000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D31604" w:rsidRDefault="00D31604" w:rsidP="00D31604">
            <w:pPr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31604" w:rsidRDefault="00D31604" w:rsidP="00E10B77">
            <w:pPr>
              <w:tabs>
                <w:tab w:val="left" w:pos="5861"/>
              </w:tabs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7.5%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shd w:val="clear" w:color="auto" w:fill="auto"/>
            <w:noWrap/>
            <w:vAlign w:val="bottom"/>
          </w:tcPr>
          <w:p w:rsidR="00D31604" w:rsidRDefault="00E10B77" w:rsidP="005B7B85">
            <w:pPr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£</w:t>
            </w:r>
            <w:r w:rsidRPr="00E10B77">
              <w:rPr>
                <w:rFonts w:ascii="NewsGoth BT" w:hAnsi="NewsGoth BT"/>
                <w:bCs/>
                <w:sz w:val="20"/>
                <w:szCs w:val="20"/>
                <w:lang w:eastAsia="en-GB"/>
              </w:rPr>
              <w:t xml:space="preserve">32,001 – </w:t>
            </w: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£</w:t>
            </w:r>
            <w:r w:rsidRPr="00E10B77"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150,000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D31604" w:rsidRDefault="00D31604" w:rsidP="00D31604">
            <w:pPr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31604" w:rsidRDefault="00D31604" w:rsidP="00E10B77">
            <w:pPr>
              <w:tabs>
                <w:tab w:val="left" w:pos="5861"/>
              </w:tabs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32.5%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shd w:val="clear" w:color="auto" w:fill="auto"/>
            <w:noWrap/>
            <w:vAlign w:val="bottom"/>
          </w:tcPr>
          <w:p w:rsidR="00D31604" w:rsidRDefault="00E10B77" w:rsidP="005B7B85">
            <w:pPr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A</w:t>
            </w:r>
            <w:r w:rsidRPr="00E10B77"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bove £ 150,000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D31604" w:rsidRDefault="00D31604" w:rsidP="00D31604">
            <w:pPr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31604" w:rsidRPr="006E532B" w:rsidRDefault="00D31604" w:rsidP="00E10B77">
            <w:pPr>
              <w:tabs>
                <w:tab w:val="left" w:pos="5861"/>
              </w:tabs>
              <w:jc w:val="center"/>
              <w:rPr>
                <w:rFonts w:ascii="NewsGoth BT" w:hAnsi="NewsGoth BT"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bCs/>
                <w:sz w:val="20"/>
                <w:szCs w:val="20"/>
                <w:lang w:eastAsia="en-GB"/>
              </w:rPr>
              <w:t>38.1%</w:t>
            </w:r>
          </w:p>
        </w:tc>
      </w:tr>
      <w:tr w:rsidR="00D31604" w:rsidRPr="00F435AF" w:rsidTr="00D84AFC">
        <w:trPr>
          <w:trHeight w:val="255"/>
        </w:trPr>
        <w:tc>
          <w:tcPr>
            <w:tcW w:w="9796" w:type="dxa"/>
            <w:gridSpan w:val="5"/>
            <w:shd w:val="clear" w:color="auto" w:fill="auto"/>
            <w:noWrap/>
            <w:vAlign w:val="bottom"/>
          </w:tcPr>
          <w:p w:rsidR="00D31604" w:rsidRPr="006E532B" w:rsidRDefault="00D31604" w:rsidP="005B7B85">
            <w:pPr>
              <w:rPr>
                <w:rFonts w:ascii="NewsGoth BT" w:hAnsi="NewsGoth BT"/>
                <w:b/>
                <w:bCs/>
                <w:i/>
                <w:sz w:val="20"/>
                <w:szCs w:val="20"/>
                <w:lang w:eastAsia="en-GB"/>
              </w:rPr>
            </w:pPr>
            <w:r w:rsidRPr="006E532B">
              <w:rPr>
                <w:rFonts w:ascii="NewsGoth BT" w:hAnsi="NewsGoth BT" w:cs="Arial"/>
                <w:i/>
                <w:sz w:val="20"/>
                <w:szCs w:val="20"/>
                <w:shd w:val="clear" w:color="auto" w:fill="FFFFFF"/>
              </w:rPr>
              <w:t>From April 2016, notional </w:t>
            </w:r>
            <w:r w:rsidRPr="006E532B">
              <w:rPr>
                <w:rFonts w:ascii="NewsGoth BT" w:hAnsi="NewsGoth BT" w:cs="Arial"/>
                <w:bCs/>
                <w:i/>
                <w:sz w:val="20"/>
                <w:szCs w:val="20"/>
                <w:shd w:val="clear" w:color="auto" w:fill="FFFFFF"/>
              </w:rPr>
              <w:t>10%</w:t>
            </w:r>
            <w:r w:rsidRPr="006E532B">
              <w:rPr>
                <w:rFonts w:ascii="NewsGoth BT" w:hAnsi="NewsGoth BT" w:cs="Arial"/>
                <w:i/>
                <w:sz w:val="20"/>
                <w:szCs w:val="20"/>
                <w:shd w:val="clear" w:color="auto" w:fill="FFFFFF"/>
              </w:rPr>
              <w:t> tax credit on dividends will be abolished</w:t>
            </w:r>
          </w:p>
        </w:tc>
      </w:tr>
      <w:tr w:rsidR="00D34860" w:rsidRPr="0071035C" w:rsidTr="00D84AFC">
        <w:trPr>
          <w:trHeight w:val="255"/>
        </w:trPr>
        <w:tc>
          <w:tcPr>
            <w:tcW w:w="9796" w:type="dxa"/>
            <w:gridSpan w:val="5"/>
            <w:shd w:val="clear" w:color="auto" w:fill="D9D9D9"/>
            <w:noWrap/>
            <w:vAlign w:val="bottom"/>
          </w:tcPr>
          <w:p w:rsidR="00D34860" w:rsidRPr="0071035C" w:rsidRDefault="00D34860" w:rsidP="00D34860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Child benefit/Guardian's allowance rates</w:t>
            </w:r>
          </w:p>
        </w:tc>
      </w:tr>
      <w:tr w:rsidR="00D34860" w:rsidRPr="0071035C" w:rsidTr="00D84AFC">
        <w:trPr>
          <w:trHeight w:val="255"/>
        </w:trPr>
        <w:tc>
          <w:tcPr>
            <w:tcW w:w="6635" w:type="dxa"/>
            <w:gridSpan w:val="2"/>
            <w:noWrap/>
            <w:vAlign w:val="bottom"/>
          </w:tcPr>
          <w:p w:rsidR="00D34860" w:rsidRPr="0071035C" w:rsidRDefault="00D34860" w:rsidP="00D34860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Higher rate (eldest child only) (per week)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20.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54" w:type="dxa"/>
            <w:noWrap/>
            <w:vAlign w:val="bottom"/>
          </w:tcPr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20.70</w:t>
            </w:r>
          </w:p>
        </w:tc>
      </w:tr>
      <w:tr w:rsidR="00D34860" w:rsidRPr="0071035C" w:rsidTr="00D84AFC">
        <w:trPr>
          <w:trHeight w:val="255"/>
        </w:trPr>
        <w:tc>
          <w:tcPr>
            <w:tcW w:w="6635" w:type="dxa"/>
            <w:gridSpan w:val="2"/>
            <w:noWrap/>
            <w:vAlign w:val="bottom"/>
          </w:tcPr>
          <w:p w:rsidR="00D34860" w:rsidRPr="0071035C" w:rsidRDefault="00D34860" w:rsidP="00D34860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Other children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13.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54" w:type="dxa"/>
            <w:noWrap/>
            <w:vAlign w:val="bottom"/>
          </w:tcPr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13.70</w:t>
            </w:r>
          </w:p>
        </w:tc>
      </w:tr>
      <w:tr w:rsidR="00D34860" w:rsidRPr="0071035C" w:rsidTr="00D84AFC">
        <w:trPr>
          <w:trHeight w:val="255"/>
        </w:trPr>
        <w:tc>
          <w:tcPr>
            <w:tcW w:w="6635" w:type="dxa"/>
            <w:gridSpan w:val="2"/>
            <w:noWrap/>
            <w:vAlign w:val="bottom"/>
          </w:tcPr>
          <w:p w:rsidR="00D34860" w:rsidRPr="0071035C" w:rsidRDefault="00D34860" w:rsidP="00D34860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Guardian's allowance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1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>6.55</w:t>
            </w:r>
          </w:p>
        </w:tc>
        <w:tc>
          <w:tcPr>
            <w:tcW w:w="1454" w:type="dxa"/>
            <w:noWrap/>
            <w:vAlign w:val="bottom"/>
          </w:tcPr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16.55</w:t>
            </w:r>
          </w:p>
        </w:tc>
      </w:tr>
      <w:tr w:rsidR="00D34860" w:rsidRPr="0071035C" w:rsidTr="00D84AFC">
        <w:trPr>
          <w:trHeight w:val="255"/>
        </w:trPr>
        <w:tc>
          <w:tcPr>
            <w:tcW w:w="9796" w:type="dxa"/>
            <w:gridSpan w:val="5"/>
            <w:noWrap/>
            <w:vAlign w:val="bottom"/>
          </w:tcPr>
          <w:tbl>
            <w:tblPr>
              <w:tblW w:w="9546" w:type="dxa"/>
              <w:tblLook w:val="04A0" w:firstRow="1" w:lastRow="0" w:firstColumn="1" w:lastColumn="0" w:noHBand="0" w:noVBand="1"/>
            </w:tblPr>
            <w:tblGrid>
              <w:gridCol w:w="9546"/>
            </w:tblGrid>
            <w:tr w:rsidR="00D34860" w:rsidRPr="0071035C" w:rsidTr="00D34860">
              <w:trPr>
                <w:trHeight w:val="995"/>
              </w:trPr>
              <w:tc>
                <w:tcPr>
                  <w:tcW w:w="954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860" w:rsidRPr="0071035C" w:rsidRDefault="00D34860" w:rsidP="00D34860">
                  <w:pPr>
                    <w:jc w:val="both"/>
                    <w:rPr>
                      <w:rFonts w:ascii="NewsGoth BT" w:hAnsi="NewsGoth BT" w:cs="Calibri"/>
                      <w:i/>
                      <w:iCs/>
                      <w:sz w:val="20"/>
                      <w:szCs w:val="20"/>
                    </w:rPr>
                  </w:pPr>
                  <w:r w:rsidRPr="0071035C">
                    <w:rPr>
                      <w:rFonts w:ascii="NewsGoth BT" w:hAnsi="NewsGoth BT" w:cs="Calibri"/>
                      <w:i/>
                      <w:iCs/>
                      <w:sz w:val="20"/>
                      <w:szCs w:val="20"/>
                    </w:rPr>
                    <w:t>An income tax charge will apply to taxpayers with income exceeding £50,000 in a tax year, when child benefit is also received by them or their partner. The charge will reduce the financial benefit of receiving child benefit for those with income between £50,000 and £60,000 and remove it completely for taxpayers with income above £60,000.</w:t>
                  </w:r>
                </w:p>
              </w:tc>
            </w:tr>
          </w:tbl>
          <w:p w:rsidR="00D34860" w:rsidRPr="0071035C" w:rsidRDefault="00D34860" w:rsidP="00D34860">
            <w:pPr>
              <w:jc w:val="center"/>
              <w:rPr>
                <w:rFonts w:ascii="NewsGoth BT" w:hAnsi="NewsGoth BT"/>
                <w:sz w:val="20"/>
                <w:szCs w:val="20"/>
                <w:lang w:eastAsia="en-GB"/>
              </w:rPr>
            </w:pPr>
          </w:p>
        </w:tc>
      </w:tr>
      <w:tr w:rsidR="00D31604" w:rsidRPr="00F435AF" w:rsidTr="00D84AFC">
        <w:trPr>
          <w:trHeight w:val="255"/>
        </w:trPr>
        <w:tc>
          <w:tcPr>
            <w:tcW w:w="9796" w:type="dxa"/>
            <w:gridSpan w:val="5"/>
            <w:shd w:val="clear" w:color="auto" w:fill="D9D9D9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Personal allowances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Personal allowance those born after 5 April 1948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10,600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11,000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 xml:space="preserve">Personal allowance those born between 6 April 1938 and 5 </w:t>
            </w:r>
            <w:r w:rsidRPr="0071035C">
              <w:rPr>
                <w:rFonts w:ascii="NewsGoth BT" w:hAnsi="NewsGoth BT" w:cs="Calibri"/>
                <w:sz w:val="20"/>
                <w:szCs w:val="20"/>
              </w:rPr>
              <w:lastRenderedPageBreak/>
              <w:t>April 1948</w:t>
            </w:r>
            <w:r>
              <w:rPr>
                <w:rFonts w:ascii="NewsGoth BT" w:hAnsi="NewsGoth BT" w:cs="Calibri"/>
                <w:sz w:val="20"/>
                <w:szCs w:val="20"/>
              </w:rPr>
              <w:t xml:space="preserve"> – note 2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lastRenderedPageBreak/>
              <w:t>10,6</w:t>
            </w:r>
            <w:r w:rsidRPr="0071035C">
              <w:rPr>
                <w:rFonts w:ascii="NewsGoth BT" w:hAnsi="NewsGoth BT" w:cs="Calibri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lastRenderedPageBreak/>
              <w:t>Personal allowance those born before</w:t>
            </w:r>
            <w:r>
              <w:rPr>
                <w:rFonts w:ascii="NewsGoth BT" w:hAnsi="NewsGoth BT" w:cs="Calibri"/>
                <w:sz w:val="20"/>
                <w:szCs w:val="20"/>
              </w:rPr>
              <w:t xml:space="preserve"> 6</w:t>
            </w:r>
            <w:r w:rsidRPr="0071035C">
              <w:rPr>
                <w:rFonts w:ascii="NewsGoth BT" w:hAnsi="NewsGoth BT" w:cs="Calibri"/>
                <w:sz w:val="20"/>
                <w:szCs w:val="20"/>
              </w:rPr>
              <w:t xml:space="preserve"> April 1938</w:t>
            </w:r>
            <w:r>
              <w:rPr>
                <w:rFonts w:ascii="NewsGoth BT" w:hAnsi="NewsGoth BT" w:cs="Calibri"/>
                <w:sz w:val="20"/>
                <w:szCs w:val="20"/>
              </w:rPr>
              <w:t xml:space="preserve"> – note 2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10,660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DD569B">
            <w:pPr>
              <w:ind w:right="-250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Married couple’s allowance those born before 6 April 1935</w:t>
            </w: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 xml:space="preserve"> – note 3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8,355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8,355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Married couple’s allowance – minimum amount</w:t>
            </w: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 xml:space="preserve"> – note 3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3,220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3,220</w:t>
            </w:r>
          </w:p>
        </w:tc>
      </w:tr>
      <w:tr w:rsidR="00E10B77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E10B77" w:rsidRPr="0071035C" w:rsidRDefault="00E10B77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Transferable married allowance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E10B77" w:rsidRDefault="00E10B77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1,060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E10B77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1,100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Micro entrepreneurs allowance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bottom"/>
          </w:tcPr>
          <w:p w:rsidR="00D31604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Default="00D31604" w:rsidP="005B3780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AD14CF">
              <w:rPr>
                <w:rFonts w:ascii="NewsGoth BT" w:hAnsi="NewsGoth BT" w:cs="Calibri"/>
                <w:sz w:val="20"/>
                <w:szCs w:val="20"/>
                <w:lang w:eastAsia="en-GB"/>
              </w:rPr>
              <w:t xml:space="preserve">Individuals making property or trading incomes below the level of the allowance would no longer need to declare or pay tax, while those who </w:t>
            </w: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 xml:space="preserve">exceeded the level from their online activity </w:t>
            </w:r>
            <w:r w:rsidRPr="00AD14CF">
              <w:rPr>
                <w:rFonts w:ascii="NewsGoth BT" w:hAnsi="NewsGoth BT" w:cs="Calibri"/>
                <w:sz w:val="20"/>
                <w:szCs w:val="20"/>
                <w:lang w:eastAsia="en-GB"/>
              </w:rPr>
              <w:t>can benefit by simply deducting the allowance instead of calculating their exact expenses</w:t>
            </w: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Default="00D31604" w:rsidP="005B3780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Allowance - £ 1,000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E10B77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Income limit</w:t>
            </w:r>
            <w:r w:rsidR="00E10B77">
              <w:rPr>
                <w:rFonts w:ascii="NewsGoth BT" w:hAnsi="NewsGoth BT" w:cs="Calibri"/>
                <w:sz w:val="20"/>
                <w:szCs w:val="20"/>
                <w:lang w:eastAsia="en-GB"/>
              </w:rPr>
              <w:t xml:space="preserve"> – note 2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100,000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100,000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Income limit for personal allowances (born before 6 April 1948)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27,700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8C4287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Blind person's allowance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2,</w:t>
            </w:r>
            <w:r>
              <w:rPr>
                <w:rFonts w:ascii="NewsGoth BT" w:hAnsi="NewsGoth BT" w:cs="Calibri"/>
                <w:sz w:val="20"/>
                <w:szCs w:val="20"/>
              </w:rPr>
              <w:t>290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2,290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Rent-a-room relief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4,250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7,500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Pr="0071035C" w:rsidRDefault="00D316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Transferable tax allowance for married couples and civil partners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Pr="0071035C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1,060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1,100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Default="00D316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Personal savings allowance for basic rate tax payers – note 4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DD569B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1,000</w:t>
            </w:r>
          </w:p>
        </w:tc>
      </w:tr>
      <w:tr w:rsidR="00D31604" w:rsidRPr="00F435AF" w:rsidTr="00D84AFC">
        <w:trPr>
          <w:trHeight w:val="255"/>
        </w:trPr>
        <w:tc>
          <w:tcPr>
            <w:tcW w:w="5969" w:type="dxa"/>
            <w:noWrap/>
            <w:vAlign w:val="bottom"/>
          </w:tcPr>
          <w:p w:rsidR="00D31604" w:rsidRDefault="00D31604" w:rsidP="00DD569B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Personal savings allowance for higher rate tax payers – note 4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D31604" w:rsidRDefault="00D31604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  <w:tc>
          <w:tcPr>
            <w:tcW w:w="1843" w:type="dxa"/>
            <w:gridSpan w:val="2"/>
            <w:noWrap/>
            <w:vAlign w:val="bottom"/>
          </w:tcPr>
          <w:p w:rsidR="00D31604" w:rsidRPr="0071035C" w:rsidRDefault="00D3160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500</w:t>
            </w:r>
          </w:p>
        </w:tc>
      </w:tr>
      <w:tr w:rsidR="00D31604" w:rsidRPr="00F435AF" w:rsidTr="00D84AFC">
        <w:trPr>
          <w:trHeight w:val="255"/>
        </w:trPr>
        <w:tc>
          <w:tcPr>
            <w:tcW w:w="9796" w:type="dxa"/>
            <w:gridSpan w:val="5"/>
            <w:noWrap/>
            <w:vAlign w:val="bottom"/>
          </w:tcPr>
          <w:p w:rsidR="00D31604" w:rsidRDefault="00D31604" w:rsidP="005B7B85">
            <w:pPr>
              <w:rPr>
                <w:rFonts w:ascii="NewsGoth BT" w:hAnsi="NewsGoth BT"/>
                <w:i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1  </w:t>
            </w:r>
            <w:r w:rsidRPr="0071035C">
              <w:rPr>
                <w:rFonts w:ascii="NewsGoth BT" w:hAnsi="NewsGoth BT"/>
                <w:i/>
                <w:sz w:val="20"/>
                <w:szCs w:val="20"/>
                <w:lang w:eastAsia="en-GB"/>
              </w:rPr>
              <w:t>Abatement</w:t>
            </w:r>
            <w:proofErr w:type="gramEnd"/>
            <w:r w:rsidRPr="0071035C"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 of personal allowance will apply of £1 for every £2 of taxable income in excess of income limit.</w:t>
            </w:r>
          </w:p>
          <w:p w:rsidR="00D31604" w:rsidRDefault="00D31604" w:rsidP="005B7B85">
            <w:pPr>
              <w:rPr>
                <w:rFonts w:ascii="NewsGoth BT" w:hAnsi="NewsGoth BT"/>
                <w:i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2  </w:t>
            </w:r>
            <w:r w:rsidRPr="003C6F11">
              <w:rPr>
                <w:rFonts w:ascii="NewsGoth BT" w:hAnsi="NewsGoth BT"/>
                <w:i/>
                <w:sz w:val="20"/>
                <w:szCs w:val="20"/>
                <w:lang w:eastAsia="en-GB"/>
              </w:rPr>
              <w:t>From</w:t>
            </w:r>
            <w:proofErr w:type="gramEnd"/>
            <w:r w:rsidRPr="003C6F11"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 2016-17 onwards, all individuals will be entitled to the same personal allowance, regardless of the individuals’ date of birth. This allowance is subject to the £100,000 income limit which applies regardless of the individual’s date of birth</w:t>
            </w:r>
          </w:p>
          <w:p w:rsidR="00D31604" w:rsidRDefault="00D31604" w:rsidP="00741CCD">
            <w:pPr>
              <w:rPr>
                <w:rFonts w:ascii="NewsGoth BT" w:hAnsi="NewsGoth BT"/>
                <w:i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3  </w:t>
            </w:r>
            <w:r w:rsidRPr="00741CCD">
              <w:rPr>
                <w:rFonts w:ascii="NewsGoth BT" w:hAnsi="NewsGoth BT"/>
                <w:i/>
                <w:sz w:val="20"/>
                <w:szCs w:val="20"/>
              </w:rPr>
              <w:t>This</w:t>
            </w:r>
            <w:proofErr w:type="gramEnd"/>
            <w:r w:rsidRPr="00741CCD">
              <w:rPr>
                <w:rFonts w:ascii="NewsGoth BT" w:hAnsi="NewsGoth BT"/>
                <w:i/>
                <w:sz w:val="20"/>
                <w:szCs w:val="20"/>
              </w:rPr>
              <w:t xml:space="preserve"> allowance is subject to the £27,700 income limit. The individual’s married couple’s allowance is reduced by £1 for every £2 above the limit. That reduction only applies after any reduction to the</w:t>
            </w:r>
            <w:r>
              <w:rPr>
                <w:rFonts w:ascii="NewsGoth BT" w:hAnsi="NewsGoth BT"/>
                <w:i/>
                <w:sz w:val="20"/>
                <w:szCs w:val="20"/>
              </w:rPr>
              <w:t xml:space="preserve">ir personal allowance. </w:t>
            </w:r>
            <w:r w:rsidRPr="00741CCD">
              <w:rPr>
                <w:rFonts w:ascii="NewsGoth BT" w:hAnsi="NewsGoth BT"/>
                <w:i/>
                <w:sz w:val="20"/>
                <w:szCs w:val="20"/>
                <w:lang w:eastAsia="en-GB"/>
              </w:rPr>
              <w:t>The relief for this allowance is given at 10%</w:t>
            </w:r>
          </w:p>
          <w:p w:rsidR="00D31604" w:rsidRPr="00741CCD" w:rsidRDefault="00D31604" w:rsidP="00741CCD">
            <w:pPr>
              <w:rPr>
                <w:rFonts w:ascii="NewsGoth BT" w:hAnsi="NewsGoth BT"/>
                <w:i/>
                <w:sz w:val="20"/>
                <w:szCs w:val="20"/>
              </w:rPr>
            </w:pPr>
            <w:proofErr w:type="gramStart"/>
            <w:r>
              <w:rPr>
                <w:rFonts w:ascii="NewsGoth BT" w:hAnsi="NewsGoth BT"/>
                <w:i/>
                <w:sz w:val="20"/>
                <w:szCs w:val="20"/>
                <w:lang w:eastAsia="en-GB"/>
              </w:rPr>
              <w:t>4  Basic</w:t>
            </w:r>
            <w:proofErr w:type="gramEnd"/>
            <w:r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 rate tax will no longer be deducted from personal savings interest.</w:t>
            </w:r>
          </w:p>
          <w:p w:rsidR="00D31604" w:rsidRPr="0071035C" w:rsidRDefault="00D31604" w:rsidP="005B7B85">
            <w:pPr>
              <w:rPr>
                <w:rFonts w:ascii="NewsGoth BT" w:hAnsi="NewsGoth BT"/>
                <w:i/>
                <w:sz w:val="20"/>
                <w:szCs w:val="20"/>
                <w:lang w:eastAsia="en-GB"/>
              </w:rPr>
            </w:pPr>
          </w:p>
        </w:tc>
      </w:tr>
    </w:tbl>
    <w:p w:rsidR="0007006F" w:rsidRPr="00D31604" w:rsidRDefault="0007006F" w:rsidP="00D31604">
      <w:pPr>
        <w:rPr>
          <w:rFonts w:ascii="NewsGoth BT" w:hAnsi="NewsGoth BT"/>
        </w:rPr>
      </w:pPr>
    </w:p>
    <w:tbl>
      <w:tblPr>
        <w:tblW w:w="97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964"/>
        <w:gridCol w:w="2173"/>
        <w:gridCol w:w="209"/>
        <w:gridCol w:w="302"/>
        <w:gridCol w:w="218"/>
        <w:gridCol w:w="170"/>
        <w:gridCol w:w="1070"/>
        <w:gridCol w:w="397"/>
        <w:gridCol w:w="339"/>
        <w:gridCol w:w="239"/>
        <w:gridCol w:w="194"/>
        <w:gridCol w:w="1173"/>
        <w:gridCol w:w="26"/>
      </w:tblGrid>
      <w:tr w:rsidR="00F435AF" w:rsidRPr="0071035C" w:rsidTr="00E10B77">
        <w:trPr>
          <w:gridAfter w:val="1"/>
          <w:wAfter w:w="28" w:type="dxa"/>
          <w:trHeight w:val="255"/>
        </w:trPr>
        <w:tc>
          <w:tcPr>
            <w:tcW w:w="9734" w:type="dxa"/>
            <w:gridSpan w:val="13"/>
            <w:shd w:val="clear" w:color="auto" w:fill="D9D9D9"/>
            <w:noWrap/>
            <w:vAlign w:val="bottom"/>
          </w:tcPr>
          <w:p w:rsidR="00F435AF" w:rsidRPr="0071035C" w:rsidRDefault="00F435AF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National insurance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Lower earnings limit, primary Class 1 (per week)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112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D569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112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Upper earnings limit, primary Class 1 (per week)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815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9375D9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827</w:t>
            </w:r>
          </w:p>
        </w:tc>
      </w:tr>
      <w:tr w:rsidR="009375D9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9375D9" w:rsidRPr="009375D9" w:rsidRDefault="009375D9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Arial"/>
                <w:color w:val="0B0C0C"/>
                <w:sz w:val="20"/>
                <w:szCs w:val="20"/>
                <w:shd w:val="clear" w:color="auto" w:fill="FFFFFF"/>
              </w:rPr>
              <w:t>Apprentice upper  secondary t</w:t>
            </w:r>
            <w:r w:rsidRPr="009375D9">
              <w:rPr>
                <w:rFonts w:ascii="NewsGoth BT" w:hAnsi="NewsGoth BT" w:cs="Arial"/>
                <w:color w:val="0B0C0C"/>
                <w:sz w:val="20"/>
                <w:szCs w:val="20"/>
                <w:shd w:val="clear" w:color="auto" w:fill="FFFFFF"/>
              </w:rPr>
              <w:t xml:space="preserve">hreshold (AUST) for </w:t>
            </w:r>
            <w:r w:rsidRPr="009375D9">
              <w:rPr>
                <w:rFonts w:ascii="NewsGoth BT" w:hAnsi="NewsGoth BT" w:cs="Arial"/>
                <w:color w:val="0B0C0C"/>
                <w:sz w:val="20"/>
                <w:szCs w:val="20"/>
                <w:shd w:val="clear" w:color="auto" w:fill="FFFFFF"/>
              </w:rPr>
              <w:lastRenderedPageBreak/>
              <w:t>under</w:t>
            </w:r>
            <w:r w:rsidR="00E10B77">
              <w:rPr>
                <w:rFonts w:ascii="NewsGoth BT" w:hAnsi="NewsGoth BT" w:cs="Arial"/>
                <w:color w:val="0B0C0C"/>
                <w:sz w:val="20"/>
                <w:szCs w:val="20"/>
                <w:shd w:val="clear" w:color="auto" w:fill="FFFFFF"/>
              </w:rPr>
              <w:t xml:space="preserve"> 21s/</w:t>
            </w:r>
            <w:r w:rsidRPr="009375D9">
              <w:rPr>
                <w:rFonts w:ascii="NewsGoth BT" w:hAnsi="NewsGoth BT" w:cs="Arial"/>
                <w:color w:val="0B0C0C"/>
                <w:sz w:val="20"/>
                <w:szCs w:val="20"/>
                <w:shd w:val="clear" w:color="auto" w:fill="FFFFFF"/>
              </w:rPr>
              <w:t xml:space="preserve"> 25s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9375D9" w:rsidRPr="0071035C" w:rsidRDefault="00E10B77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9375D9" w:rsidRPr="0071035C" w:rsidRDefault="009375D9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827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lastRenderedPageBreak/>
              <w:t>Primary threshold (per week)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155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26C5C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155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Secondary threshold (per week)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156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26C5C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156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Employment allowance (per year per employer)</w:t>
            </w:r>
            <w:r w:rsidR="00E10B77">
              <w:rPr>
                <w:rFonts w:ascii="NewsGoth BT" w:hAnsi="NewsGoth BT"/>
                <w:sz w:val="20"/>
                <w:szCs w:val="20"/>
                <w:lang w:eastAsia="en-GB"/>
              </w:rPr>
              <w:t xml:space="preserve"> – note 2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4A2007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Employee's primary Class 1 rate between primary threshold and upper earnings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12</w:t>
            </w:r>
            <w:r w:rsidRPr="0071035C">
              <w:rPr>
                <w:rFonts w:ascii="NewsGoth BT" w:hAnsi="NewsGoth BT" w:cs="Calibri"/>
                <w:sz w:val="20"/>
                <w:szCs w:val="20"/>
              </w:rPr>
              <w:t>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77673" w:rsidP="0063088E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12%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Employee's primary Class 1 rate above upper earnings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E10B77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</w:t>
            </w:r>
            <w:r w:rsidR="002F2C38" w:rsidRPr="0071035C">
              <w:rPr>
                <w:rFonts w:ascii="NewsGoth BT" w:hAnsi="NewsGoth BT" w:cs="Calibri"/>
                <w:sz w:val="20"/>
                <w:szCs w:val="20"/>
              </w:rPr>
              <w:t>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77673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Married woman's reduced rate between primary threshold and upper earnings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5.85%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77673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5.85%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Married woman's rate above upper earnings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2.00%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77673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2.00%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Employer's secondary Class 1 rate above secondary threshold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13.80%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77673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13.80%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Employer's secondary Class 1 rate above secondary threshold (contracted out)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10.40%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FC03B2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n/a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 xml:space="preserve">Class 2 </w:t>
            </w:r>
            <w:r w:rsidR="00422F46">
              <w:rPr>
                <w:rFonts w:ascii="NewsGoth BT" w:hAnsi="NewsGoth BT"/>
                <w:sz w:val="20"/>
                <w:szCs w:val="20"/>
                <w:lang w:eastAsia="en-GB"/>
              </w:rPr>
              <w:t>rate (per week where profits are above small profits threshold)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</w:t>
            </w:r>
            <w:r>
              <w:rPr>
                <w:rFonts w:ascii="NewsGoth BT" w:hAnsi="NewsGoth BT" w:cs="Calibri"/>
                <w:sz w:val="20"/>
                <w:szCs w:val="20"/>
              </w:rPr>
              <w:t>.80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77673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2.80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E80AB1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 xml:space="preserve">Class 2 small </w:t>
            </w:r>
            <w:r w:rsidR="00E80AB1">
              <w:rPr>
                <w:rFonts w:ascii="NewsGoth BT" w:hAnsi="NewsGoth BT"/>
                <w:sz w:val="20"/>
                <w:szCs w:val="20"/>
                <w:lang w:eastAsia="en-GB"/>
              </w:rPr>
              <w:t>profits threshold</w:t>
            </w: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 xml:space="preserve"> (per year)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5,965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5,965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Special Class 2 rate for share fishermen (per week)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3.45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3.45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Special Class 2 rate for volunteer development workers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5.60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5.60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Class 3 rate (per week)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14.10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14.10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Class 4 lower profits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8,060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8,060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Class 4 upper profits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42,385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43,000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Class 4 rate between lower profits limit and upper profits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9.00%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9.00%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Class 4 rate above upper profits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2.00%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E80AB1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2.00%</w:t>
            </w:r>
          </w:p>
        </w:tc>
      </w:tr>
      <w:tr w:rsidR="005031A5" w:rsidRPr="0071035C" w:rsidTr="00E10B77">
        <w:trPr>
          <w:gridAfter w:val="1"/>
          <w:wAfter w:w="28" w:type="dxa"/>
          <w:trHeight w:val="255"/>
        </w:trPr>
        <w:tc>
          <w:tcPr>
            <w:tcW w:w="9734" w:type="dxa"/>
            <w:gridSpan w:val="13"/>
            <w:shd w:val="clear" w:color="auto" w:fill="auto"/>
            <w:noWrap/>
            <w:vAlign w:val="bottom"/>
          </w:tcPr>
          <w:p w:rsidR="005031A5" w:rsidRPr="005031A5" w:rsidRDefault="00E10B77" w:rsidP="005031A5">
            <w:pP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 xml:space="preserve">1  </w:t>
            </w:r>
            <w:r w:rsidR="005031A5" w:rsidRPr="005031A5"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>From April 2016 employers of apprentices under the age of 25 will no longer be required to</w:t>
            </w:r>
          </w:p>
          <w:p w:rsidR="005031A5" w:rsidRPr="005031A5" w:rsidRDefault="005031A5" w:rsidP="005031A5">
            <w:pP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</w:pPr>
            <w:r w:rsidRPr="005031A5"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>pay secondary Class 1 (employer) National Insurance contributions (NICs) on earnings up to</w:t>
            </w:r>
          </w:p>
          <w:p w:rsidR="005031A5" w:rsidRDefault="005031A5" w:rsidP="005031A5">
            <w:pP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</w:pPr>
            <w:proofErr w:type="gramStart"/>
            <w:r w:rsidRPr="005031A5"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>the</w:t>
            </w:r>
            <w:proofErr w:type="gramEnd"/>
            <w:r w:rsidRPr="005031A5"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 xml:space="preserve"> Upper Earnings Limit (UEL), for those employees.</w:t>
            </w:r>
          </w:p>
          <w:p w:rsidR="00E10B77" w:rsidRPr="0071035C" w:rsidRDefault="00E10B77" w:rsidP="005031A5">
            <w:pPr>
              <w:rPr>
                <w:rFonts w:ascii="NewsGoth BT" w:hAnsi="NewsGoth BT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 xml:space="preserve">2  </w:t>
            </w:r>
            <w:r w:rsidRPr="00E10B77">
              <w:rPr>
                <w:rFonts w:ascii="NewsGoth BT" w:hAnsi="NewsGoth BT" w:cs="Calibri"/>
                <w:bCs/>
                <w:i/>
                <w:iCs/>
                <w:sz w:val="20"/>
                <w:szCs w:val="20"/>
                <w:lang w:eastAsia="en-GB"/>
              </w:rPr>
              <w:t>From April 2016,companies where the director is the sole employee will no longer be able to claim the</w:t>
            </w:r>
            <w:r w:rsidRPr="00E10B77">
              <w:rPr>
                <w:rFonts w:ascii="NewsGoth BT" w:hAnsi="NewsGoth BT" w:cs="Calibri"/>
                <w:bCs/>
                <w:i/>
                <w:iCs/>
                <w:sz w:val="20"/>
                <w:szCs w:val="20"/>
                <w:lang w:eastAsia="en-GB"/>
              </w:rPr>
              <w:br/>
              <w:t>Employment Allowance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9734" w:type="dxa"/>
            <w:gridSpan w:val="13"/>
            <w:shd w:val="clear" w:color="auto" w:fill="D9D9D9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b/>
                <w:bCs/>
                <w:sz w:val="20"/>
                <w:szCs w:val="20"/>
                <w:lang w:eastAsia="en-GB"/>
              </w:rPr>
              <w:t>Pensions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1761E4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Annual allowance</w:t>
            </w:r>
            <w:r w:rsidR="00D5218C">
              <w:rPr>
                <w:rFonts w:ascii="NewsGoth BT" w:hAnsi="NewsGoth BT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0,000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5218C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40,000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Lifetime allowance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</w:t>
            </w: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25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0,000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D5218C" w:rsidP="0038603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1,000,000</w:t>
            </w:r>
          </w:p>
        </w:tc>
      </w:tr>
      <w:tr w:rsidR="001761E4" w:rsidRPr="0071035C" w:rsidTr="00E10B77">
        <w:trPr>
          <w:gridAfter w:val="1"/>
          <w:wAfter w:w="28" w:type="dxa"/>
          <w:trHeight w:val="255"/>
        </w:trPr>
        <w:tc>
          <w:tcPr>
            <w:tcW w:w="9734" w:type="dxa"/>
            <w:gridSpan w:val="13"/>
            <w:noWrap/>
            <w:vAlign w:val="bottom"/>
          </w:tcPr>
          <w:p w:rsidR="001761E4" w:rsidRPr="0071035C" w:rsidRDefault="001761E4" w:rsidP="001761E4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D5218C"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The Finance Bill 2015 provides that from tax year 2016/17 the annual allowance for those earning </w:t>
            </w:r>
            <w:r w:rsidRPr="00D5218C">
              <w:rPr>
                <w:rFonts w:ascii="NewsGoth BT" w:hAnsi="NewsGoth BT"/>
                <w:i/>
                <w:sz w:val="20"/>
                <w:szCs w:val="20"/>
                <w:lang w:eastAsia="en-GB"/>
              </w:rPr>
              <w:lastRenderedPageBreak/>
              <w:t>above £150,000 is to be reduced on a tapering basis so that it reduces to £10,000 for those earning above £210,000. For every £2 of income above £150,000, an individual’s annual allowance will reduce by £1.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9734" w:type="dxa"/>
            <w:gridSpan w:val="13"/>
            <w:tcBorders>
              <w:top w:val="nil"/>
            </w:tcBorders>
            <w:shd w:val="clear" w:color="auto" w:fill="D9D9D9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b/>
                <w:bCs/>
                <w:sz w:val="20"/>
                <w:szCs w:val="20"/>
                <w:lang w:eastAsia="en-GB"/>
              </w:rPr>
              <w:lastRenderedPageBreak/>
              <w:t>Relief's and incentives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Enterprise Investment Scheme (EIS) - maximum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1,000,000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B42A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1,000,000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Venture Capital Trust (VCT) - maximum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200,000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B42A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200,000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Enterprise Management Incentive Scheme (EMI) - employee limit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1F4C21" w:rsidRDefault="00FC03B2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25</w:t>
            </w:r>
            <w:r w:rsidR="001F4C21" w:rsidRPr="001F4C21">
              <w:rPr>
                <w:rFonts w:ascii="NewsGoth BT" w:hAnsi="NewsGoth BT" w:cs="Calibri"/>
                <w:sz w:val="20"/>
                <w:szCs w:val="20"/>
              </w:rPr>
              <w:t>0,000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E33A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250,000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Seed Enterprise Investment Scheme (SEIS)</w:t>
            </w:r>
            <w:r w:rsidR="005B42A4">
              <w:rPr>
                <w:rFonts w:ascii="NewsGoth BT" w:hAnsi="NewsGoth BT"/>
                <w:sz w:val="20"/>
                <w:szCs w:val="20"/>
                <w:lang w:eastAsia="en-GB"/>
              </w:rPr>
              <w:t xml:space="preserve"> - maximum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100,000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B42A4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100,000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Income tax relief on EIS schemes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30%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E33A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30%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Income tax relief on VCT schemes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30%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E33A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30%</w:t>
            </w:r>
          </w:p>
        </w:tc>
      </w:tr>
      <w:tr w:rsidR="002F2C38" w:rsidRPr="0071035C" w:rsidTr="00E10B77">
        <w:trPr>
          <w:gridAfter w:val="1"/>
          <w:wAfter w:w="28" w:type="dxa"/>
          <w:trHeight w:val="255"/>
        </w:trPr>
        <w:tc>
          <w:tcPr>
            <w:tcW w:w="5627" w:type="dxa"/>
            <w:gridSpan w:val="3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Income tax relief on SEIS schemes</w:t>
            </w:r>
          </w:p>
        </w:tc>
        <w:tc>
          <w:tcPr>
            <w:tcW w:w="2539" w:type="dxa"/>
            <w:gridSpan w:val="7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50%</w:t>
            </w:r>
          </w:p>
        </w:tc>
        <w:tc>
          <w:tcPr>
            <w:tcW w:w="1568" w:type="dxa"/>
            <w:gridSpan w:val="3"/>
            <w:noWrap/>
            <w:vAlign w:val="bottom"/>
          </w:tcPr>
          <w:p w:rsidR="002F2C38" w:rsidRPr="0071035C" w:rsidRDefault="005E33AB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50%</w:t>
            </w:r>
          </w:p>
        </w:tc>
      </w:tr>
      <w:tr w:rsidR="00F435AF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F435AF" w:rsidRPr="0071035C" w:rsidRDefault="00F435AF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Individual Savings Account (ISA):</w:t>
            </w:r>
          </w:p>
        </w:tc>
      </w:tr>
      <w:tr w:rsidR="00F435AF" w:rsidRPr="0071035C" w:rsidTr="00933ACB">
        <w:trPr>
          <w:trHeight w:val="255"/>
        </w:trPr>
        <w:tc>
          <w:tcPr>
            <w:tcW w:w="9762" w:type="dxa"/>
            <w:gridSpan w:val="14"/>
            <w:noWrap/>
            <w:vAlign w:val="bottom"/>
          </w:tcPr>
          <w:p w:rsidR="00F435AF" w:rsidRPr="0071035C" w:rsidRDefault="00F435AF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New ISA (NISA) limits</w:t>
            </w:r>
          </w:p>
        </w:tc>
      </w:tr>
      <w:tr w:rsidR="002F2C38" w:rsidRPr="0071035C" w:rsidTr="00E10B77">
        <w:trPr>
          <w:trHeight w:val="255"/>
        </w:trPr>
        <w:tc>
          <w:tcPr>
            <w:tcW w:w="6382" w:type="dxa"/>
            <w:gridSpan w:val="7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 xml:space="preserve">New ISA (NISA) annual limit </w:t>
            </w:r>
          </w:p>
        </w:tc>
        <w:tc>
          <w:tcPr>
            <w:tcW w:w="2143" w:type="dxa"/>
            <w:gridSpan w:val="5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15,240</w:t>
            </w:r>
          </w:p>
        </w:tc>
        <w:tc>
          <w:tcPr>
            <w:tcW w:w="1237" w:type="dxa"/>
            <w:gridSpan w:val="2"/>
            <w:noWrap/>
            <w:vAlign w:val="bottom"/>
          </w:tcPr>
          <w:p w:rsidR="002F2C38" w:rsidRPr="0071035C" w:rsidRDefault="002479BD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15,240</w:t>
            </w:r>
          </w:p>
        </w:tc>
      </w:tr>
      <w:tr w:rsidR="002F2C38" w:rsidRPr="0071035C" w:rsidTr="00E10B77">
        <w:trPr>
          <w:trHeight w:val="255"/>
        </w:trPr>
        <w:tc>
          <w:tcPr>
            <w:tcW w:w="6382" w:type="dxa"/>
            <w:gridSpan w:val="7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New Junior ISA investment annual limit</w:t>
            </w:r>
          </w:p>
        </w:tc>
        <w:tc>
          <w:tcPr>
            <w:tcW w:w="2143" w:type="dxa"/>
            <w:gridSpan w:val="5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4,080</w:t>
            </w:r>
          </w:p>
        </w:tc>
        <w:tc>
          <w:tcPr>
            <w:tcW w:w="1237" w:type="dxa"/>
            <w:gridSpan w:val="2"/>
            <w:noWrap/>
            <w:vAlign w:val="bottom"/>
          </w:tcPr>
          <w:p w:rsidR="002F2C38" w:rsidRPr="0071035C" w:rsidRDefault="002479BD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4,080</w:t>
            </w:r>
          </w:p>
        </w:tc>
      </w:tr>
      <w:tr w:rsidR="002F2C38" w:rsidRPr="0071035C" w:rsidTr="00E10B77">
        <w:trPr>
          <w:trHeight w:val="255"/>
        </w:trPr>
        <w:tc>
          <w:tcPr>
            <w:tcW w:w="6382" w:type="dxa"/>
            <w:gridSpan w:val="7"/>
            <w:noWrap/>
            <w:vAlign w:val="bottom"/>
          </w:tcPr>
          <w:p w:rsidR="002F2C38" w:rsidRPr="0071035C" w:rsidRDefault="002479BD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New child value of Child Trust </w:t>
            </w:r>
            <w:r w:rsidR="002F2C38">
              <w:rPr>
                <w:rFonts w:ascii="NewsGoth BT" w:hAnsi="NewsGoth BT"/>
                <w:sz w:val="20"/>
                <w:szCs w:val="20"/>
                <w:lang w:eastAsia="en-GB"/>
              </w:rPr>
              <w:t>Fund</w:t>
            </w:r>
            <w:r w:rsidR="002F2C38" w:rsidRPr="0071035C">
              <w:rPr>
                <w:rFonts w:ascii="NewsGoth BT" w:hAnsi="NewsGoth BT"/>
                <w:sz w:val="20"/>
                <w:szCs w:val="20"/>
                <w:lang w:eastAsia="en-GB"/>
              </w:rPr>
              <w:t xml:space="preserve"> annual limit </w:t>
            </w:r>
          </w:p>
        </w:tc>
        <w:tc>
          <w:tcPr>
            <w:tcW w:w="2143" w:type="dxa"/>
            <w:gridSpan w:val="5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4,080</w:t>
            </w:r>
          </w:p>
        </w:tc>
        <w:tc>
          <w:tcPr>
            <w:tcW w:w="1237" w:type="dxa"/>
            <w:gridSpan w:val="2"/>
            <w:noWrap/>
            <w:vAlign w:val="bottom"/>
          </w:tcPr>
          <w:p w:rsidR="002F2C38" w:rsidRPr="0071035C" w:rsidRDefault="002479BD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4,080</w:t>
            </w:r>
          </w:p>
        </w:tc>
      </w:tr>
      <w:tr w:rsidR="002F2C38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Capital gains tax</w:t>
            </w:r>
          </w:p>
        </w:tc>
      </w:tr>
      <w:tr w:rsidR="002F2C38" w:rsidRPr="0071035C" w:rsidTr="00E10B77">
        <w:trPr>
          <w:trHeight w:val="255"/>
        </w:trPr>
        <w:tc>
          <w:tcPr>
            <w:tcW w:w="3341" w:type="dxa"/>
            <w:gridSpan w:val="2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Rate</w:t>
            </w:r>
            <w:r w:rsidR="00D43E48">
              <w:rPr>
                <w:rFonts w:ascii="NewsGoth BT" w:hAnsi="NewsGoth BT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911" w:type="dxa"/>
            <w:gridSpan w:val="4"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- basic rate tax payer</w:t>
            </w:r>
            <w:r w:rsidR="00850550">
              <w:rPr>
                <w:rFonts w:ascii="NewsGoth BT" w:hAnsi="NewsGoth BT"/>
                <w:sz w:val="20"/>
                <w:szCs w:val="20"/>
                <w:lang w:eastAsia="en-GB"/>
              </w:rPr>
              <w:t xml:space="preserve"> – note 1</w:t>
            </w:r>
          </w:p>
        </w:tc>
        <w:tc>
          <w:tcPr>
            <w:tcW w:w="2118" w:type="dxa"/>
            <w:gridSpan w:val="5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18%</w:t>
            </w:r>
          </w:p>
        </w:tc>
        <w:tc>
          <w:tcPr>
            <w:tcW w:w="1392" w:type="dxa"/>
            <w:gridSpan w:val="3"/>
            <w:noWrap/>
            <w:vAlign w:val="bottom"/>
          </w:tcPr>
          <w:p w:rsidR="002F2C38" w:rsidRPr="0071035C" w:rsidRDefault="00D43E4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</w:t>
            </w:r>
            <w:r w:rsidR="005B42A4">
              <w:rPr>
                <w:rFonts w:ascii="NewsGoth BT" w:hAnsi="NewsGoth BT" w:cs="Calibri"/>
                <w:sz w:val="20"/>
                <w:szCs w:val="20"/>
                <w:lang w:eastAsia="en-GB"/>
              </w:rPr>
              <w:t>%</w:t>
            </w:r>
          </w:p>
        </w:tc>
      </w:tr>
      <w:tr w:rsidR="002F2C38" w:rsidRPr="0071035C" w:rsidTr="00E10B77">
        <w:trPr>
          <w:trHeight w:val="255"/>
        </w:trPr>
        <w:tc>
          <w:tcPr>
            <w:tcW w:w="3341" w:type="dxa"/>
            <w:gridSpan w:val="2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</w:p>
        </w:tc>
        <w:tc>
          <w:tcPr>
            <w:tcW w:w="2911" w:type="dxa"/>
            <w:gridSpan w:val="4"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- higher rate tax payer</w:t>
            </w:r>
            <w:r w:rsidR="00850550">
              <w:rPr>
                <w:rFonts w:ascii="NewsGoth BT" w:hAnsi="NewsGoth BT"/>
                <w:sz w:val="20"/>
                <w:szCs w:val="20"/>
                <w:lang w:eastAsia="en-GB"/>
              </w:rPr>
              <w:t xml:space="preserve"> – note 1</w:t>
            </w:r>
          </w:p>
        </w:tc>
        <w:tc>
          <w:tcPr>
            <w:tcW w:w="2118" w:type="dxa"/>
            <w:gridSpan w:val="5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28%</w:t>
            </w:r>
          </w:p>
        </w:tc>
        <w:tc>
          <w:tcPr>
            <w:tcW w:w="1392" w:type="dxa"/>
            <w:gridSpan w:val="3"/>
            <w:noWrap/>
            <w:vAlign w:val="bottom"/>
          </w:tcPr>
          <w:p w:rsidR="002F2C38" w:rsidRPr="0071035C" w:rsidRDefault="00D43E4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</w:t>
            </w:r>
            <w:r w:rsidR="005B42A4">
              <w:rPr>
                <w:rFonts w:ascii="NewsGoth BT" w:hAnsi="NewsGoth BT" w:cs="Calibri"/>
                <w:sz w:val="20"/>
                <w:szCs w:val="20"/>
                <w:lang w:eastAsia="en-GB"/>
              </w:rPr>
              <w:t>%</w:t>
            </w:r>
          </w:p>
        </w:tc>
      </w:tr>
      <w:tr w:rsidR="002F2C38" w:rsidRPr="0071035C" w:rsidTr="00E10B77">
        <w:trPr>
          <w:trHeight w:val="255"/>
        </w:trPr>
        <w:tc>
          <w:tcPr>
            <w:tcW w:w="6252" w:type="dxa"/>
            <w:gridSpan w:val="6"/>
            <w:noWrap/>
            <w:vAlign w:val="bottom"/>
          </w:tcPr>
          <w:p w:rsidR="002F2C38" w:rsidRPr="0071035C" w:rsidRDefault="00AD4530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Annual exemptions </w:t>
            </w:r>
            <w:r w:rsidR="004D3505">
              <w:rPr>
                <w:rFonts w:ascii="NewsGoth BT" w:hAnsi="NewsGoth BT"/>
                <w:sz w:val="20"/>
                <w:szCs w:val="20"/>
                <w:lang w:eastAsia="en-GB"/>
              </w:rPr>
              <w:t>–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 i</w:t>
            </w:r>
            <w:r w:rsidR="002F2C38" w:rsidRPr="0071035C">
              <w:rPr>
                <w:rFonts w:ascii="NewsGoth BT" w:hAnsi="NewsGoth BT"/>
                <w:sz w:val="20"/>
                <w:szCs w:val="20"/>
                <w:lang w:eastAsia="en-GB"/>
              </w:rPr>
              <w:t>ndividuals</w:t>
            </w:r>
            <w:r w:rsidR="004D3505">
              <w:rPr>
                <w:rFonts w:ascii="NewsGoth BT" w:hAnsi="NewsGoth BT"/>
                <w:sz w:val="20"/>
                <w:szCs w:val="20"/>
                <w:lang w:eastAsia="en-GB"/>
              </w:rPr>
              <w:t xml:space="preserve"> (per year)</w:t>
            </w:r>
          </w:p>
        </w:tc>
        <w:tc>
          <w:tcPr>
            <w:tcW w:w="2118" w:type="dxa"/>
            <w:gridSpan w:val="5"/>
            <w:noWrap/>
            <w:vAlign w:val="bottom"/>
          </w:tcPr>
          <w:p w:rsidR="002F2C38" w:rsidRPr="0071035C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11,1</w:t>
            </w:r>
            <w:r w:rsidR="002F2C38"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392" w:type="dxa"/>
            <w:gridSpan w:val="3"/>
            <w:noWrap/>
            <w:vAlign w:val="bottom"/>
          </w:tcPr>
          <w:p w:rsidR="002F2C38" w:rsidRPr="0071035C" w:rsidRDefault="00AD4530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11,100</w:t>
            </w:r>
          </w:p>
        </w:tc>
      </w:tr>
      <w:tr w:rsidR="002F2C38" w:rsidRPr="0071035C" w:rsidTr="00E10B77">
        <w:trPr>
          <w:trHeight w:val="255"/>
        </w:trPr>
        <w:tc>
          <w:tcPr>
            <w:tcW w:w="6252" w:type="dxa"/>
            <w:gridSpan w:val="6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Certain trusts for disabled persons</w:t>
            </w:r>
            <w:r w:rsidR="004D3505">
              <w:rPr>
                <w:rFonts w:ascii="NewsGoth BT" w:hAnsi="NewsGoth BT"/>
                <w:sz w:val="20"/>
                <w:szCs w:val="20"/>
                <w:lang w:eastAsia="en-GB"/>
              </w:rPr>
              <w:t xml:space="preserve"> (per year)</w:t>
            </w:r>
          </w:p>
        </w:tc>
        <w:tc>
          <w:tcPr>
            <w:tcW w:w="2118" w:type="dxa"/>
            <w:gridSpan w:val="5"/>
            <w:noWrap/>
            <w:vAlign w:val="bottom"/>
          </w:tcPr>
          <w:p w:rsidR="002F2C38" w:rsidRPr="0071035C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11,1</w:t>
            </w:r>
            <w:r w:rsidR="002F2C38"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392" w:type="dxa"/>
            <w:gridSpan w:val="3"/>
            <w:noWrap/>
            <w:vAlign w:val="bottom"/>
          </w:tcPr>
          <w:p w:rsidR="002F2C38" w:rsidRPr="0071035C" w:rsidRDefault="001761E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11,100</w:t>
            </w:r>
          </w:p>
        </w:tc>
      </w:tr>
      <w:tr w:rsidR="002F2C38" w:rsidRPr="0071035C" w:rsidTr="00E10B77">
        <w:trPr>
          <w:trHeight w:val="255"/>
        </w:trPr>
        <w:tc>
          <w:tcPr>
            <w:tcW w:w="6252" w:type="dxa"/>
            <w:gridSpan w:val="6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Other trusts</w:t>
            </w:r>
            <w:r w:rsidR="004D3505">
              <w:rPr>
                <w:rFonts w:ascii="NewsGoth BT" w:hAnsi="NewsGoth BT"/>
                <w:sz w:val="20"/>
                <w:szCs w:val="20"/>
                <w:lang w:eastAsia="en-GB"/>
              </w:rPr>
              <w:t xml:space="preserve"> (per year)</w:t>
            </w:r>
          </w:p>
        </w:tc>
        <w:tc>
          <w:tcPr>
            <w:tcW w:w="2118" w:type="dxa"/>
            <w:gridSpan w:val="5"/>
            <w:noWrap/>
            <w:vAlign w:val="bottom"/>
          </w:tcPr>
          <w:p w:rsidR="002F2C38" w:rsidRPr="0071035C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5,55</w:t>
            </w:r>
            <w:r w:rsidR="002F2C38"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92" w:type="dxa"/>
            <w:gridSpan w:val="3"/>
            <w:noWrap/>
            <w:vAlign w:val="bottom"/>
          </w:tcPr>
          <w:p w:rsidR="002F2C38" w:rsidRPr="0071035C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5,55</w:t>
            </w:r>
            <w:r w:rsidR="00AD4530">
              <w:rPr>
                <w:rFonts w:ascii="NewsGoth BT" w:hAnsi="NewsGoth BT" w:cs="Calibri"/>
                <w:sz w:val="20"/>
                <w:szCs w:val="20"/>
                <w:lang w:eastAsia="en-GB"/>
              </w:rPr>
              <w:t>0</w:t>
            </w:r>
          </w:p>
        </w:tc>
      </w:tr>
      <w:tr w:rsidR="002F2C38" w:rsidRPr="0071035C" w:rsidTr="00E10B77">
        <w:trPr>
          <w:trHeight w:val="255"/>
        </w:trPr>
        <w:tc>
          <w:tcPr>
            <w:tcW w:w="6252" w:type="dxa"/>
            <w:gridSpan w:val="6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Entrepreneurs Relief lifetime limit</w:t>
            </w:r>
          </w:p>
        </w:tc>
        <w:tc>
          <w:tcPr>
            <w:tcW w:w="2118" w:type="dxa"/>
            <w:gridSpan w:val="5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10,000,000</w:t>
            </w:r>
          </w:p>
        </w:tc>
        <w:tc>
          <w:tcPr>
            <w:tcW w:w="1392" w:type="dxa"/>
            <w:gridSpan w:val="3"/>
            <w:noWrap/>
            <w:vAlign w:val="bottom"/>
          </w:tcPr>
          <w:p w:rsidR="002F2C38" w:rsidRPr="0071035C" w:rsidRDefault="005B42A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10,000,000</w:t>
            </w:r>
          </w:p>
        </w:tc>
      </w:tr>
      <w:tr w:rsidR="002F2C38" w:rsidRPr="0071035C" w:rsidTr="00E10B77">
        <w:trPr>
          <w:trHeight w:val="239"/>
        </w:trPr>
        <w:tc>
          <w:tcPr>
            <w:tcW w:w="6252" w:type="dxa"/>
            <w:gridSpan w:val="6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iCs/>
                <w:sz w:val="20"/>
                <w:szCs w:val="20"/>
                <w:lang w:eastAsia="en-GB"/>
              </w:rPr>
              <w:t>Entrepreneurs Rate</w:t>
            </w:r>
          </w:p>
        </w:tc>
        <w:tc>
          <w:tcPr>
            <w:tcW w:w="2118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1392" w:type="dxa"/>
            <w:gridSpan w:val="3"/>
            <w:tcBorders>
              <w:bottom w:val="nil"/>
            </w:tcBorders>
            <w:noWrap/>
            <w:vAlign w:val="bottom"/>
          </w:tcPr>
          <w:p w:rsidR="002F2C38" w:rsidRPr="0071035C" w:rsidRDefault="005B42A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10%</w:t>
            </w:r>
          </w:p>
        </w:tc>
      </w:tr>
      <w:tr w:rsidR="002F2C38" w:rsidRPr="0071035C" w:rsidTr="00E10B77">
        <w:trPr>
          <w:trHeight w:val="239"/>
        </w:trPr>
        <w:tc>
          <w:tcPr>
            <w:tcW w:w="6252" w:type="dxa"/>
            <w:gridSpan w:val="6"/>
            <w:tcBorders>
              <w:bottom w:val="nil"/>
            </w:tcBorders>
            <w:noWrap/>
            <w:vAlign w:val="bottom"/>
          </w:tcPr>
          <w:p w:rsidR="002F2C38" w:rsidRPr="0071035C" w:rsidRDefault="002F2C38" w:rsidP="004D3505">
            <w:pPr>
              <w:rPr>
                <w:rFonts w:ascii="NewsGoth BT" w:hAnsi="NewsGoth BT"/>
                <w:iCs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iCs/>
                <w:sz w:val="20"/>
                <w:szCs w:val="20"/>
                <w:lang w:eastAsia="en-GB"/>
              </w:rPr>
              <w:t>Chattels exemption</w:t>
            </w:r>
            <w:r w:rsidR="005E33AB">
              <w:rPr>
                <w:rFonts w:ascii="NewsGoth BT" w:hAnsi="NewsGoth BT"/>
                <w:iCs/>
                <w:sz w:val="20"/>
                <w:szCs w:val="20"/>
                <w:lang w:eastAsia="en-GB"/>
              </w:rPr>
              <w:t xml:space="preserve"> - up to</w:t>
            </w:r>
            <w:r w:rsidRPr="0071035C">
              <w:rPr>
                <w:rFonts w:ascii="NewsGoth BT" w:hAnsi="NewsGoth BT"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6,000</w:t>
            </w:r>
          </w:p>
        </w:tc>
        <w:tc>
          <w:tcPr>
            <w:tcW w:w="1392" w:type="dxa"/>
            <w:gridSpan w:val="3"/>
            <w:tcBorders>
              <w:bottom w:val="nil"/>
            </w:tcBorders>
            <w:noWrap/>
            <w:vAlign w:val="bottom"/>
          </w:tcPr>
          <w:p w:rsidR="002F2C38" w:rsidRPr="0071035C" w:rsidRDefault="005E33AB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6,000</w:t>
            </w:r>
          </w:p>
        </w:tc>
      </w:tr>
      <w:tr w:rsidR="00850550" w:rsidRPr="0071035C" w:rsidTr="00933ACB">
        <w:trPr>
          <w:trHeight w:val="239"/>
        </w:trPr>
        <w:tc>
          <w:tcPr>
            <w:tcW w:w="9762" w:type="dxa"/>
            <w:gridSpan w:val="14"/>
            <w:tcBorders>
              <w:bottom w:val="nil"/>
            </w:tcBorders>
            <w:noWrap/>
            <w:vAlign w:val="bottom"/>
          </w:tcPr>
          <w:p w:rsidR="00850550" w:rsidRPr="00850550" w:rsidRDefault="00850550" w:rsidP="00850550">
            <w:pPr>
              <w:rPr>
                <w:rFonts w:ascii="NewsGoth BT" w:hAnsi="NewsGoth BT" w:cs="Calibri"/>
                <w:i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i/>
                <w:sz w:val="20"/>
                <w:szCs w:val="20"/>
                <w:lang w:eastAsia="en-GB"/>
              </w:rPr>
              <w:t xml:space="preserve">1 </w:t>
            </w:r>
            <w:r w:rsidRPr="00850550">
              <w:rPr>
                <w:rFonts w:ascii="NewsGoth BT" w:hAnsi="NewsGoth BT" w:cs="Calibri"/>
                <w:i/>
                <w:sz w:val="20"/>
                <w:szCs w:val="20"/>
                <w:lang w:eastAsia="en-GB"/>
              </w:rPr>
              <w:t>The 2016/17 reduction does not apply to residential property (where not covered by PPR relief)</w:t>
            </w:r>
          </w:p>
        </w:tc>
      </w:tr>
      <w:tr w:rsidR="0071035C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71035C" w:rsidRPr="0071035C" w:rsidRDefault="0071035C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Inheritance tax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Single persons nil rate band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1 - 325,000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1 - 325,000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Single persons 40% band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over 325,000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over 325,000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Married couples or civil partnerships allowance nil rate band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650,000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650,000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Gifts to charities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Exempt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Exempt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Small gifts to same person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250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250</w:t>
            </w:r>
          </w:p>
        </w:tc>
      </w:tr>
      <w:tr w:rsidR="006835F5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6835F5" w:rsidRPr="0071035C" w:rsidRDefault="006835F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General gifts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6835F5" w:rsidRPr="0071035C" w:rsidRDefault="006835F5" w:rsidP="00C0204A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3,000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6835F5" w:rsidRPr="0071035C" w:rsidRDefault="006835F5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>
              <w:rPr>
                <w:rFonts w:ascii="NewsGoth BT" w:hAnsi="NewsGoth BT" w:cs="Calibri"/>
                <w:sz w:val="20"/>
                <w:szCs w:val="20"/>
              </w:rPr>
              <w:t>3,000</w:t>
            </w:r>
          </w:p>
        </w:tc>
      </w:tr>
      <w:tr w:rsidR="002F2C38" w:rsidRPr="0071035C" w:rsidTr="00933ACB">
        <w:trPr>
          <w:trHeight w:val="255"/>
        </w:trPr>
        <w:tc>
          <w:tcPr>
            <w:tcW w:w="9762" w:type="dxa"/>
            <w:gridSpan w:val="14"/>
            <w:tcBorders>
              <w:bottom w:val="nil"/>
            </w:tcBorders>
            <w:noWrap/>
            <w:vAlign w:val="bottom"/>
          </w:tcPr>
          <w:p w:rsidR="002F2C38" w:rsidRPr="0071035C" w:rsidRDefault="00560CA4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Wedding gifts:</w:t>
            </w:r>
          </w:p>
        </w:tc>
      </w:tr>
      <w:tr w:rsidR="002F2C38" w:rsidRPr="0071035C" w:rsidTr="00E10B77">
        <w:trPr>
          <w:trHeight w:val="255"/>
        </w:trPr>
        <w:tc>
          <w:tcPr>
            <w:tcW w:w="2356" w:type="dxa"/>
            <w:tcBorders>
              <w:bottom w:val="nil"/>
            </w:tcBorders>
            <w:noWrap/>
            <w:vAlign w:val="bottom"/>
          </w:tcPr>
          <w:p w:rsidR="002F2C38" w:rsidRPr="0071035C" w:rsidRDefault="00560CA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lastRenderedPageBreak/>
              <w:t>From:</w:t>
            </w:r>
          </w:p>
        </w:tc>
        <w:tc>
          <w:tcPr>
            <w:tcW w:w="3715" w:type="dxa"/>
            <w:gridSpan w:val="4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</w:rPr>
            </w:pPr>
            <w:r w:rsidRPr="0071035C">
              <w:rPr>
                <w:rFonts w:ascii="NewsGoth BT" w:hAnsi="NewsGoth BT"/>
                <w:sz w:val="20"/>
                <w:szCs w:val="20"/>
              </w:rPr>
              <w:t>Parent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5,000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5,000</w:t>
            </w:r>
          </w:p>
        </w:tc>
      </w:tr>
      <w:tr w:rsidR="002F2C38" w:rsidRPr="0071035C" w:rsidTr="00E10B77">
        <w:trPr>
          <w:trHeight w:val="255"/>
        </w:trPr>
        <w:tc>
          <w:tcPr>
            <w:tcW w:w="2356" w:type="dxa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</w:p>
        </w:tc>
        <w:tc>
          <w:tcPr>
            <w:tcW w:w="3715" w:type="dxa"/>
            <w:gridSpan w:val="4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</w:rPr>
            </w:pPr>
            <w:r w:rsidRPr="0071035C">
              <w:rPr>
                <w:rFonts w:ascii="NewsGoth BT" w:hAnsi="NewsGoth BT"/>
                <w:sz w:val="20"/>
                <w:szCs w:val="20"/>
              </w:rPr>
              <w:t>Grandparent/party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2,500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2,500</w:t>
            </w:r>
          </w:p>
        </w:tc>
      </w:tr>
      <w:tr w:rsidR="002F2C38" w:rsidRPr="0071035C" w:rsidTr="00E10B77">
        <w:trPr>
          <w:trHeight w:val="255"/>
        </w:trPr>
        <w:tc>
          <w:tcPr>
            <w:tcW w:w="2356" w:type="dxa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</w:p>
        </w:tc>
        <w:tc>
          <w:tcPr>
            <w:tcW w:w="3715" w:type="dxa"/>
            <w:gridSpan w:val="4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</w:rPr>
            </w:pPr>
            <w:r w:rsidRPr="0071035C">
              <w:rPr>
                <w:rFonts w:ascii="NewsGoth BT" w:hAnsi="NewsGoth BT"/>
                <w:sz w:val="20"/>
                <w:szCs w:val="20"/>
              </w:rPr>
              <w:t>Other person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2F2C38" w:rsidRPr="0071035C" w:rsidRDefault="002F2C38" w:rsidP="00C0204A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1,000</w:t>
            </w:r>
          </w:p>
        </w:tc>
      </w:tr>
      <w:tr w:rsidR="002F2C38" w:rsidRPr="0071035C" w:rsidTr="00933ACB">
        <w:trPr>
          <w:trHeight w:val="255"/>
        </w:trPr>
        <w:tc>
          <w:tcPr>
            <w:tcW w:w="9762" w:type="dxa"/>
            <w:gridSpan w:val="14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i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i/>
                <w:sz w:val="20"/>
                <w:szCs w:val="20"/>
                <w:lang w:eastAsia="en-GB"/>
              </w:rPr>
              <w:t>From 6 April 2012 a reduced rate of IHT of 36% will be introduced where 10% or more of the net estate is left to charity.</w:t>
            </w:r>
          </w:p>
        </w:tc>
      </w:tr>
      <w:tr w:rsidR="002F2C38" w:rsidRPr="0071035C" w:rsidTr="00933ACB">
        <w:trPr>
          <w:trHeight w:val="255"/>
        </w:trPr>
        <w:tc>
          <w:tcPr>
            <w:tcW w:w="9762" w:type="dxa"/>
            <w:gridSpan w:val="14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Business Property Relief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Business or interest in a business and transfer if unquoted shareholdings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100%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100%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Transfers out of a controlling shareholding in quoted companies, land and buildings, plant and machinery used in a qualifying company or partnership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50%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</w:rPr>
              <w:t>50%</w:t>
            </w:r>
          </w:p>
        </w:tc>
      </w:tr>
      <w:tr w:rsidR="002F2C38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2F2C38" w:rsidRPr="0071035C" w:rsidRDefault="002F2C38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Taxation of trusts</w:t>
            </w:r>
          </w:p>
        </w:tc>
      </w:tr>
      <w:tr w:rsidR="002F2C38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7B0004" w:rsidRPr="0071035C" w:rsidRDefault="007B000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Accumulation or discretionary trusts: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  <w:tc>
          <w:tcPr>
            <w:tcW w:w="1907" w:type="dxa"/>
            <w:gridSpan w:val="5"/>
            <w:noWrap/>
            <w:vAlign w:val="bottom"/>
          </w:tcPr>
          <w:p w:rsidR="002F2C38" w:rsidRPr="0071035C" w:rsidRDefault="002F2C38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Trust income up to £1,000 – dividend type income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903BB4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EE172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Not confirmed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7B0004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Trust income up to £1,000 – all other income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903BB4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7B0004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Trust income over £1,000 – dividend type income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903BB4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37.5%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EE172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Not confirmed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EE172F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Trust income </w:t>
            </w:r>
            <w:r w:rsidR="00EE172F">
              <w:rPr>
                <w:rFonts w:ascii="NewsGoth BT" w:hAnsi="NewsGoth BT"/>
                <w:sz w:val="20"/>
                <w:szCs w:val="20"/>
                <w:lang w:eastAsia="en-GB"/>
              </w:rPr>
              <w:t>over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 £1,000 – all other income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903BB4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45%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45%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Bare trusts: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903BB4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Dividend type income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EE172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Not confirmed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903BB4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All other income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</w:tr>
      <w:tr w:rsidR="00903BB4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b/>
                <w:bCs/>
                <w:sz w:val="20"/>
                <w:szCs w:val="20"/>
                <w:lang w:eastAsia="en-GB"/>
              </w:rPr>
              <w:t>Corporation tax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All profits and gains (excluding determination agreements and diverted profits)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20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%</w:t>
            </w:r>
          </w:p>
        </w:tc>
      </w:tr>
      <w:tr w:rsidR="00903BB4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b/>
                <w:bCs/>
                <w:sz w:val="20"/>
                <w:szCs w:val="20"/>
                <w:lang w:eastAsia="en-GB"/>
              </w:rPr>
              <w:t>Capital Allowances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Main writing down allowance</w:t>
            </w:r>
            <w:r w:rsidR="00F17069">
              <w:rPr>
                <w:rFonts w:ascii="NewsGoth BT" w:hAnsi="NewsGoth BT"/>
                <w:sz w:val="20"/>
                <w:szCs w:val="20"/>
                <w:lang w:eastAsia="en-GB"/>
              </w:rPr>
              <w:t xml:space="preserve"> (reducing balance)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18%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18%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Special rate writing down allowance</w:t>
            </w:r>
            <w:r w:rsidR="00F17069">
              <w:rPr>
                <w:rFonts w:ascii="NewsGoth BT" w:hAnsi="NewsGoth BT"/>
                <w:sz w:val="20"/>
                <w:szCs w:val="20"/>
                <w:lang w:eastAsia="en-GB"/>
              </w:rPr>
              <w:t xml:space="preserve"> (reducing balance)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8%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8%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6979DE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First year allowances for certain energy-saving/water efficient products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903BB4" w:rsidRPr="0071035C" w:rsidRDefault="00903BB4" w:rsidP="006979DE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6979DE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100%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Annual investment allowance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100%</w:t>
            </w:r>
          </w:p>
        </w:tc>
      </w:tr>
      <w:tr w:rsidR="00F17069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>AIA level set permanently f</w:t>
            </w:r>
            <w:r w:rsidRPr="00F17069"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 xml:space="preserve">rom 1 January 2016 </w:t>
            </w:r>
            <w:r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 xml:space="preserve">at </w:t>
            </w:r>
            <w:r w:rsidRPr="00F17069">
              <w:rPr>
                <w:rFonts w:ascii="NewsGoth BT" w:hAnsi="NewsGoth BT" w:cs="Calibri"/>
                <w:bCs/>
                <w:i/>
                <w:sz w:val="20"/>
                <w:szCs w:val="20"/>
                <w:lang w:eastAsia="en-GB"/>
              </w:rPr>
              <w:t>£200,000 pa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</w:tr>
      <w:tr w:rsidR="00903BB4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b/>
                <w:bCs/>
                <w:sz w:val="20"/>
                <w:szCs w:val="20"/>
                <w:lang w:eastAsia="en-GB"/>
              </w:rPr>
              <w:t>Research and Development Tax Credit Rates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SME Rate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230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F17069" w:rsidP="002551D4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230%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Large company rate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130%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130%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Large companies expenditure credit scheme</w:t>
            </w:r>
            <w:r w:rsidR="00F17069">
              <w:rPr>
                <w:rFonts w:ascii="NewsGoth BT" w:hAnsi="NewsGoth BT"/>
                <w:sz w:val="20"/>
                <w:szCs w:val="20"/>
                <w:lang w:eastAsia="en-GB"/>
              </w:rPr>
              <w:t xml:space="preserve"> (LCEC) scheme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10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n/a</w:t>
            </w:r>
          </w:p>
        </w:tc>
      </w:tr>
      <w:tr w:rsidR="00F17069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Research and development expenditure credit (RDEC) scheme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11%</w:t>
            </w:r>
          </w:p>
        </w:tc>
      </w:tr>
      <w:tr w:rsidR="00F17069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F17069" w:rsidRPr="00F17069" w:rsidRDefault="00F17069" w:rsidP="005B7B85">
            <w:pPr>
              <w:rPr>
                <w:rFonts w:ascii="NewsGoth BT" w:hAnsi="NewsGoth BT"/>
                <w:i/>
                <w:sz w:val="20"/>
                <w:szCs w:val="20"/>
                <w:lang w:eastAsia="en-GB"/>
              </w:rPr>
            </w:pPr>
            <w:r w:rsidRPr="00F17069">
              <w:rPr>
                <w:rFonts w:ascii="NewsGoth BT" w:hAnsi="NewsGoth BT"/>
                <w:i/>
                <w:sz w:val="20"/>
                <w:szCs w:val="20"/>
                <w:lang w:eastAsia="en-GB"/>
              </w:rPr>
              <w:t xml:space="preserve">The RDEC scheme replaces the LCEC scheme from April </w:t>
            </w:r>
            <w:r w:rsidRPr="00F17069">
              <w:rPr>
                <w:rFonts w:ascii="NewsGoth BT" w:hAnsi="NewsGoth BT"/>
                <w:i/>
                <w:sz w:val="20"/>
                <w:szCs w:val="20"/>
                <w:lang w:eastAsia="en-GB"/>
              </w:rPr>
              <w:lastRenderedPageBreak/>
              <w:t>2016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  <w:tc>
          <w:tcPr>
            <w:tcW w:w="1907" w:type="dxa"/>
            <w:gridSpan w:val="5"/>
            <w:tcBorders>
              <w:bottom w:val="nil"/>
            </w:tcBorders>
            <w:noWrap/>
            <w:vAlign w:val="bottom"/>
          </w:tcPr>
          <w:p w:rsidR="00F17069" w:rsidRDefault="00F17069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</w:p>
        </w:tc>
      </w:tr>
      <w:tr w:rsidR="00903BB4" w:rsidRPr="0071035C" w:rsidTr="00933ACB">
        <w:trPr>
          <w:trHeight w:val="255"/>
        </w:trPr>
        <w:tc>
          <w:tcPr>
            <w:tcW w:w="9762" w:type="dxa"/>
            <w:gridSpan w:val="14"/>
            <w:tcBorders>
              <w:bottom w:val="nil"/>
            </w:tcBorders>
            <w:shd w:val="clear" w:color="auto" w:fill="D9D9D9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lastRenderedPageBreak/>
              <w:t>Patent Box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tcBorders>
              <w:bottom w:val="nil"/>
            </w:tcBorders>
            <w:noWrap/>
            <w:vAlign w:val="bottom"/>
          </w:tcPr>
          <w:p w:rsidR="00903BB4" w:rsidRPr="0071035C" w:rsidRDefault="00903BB4" w:rsidP="005B7B85">
            <w:pPr>
              <w:jc w:val="both"/>
              <w:rPr>
                <w:rFonts w:ascii="NewsGoth BT" w:hAnsi="NewsGoth BT" w:cs="Calibri"/>
                <w:iCs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iCs/>
                <w:sz w:val="20"/>
                <w:szCs w:val="20"/>
              </w:rPr>
              <w:t>Patent box</w:t>
            </w:r>
          </w:p>
        </w:tc>
        <w:tc>
          <w:tcPr>
            <w:tcW w:w="1784" w:type="dxa"/>
            <w:gridSpan w:val="4"/>
            <w:tcBorders>
              <w:bottom w:val="nil"/>
            </w:tcBorders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iCs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iCs/>
                <w:sz w:val="20"/>
                <w:szCs w:val="20"/>
              </w:rPr>
              <w:t>10%</w:t>
            </w:r>
          </w:p>
        </w:tc>
        <w:tc>
          <w:tcPr>
            <w:tcW w:w="1907" w:type="dxa"/>
            <w:gridSpan w:val="5"/>
            <w:tcBorders>
              <w:bottom w:val="nil"/>
            </w:tcBorders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iCs/>
                <w:sz w:val="20"/>
                <w:szCs w:val="20"/>
              </w:rPr>
            </w:pPr>
            <w:r w:rsidRPr="0071035C">
              <w:rPr>
                <w:rFonts w:ascii="NewsGoth BT" w:hAnsi="NewsGoth BT" w:cs="Calibri"/>
                <w:iCs/>
                <w:sz w:val="20"/>
                <w:szCs w:val="20"/>
              </w:rPr>
              <w:t>10%</w:t>
            </w:r>
          </w:p>
        </w:tc>
      </w:tr>
      <w:tr w:rsidR="00903BB4" w:rsidRPr="0071035C" w:rsidTr="00933ACB">
        <w:trPr>
          <w:trHeight w:val="255"/>
        </w:trPr>
        <w:tc>
          <w:tcPr>
            <w:tcW w:w="9762" w:type="dxa"/>
            <w:gridSpan w:val="14"/>
            <w:tcBorders>
              <w:bottom w:val="nil"/>
            </w:tcBorders>
            <w:noWrap/>
            <w:vAlign w:val="bottom"/>
          </w:tcPr>
          <w:tbl>
            <w:tblPr>
              <w:tblW w:w="11540" w:type="dxa"/>
              <w:tblLook w:val="04A0" w:firstRow="1" w:lastRow="0" w:firstColumn="1" w:lastColumn="0" w:noHBand="0" w:noVBand="1"/>
            </w:tblPr>
            <w:tblGrid>
              <w:gridCol w:w="9546"/>
            </w:tblGrid>
            <w:tr w:rsidR="00903BB4" w:rsidRPr="0071035C" w:rsidTr="005B7B85">
              <w:trPr>
                <w:trHeight w:val="255"/>
              </w:trPr>
              <w:tc>
                <w:tcPr>
                  <w:tcW w:w="1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BB4" w:rsidRPr="0071035C" w:rsidRDefault="00903BB4" w:rsidP="005B7B85">
                  <w:pPr>
                    <w:rPr>
                      <w:rFonts w:ascii="NewsGoth BT" w:hAnsi="NewsGoth BT" w:cs="Calibri"/>
                      <w:i/>
                      <w:iCs/>
                      <w:sz w:val="20"/>
                      <w:szCs w:val="20"/>
                    </w:rPr>
                  </w:pPr>
                  <w:r w:rsidRPr="0071035C">
                    <w:rPr>
                      <w:rFonts w:ascii="NewsGoth BT" w:hAnsi="NewsGoth BT" w:cs="Calibri"/>
                      <w:i/>
                      <w:iCs/>
                      <w:sz w:val="20"/>
                      <w:szCs w:val="20"/>
                    </w:rPr>
                    <w:t>The Patent box regime will phased in from April 2013 with companies able to claim the benefit of</w:t>
                  </w:r>
                </w:p>
              </w:tc>
            </w:tr>
            <w:tr w:rsidR="00903BB4" w:rsidRPr="0071035C" w:rsidTr="005B7B85">
              <w:trPr>
                <w:trHeight w:val="255"/>
              </w:trPr>
              <w:tc>
                <w:tcPr>
                  <w:tcW w:w="1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BB4" w:rsidRPr="0071035C" w:rsidRDefault="00903BB4" w:rsidP="005B7B85">
                  <w:pPr>
                    <w:rPr>
                      <w:rFonts w:ascii="NewsGoth BT" w:hAnsi="NewsGoth BT" w:cs="Calibri"/>
                      <w:i/>
                      <w:iCs/>
                      <w:sz w:val="20"/>
                      <w:szCs w:val="20"/>
                    </w:rPr>
                  </w:pPr>
                  <w:r w:rsidRPr="0071035C">
                    <w:rPr>
                      <w:rFonts w:ascii="NewsGoth BT" w:hAnsi="NewsGoth BT" w:cs="Calibri"/>
                      <w:i/>
                      <w:iCs/>
                      <w:sz w:val="20"/>
                      <w:szCs w:val="20"/>
                    </w:rPr>
                    <w:t>60% for 2013/14, 70% for 2014/15, 80% for 2015/16, 90% for 2016/17 and 100% from 2017/18 onwards</w:t>
                  </w:r>
                </w:p>
              </w:tc>
            </w:tr>
          </w:tbl>
          <w:p w:rsidR="00903BB4" w:rsidRPr="0071035C" w:rsidRDefault="00903BB4" w:rsidP="005B7B85">
            <w:pPr>
              <w:rPr>
                <w:rFonts w:ascii="NewsGoth BT" w:hAnsi="NewsGoth BT" w:cs="Calibri"/>
                <w:iCs/>
                <w:sz w:val="20"/>
                <w:szCs w:val="20"/>
              </w:rPr>
            </w:pPr>
          </w:p>
        </w:tc>
      </w:tr>
      <w:tr w:rsidR="00903BB4" w:rsidRPr="0071035C" w:rsidTr="00933ACB">
        <w:trPr>
          <w:trHeight w:val="255"/>
        </w:trPr>
        <w:tc>
          <w:tcPr>
            <w:tcW w:w="9762" w:type="dxa"/>
            <w:gridSpan w:val="14"/>
            <w:shd w:val="clear" w:color="auto" w:fill="D9D9D9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b/>
                <w:bCs/>
                <w:sz w:val="20"/>
                <w:szCs w:val="20"/>
                <w:lang w:eastAsia="en-GB"/>
              </w:rPr>
              <w:t>VAT</w:t>
            </w:r>
          </w:p>
        </w:tc>
      </w:tr>
      <w:tr w:rsidR="00903BB4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903BB4" w:rsidRPr="0071035C" w:rsidRDefault="00903BB4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Standard rate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903BB4" w:rsidRPr="0071035C" w:rsidRDefault="00903BB4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20%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Reduced rate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5%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Zero rate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0%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>
              <w:rPr>
                <w:rFonts w:ascii="NewsGoth BT" w:hAnsi="NewsGoth BT"/>
                <w:sz w:val="20"/>
                <w:szCs w:val="20"/>
                <w:lang w:eastAsia="en-GB"/>
              </w:rPr>
              <w:t>Normal scheme</w:t>
            </w:r>
            <w:r w:rsidR="008560DF">
              <w:rPr>
                <w:rFonts w:ascii="NewsGoth BT" w:hAnsi="NewsGoth BT"/>
                <w:sz w:val="20"/>
                <w:szCs w:val="20"/>
                <w:lang w:eastAsia="en-GB"/>
              </w:rPr>
              <w:t xml:space="preserve"> registration threshold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AA3B95" w:rsidP="00AA3B9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82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E10B77" w:rsidP="00AA3B9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83</w:t>
            </w:r>
            <w:r w:rsidR="00AA3B95">
              <w:rPr>
                <w:rFonts w:ascii="NewsGoth BT" w:hAnsi="NewsGoth BT" w:cs="Calibri"/>
                <w:sz w:val="20"/>
                <w:szCs w:val="20"/>
                <w:lang w:eastAsia="en-GB"/>
              </w:rPr>
              <w:t>,000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Deregistration threshold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80</w:t>
            </w: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E10B77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81</w:t>
            </w:r>
            <w:r w:rsidR="00AA3B95">
              <w:rPr>
                <w:rFonts w:ascii="NewsGoth BT" w:hAnsi="NewsGoth BT" w:cs="Calibri"/>
                <w:sz w:val="20"/>
                <w:szCs w:val="20"/>
                <w:lang w:eastAsia="en-GB"/>
              </w:rPr>
              <w:t>,000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Cash accounting scheme</w:t>
            </w:r>
            <w:r w:rsidR="008560DF">
              <w:rPr>
                <w:rFonts w:ascii="NewsGoth BT" w:hAnsi="NewsGoth BT"/>
                <w:sz w:val="20"/>
                <w:szCs w:val="20"/>
                <w:lang w:eastAsia="en-GB"/>
              </w:rPr>
              <w:t xml:space="preserve">  -maximum to join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1,350,000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1,350,000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Cash accounting scheme</w:t>
            </w:r>
            <w:r w:rsidR="008560DF">
              <w:rPr>
                <w:rFonts w:ascii="NewsGoth BT" w:hAnsi="NewsGoth BT"/>
                <w:sz w:val="20"/>
                <w:szCs w:val="20"/>
                <w:lang w:eastAsia="en-GB"/>
              </w:rPr>
              <w:t xml:space="preserve"> - 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 exit threshold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8560D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1,600,000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8560D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1,600,000</w:t>
            </w:r>
          </w:p>
        </w:tc>
      </w:tr>
      <w:tr w:rsidR="00AA3B95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AA3B95" w:rsidRPr="0071035C" w:rsidRDefault="00AA3B95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Annual accounting scheme</w:t>
            </w:r>
            <w:r w:rsidR="008560DF">
              <w:rPr>
                <w:rFonts w:ascii="NewsGoth BT" w:hAnsi="NewsGoth BT"/>
                <w:sz w:val="20"/>
                <w:szCs w:val="20"/>
                <w:lang w:eastAsia="en-GB"/>
              </w:rPr>
              <w:t xml:space="preserve"> – maximum to join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1,350,000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AA3B95" w:rsidRPr="0071035C" w:rsidRDefault="00AA3B95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1,350,000</w:t>
            </w:r>
          </w:p>
        </w:tc>
      </w:tr>
      <w:tr w:rsidR="008560DF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8560DF" w:rsidRPr="0071035C" w:rsidRDefault="008560DF" w:rsidP="008560DF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8560DF">
              <w:rPr>
                <w:rFonts w:ascii="NewsGoth BT" w:hAnsi="NewsGoth BT"/>
                <w:sz w:val="20"/>
                <w:szCs w:val="20"/>
                <w:lang w:eastAsia="en-GB"/>
              </w:rPr>
              <w:t xml:space="preserve">Annual accounting scheme – 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>exit threshold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8560DF" w:rsidRPr="0071035C" w:rsidRDefault="008560DF" w:rsidP="008560DF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1,600,000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8560DF" w:rsidRPr="0071035C" w:rsidRDefault="008560DF" w:rsidP="008560DF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>
              <w:rPr>
                <w:rFonts w:ascii="NewsGoth BT" w:hAnsi="NewsGoth BT" w:cs="Calibri"/>
                <w:sz w:val="20"/>
                <w:szCs w:val="20"/>
                <w:lang w:eastAsia="en-GB"/>
              </w:rPr>
              <w:t>1,600,000</w:t>
            </w:r>
          </w:p>
        </w:tc>
      </w:tr>
      <w:tr w:rsidR="008560DF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8560DF" w:rsidRPr="0071035C" w:rsidRDefault="008560DF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Flat rate scheme</w:t>
            </w:r>
            <w:r>
              <w:rPr>
                <w:rFonts w:ascii="NewsGoth BT" w:hAnsi="NewsGoth BT"/>
                <w:sz w:val="20"/>
                <w:szCs w:val="20"/>
                <w:lang w:eastAsia="en-GB"/>
              </w:rPr>
              <w:t xml:space="preserve"> – maximum allowed to join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8560DF" w:rsidRPr="0071035C" w:rsidRDefault="008560D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150,000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8560DF" w:rsidRPr="0071035C" w:rsidRDefault="008560D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150,000</w:t>
            </w:r>
          </w:p>
        </w:tc>
      </w:tr>
      <w:tr w:rsidR="008560DF" w:rsidRPr="0071035C" w:rsidTr="00E10B77">
        <w:trPr>
          <w:trHeight w:val="255"/>
        </w:trPr>
        <w:tc>
          <w:tcPr>
            <w:tcW w:w="6071" w:type="dxa"/>
            <w:gridSpan w:val="5"/>
            <w:noWrap/>
            <w:vAlign w:val="bottom"/>
          </w:tcPr>
          <w:p w:rsidR="008560DF" w:rsidRPr="0071035C" w:rsidRDefault="008560DF" w:rsidP="005B7B85">
            <w:pPr>
              <w:rPr>
                <w:rFonts w:ascii="NewsGoth BT" w:hAnsi="NewsGoth BT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/>
                <w:sz w:val="20"/>
                <w:szCs w:val="20"/>
                <w:lang w:eastAsia="en-GB"/>
              </w:rPr>
              <w:t>Flat rate scheme exit threshold</w:t>
            </w:r>
          </w:p>
        </w:tc>
        <w:tc>
          <w:tcPr>
            <w:tcW w:w="1784" w:type="dxa"/>
            <w:gridSpan w:val="4"/>
            <w:noWrap/>
            <w:vAlign w:val="bottom"/>
          </w:tcPr>
          <w:p w:rsidR="008560DF" w:rsidRPr="0071035C" w:rsidRDefault="008560D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230,000</w:t>
            </w:r>
          </w:p>
        </w:tc>
        <w:tc>
          <w:tcPr>
            <w:tcW w:w="1907" w:type="dxa"/>
            <w:gridSpan w:val="5"/>
            <w:noWrap/>
            <w:vAlign w:val="bottom"/>
          </w:tcPr>
          <w:p w:rsidR="008560DF" w:rsidRPr="0071035C" w:rsidRDefault="008560DF" w:rsidP="005B7B85">
            <w:pPr>
              <w:jc w:val="center"/>
              <w:rPr>
                <w:rFonts w:ascii="NewsGoth BT" w:hAnsi="NewsGoth BT" w:cs="Calibri"/>
                <w:sz w:val="20"/>
                <w:szCs w:val="20"/>
                <w:lang w:eastAsia="en-GB"/>
              </w:rPr>
            </w:pPr>
            <w:r w:rsidRPr="0071035C">
              <w:rPr>
                <w:rFonts w:ascii="NewsGoth BT" w:hAnsi="NewsGoth BT" w:cs="Calibri"/>
                <w:sz w:val="20"/>
                <w:szCs w:val="20"/>
                <w:lang w:eastAsia="en-GB"/>
              </w:rPr>
              <w:t>230,000</w:t>
            </w:r>
          </w:p>
        </w:tc>
      </w:tr>
      <w:tr w:rsidR="0092524D" w:rsidRPr="006E16AF" w:rsidTr="00E10B77">
        <w:trPr>
          <w:gridAfter w:val="1"/>
          <w:wAfter w:w="28" w:type="dxa"/>
          <w:trHeight w:val="255"/>
        </w:trPr>
        <w:tc>
          <w:tcPr>
            <w:tcW w:w="9734" w:type="dxa"/>
            <w:gridSpan w:val="13"/>
            <w:shd w:val="clear" w:color="auto" w:fill="D9D9D9"/>
            <w:noWrap/>
            <w:vAlign w:val="bottom"/>
          </w:tcPr>
          <w:p w:rsidR="0092524D" w:rsidRPr="00B824B3" w:rsidRDefault="0092524D" w:rsidP="006979DE">
            <w:pPr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B824B3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Annual Tax on Enveloped Dwellings (ATED)</w:t>
            </w:r>
          </w:p>
        </w:tc>
      </w:tr>
      <w:tr w:rsidR="00DD4933" w:rsidRPr="006E16AF" w:rsidTr="00E10B77">
        <w:trPr>
          <w:gridAfter w:val="1"/>
          <w:wAfter w:w="28" w:type="dxa"/>
          <w:trHeight w:val="255"/>
        </w:trPr>
        <w:tc>
          <w:tcPr>
            <w:tcW w:w="5799" w:type="dxa"/>
            <w:gridSpan w:val="4"/>
            <w:noWrap/>
            <w:vAlign w:val="bottom"/>
          </w:tcPr>
          <w:p w:rsidR="00DD4933" w:rsidRPr="00174D61" w:rsidRDefault="00DD4933" w:rsidP="00D31604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More than £0.5m but not more than £1m</w:t>
            </w:r>
          </w:p>
        </w:tc>
        <w:tc>
          <w:tcPr>
            <w:tcW w:w="1682" w:type="dxa"/>
            <w:gridSpan w:val="4"/>
            <w:noWrap/>
            <w:vAlign w:val="bottom"/>
          </w:tcPr>
          <w:p w:rsidR="00DD4933" w:rsidRDefault="00DD4933" w:rsidP="00C02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253" w:type="dxa"/>
            <w:gridSpan w:val="5"/>
            <w:noWrap/>
            <w:vAlign w:val="bottom"/>
          </w:tcPr>
          <w:p w:rsidR="00DD4933" w:rsidRPr="006E16AF" w:rsidRDefault="00DD4933" w:rsidP="006979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4933">
              <w:rPr>
                <w:rFonts w:ascii="Calibri" w:hAnsi="Calibri" w:cs="Calibri"/>
                <w:sz w:val="20"/>
                <w:szCs w:val="20"/>
              </w:rPr>
              <w:t>£3,500</w:t>
            </w:r>
          </w:p>
        </w:tc>
      </w:tr>
      <w:tr w:rsidR="00DD4933" w:rsidRPr="006E16AF" w:rsidTr="00E10B77">
        <w:trPr>
          <w:gridAfter w:val="1"/>
          <w:wAfter w:w="28" w:type="dxa"/>
          <w:trHeight w:val="255"/>
        </w:trPr>
        <w:tc>
          <w:tcPr>
            <w:tcW w:w="5799" w:type="dxa"/>
            <w:gridSpan w:val="4"/>
            <w:noWrap/>
            <w:vAlign w:val="bottom"/>
          </w:tcPr>
          <w:p w:rsidR="00DD4933" w:rsidRPr="00174D61" w:rsidRDefault="00DD4933" w:rsidP="006979DE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More than £1m but not more than £2m</w:t>
            </w:r>
          </w:p>
        </w:tc>
        <w:tc>
          <w:tcPr>
            <w:tcW w:w="1682" w:type="dxa"/>
            <w:gridSpan w:val="4"/>
            <w:noWrap/>
            <w:vAlign w:val="bottom"/>
          </w:tcPr>
          <w:p w:rsidR="00DD4933" w:rsidRPr="006E16AF" w:rsidRDefault="00DD4933" w:rsidP="00C02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£7,000</w:t>
            </w:r>
          </w:p>
        </w:tc>
        <w:tc>
          <w:tcPr>
            <w:tcW w:w="2253" w:type="dxa"/>
            <w:gridSpan w:val="5"/>
            <w:noWrap/>
            <w:vAlign w:val="bottom"/>
          </w:tcPr>
          <w:p w:rsidR="00DD4933" w:rsidRPr="006E16AF" w:rsidRDefault="00DD4933" w:rsidP="00D316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£7,000</w:t>
            </w:r>
          </w:p>
        </w:tc>
      </w:tr>
      <w:tr w:rsidR="00DD4933" w:rsidRPr="006E16AF" w:rsidTr="00E10B77">
        <w:trPr>
          <w:gridAfter w:val="1"/>
          <w:wAfter w:w="28" w:type="dxa"/>
          <w:trHeight w:val="255"/>
        </w:trPr>
        <w:tc>
          <w:tcPr>
            <w:tcW w:w="5799" w:type="dxa"/>
            <w:gridSpan w:val="4"/>
            <w:noWrap/>
            <w:vAlign w:val="bottom"/>
          </w:tcPr>
          <w:p w:rsidR="00DD4933" w:rsidRPr="00174D61" w:rsidRDefault="00DD4933" w:rsidP="006979DE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More than £2m but not more than £5m</w:t>
            </w:r>
          </w:p>
        </w:tc>
        <w:tc>
          <w:tcPr>
            <w:tcW w:w="1682" w:type="dxa"/>
            <w:gridSpan w:val="4"/>
            <w:noWrap/>
            <w:vAlign w:val="bottom"/>
          </w:tcPr>
          <w:p w:rsidR="00DD4933" w:rsidRPr="006E16AF" w:rsidRDefault="00DD4933" w:rsidP="00C02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£23,350</w:t>
            </w:r>
          </w:p>
        </w:tc>
        <w:tc>
          <w:tcPr>
            <w:tcW w:w="2253" w:type="dxa"/>
            <w:gridSpan w:val="5"/>
            <w:noWrap/>
            <w:vAlign w:val="bottom"/>
          </w:tcPr>
          <w:p w:rsidR="00DD4933" w:rsidRPr="006E16AF" w:rsidRDefault="00DD4933" w:rsidP="00D316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£23,350</w:t>
            </w:r>
          </w:p>
        </w:tc>
      </w:tr>
      <w:tr w:rsidR="00DD4933" w:rsidRPr="006E16AF" w:rsidTr="00E10B77">
        <w:trPr>
          <w:gridAfter w:val="1"/>
          <w:wAfter w:w="28" w:type="dxa"/>
          <w:trHeight w:val="255"/>
        </w:trPr>
        <w:tc>
          <w:tcPr>
            <w:tcW w:w="5799" w:type="dxa"/>
            <w:gridSpan w:val="4"/>
            <w:noWrap/>
            <w:vAlign w:val="bottom"/>
          </w:tcPr>
          <w:p w:rsidR="00DD4933" w:rsidRPr="00174D61" w:rsidRDefault="00DD4933" w:rsidP="006979DE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More than £5m but not more than £10m</w:t>
            </w:r>
          </w:p>
        </w:tc>
        <w:tc>
          <w:tcPr>
            <w:tcW w:w="1682" w:type="dxa"/>
            <w:gridSpan w:val="4"/>
            <w:noWrap/>
            <w:vAlign w:val="bottom"/>
          </w:tcPr>
          <w:p w:rsidR="00DD4933" w:rsidRPr="006E16AF" w:rsidRDefault="00DD4933" w:rsidP="00C02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£54,450</w:t>
            </w:r>
          </w:p>
        </w:tc>
        <w:tc>
          <w:tcPr>
            <w:tcW w:w="2253" w:type="dxa"/>
            <w:gridSpan w:val="5"/>
            <w:noWrap/>
            <w:vAlign w:val="bottom"/>
          </w:tcPr>
          <w:p w:rsidR="00DD4933" w:rsidRPr="006E16AF" w:rsidRDefault="00DD4933" w:rsidP="00D316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£54,450</w:t>
            </w:r>
          </w:p>
        </w:tc>
      </w:tr>
      <w:tr w:rsidR="00DD4933" w:rsidRPr="006E16AF" w:rsidTr="00E10B77">
        <w:trPr>
          <w:gridAfter w:val="1"/>
          <w:wAfter w:w="28" w:type="dxa"/>
          <w:trHeight w:val="255"/>
        </w:trPr>
        <w:tc>
          <w:tcPr>
            <w:tcW w:w="5799" w:type="dxa"/>
            <w:gridSpan w:val="4"/>
            <w:noWrap/>
            <w:vAlign w:val="bottom"/>
          </w:tcPr>
          <w:p w:rsidR="00DD4933" w:rsidRPr="00174D61" w:rsidRDefault="00DD4933" w:rsidP="006979DE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More than £10m but not more than £20m</w:t>
            </w:r>
          </w:p>
        </w:tc>
        <w:tc>
          <w:tcPr>
            <w:tcW w:w="1682" w:type="dxa"/>
            <w:gridSpan w:val="4"/>
            <w:noWrap/>
            <w:vAlign w:val="bottom"/>
          </w:tcPr>
          <w:p w:rsidR="00DD4933" w:rsidRPr="006E16AF" w:rsidRDefault="00DD4933" w:rsidP="00C02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£109,050</w:t>
            </w:r>
          </w:p>
        </w:tc>
        <w:tc>
          <w:tcPr>
            <w:tcW w:w="2253" w:type="dxa"/>
            <w:gridSpan w:val="5"/>
            <w:noWrap/>
            <w:vAlign w:val="bottom"/>
          </w:tcPr>
          <w:p w:rsidR="00DD4933" w:rsidRPr="006E16AF" w:rsidRDefault="00DD4933" w:rsidP="00D316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£109,050</w:t>
            </w:r>
          </w:p>
        </w:tc>
      </w:tr>
      <w:tr w:rsidR="00DD4933" w:rsidRPr="006E16AF" w:rsidTr="00E10B77">
        <w:trPr>
          <w:gridAfter w:val="1"/>
          <w:wAfter w:w="28" w:type="dxa"/>
          <w:trHeight w:val="255"/>
        </w:trPr>
        <w:tc>
          <w:tcPr>
            <w:tcW w:w="5799" w:type="dxa"/>
            <w:gridSpan w:val="4"/>
            <w:noWrap/>
            <w:vAlign w:val="bottom"/>
          </w:tcPr>
          <w:p w:rsidR="00DD4933" w:rsidRPr="00174D61" w:rsidRDefault="00DD4933" w:rsidP="006979DE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More than £20m</w:t>
            </w:r>
          </w:p>
        </w:tc>
        <w:tc>
          <w:tcPr>
            <w:tcW w:w="1682" w:type="dxa"/>
            <w:gridSpan w:val="4"/>
            <w:noWrap/>
            <w:vAlign w:val="bottom"/>
          </w:tcPr>
          <w:p w:rsidR="00DD4933" w:rsidRPr="006E16AF" w:rsidRDefault="00DD4933" w:rsidP="00C02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£218,200</w:t>
            </w:r>
          </w:p>
        </w:tc>
        <w:tc>
          <w:tcPr>
            <w:tcW w:w="2253" w:type="dxa"/>
            <w:gridSpan w:val="5"/>
            <w:noWrap/>
            <w:vAlign w:val="bottom"/>
          </w:tcPr>
          <w:p w:rsidR="00DD4933" w:rsidRPr="006E16AF" w:rsidRDefault="00DD4933" w:rsidP="00D316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£218,200</w:t>
            </w:r>
          </w:p>
        </w:tc>
      </w:tr>
    </w:tbl>
    <w:p w:rsidR="0071035C" w:rsidRPr="0071035C" w:rsidRDefault="0071035C" w:rsidP="00A9206E">
      <w:pPr>
        <w:pStyle w:val="PlainText"/>
        <w:rPr>
          <w:rFonts w:ascii="NewsGoth BT" w:hAnsi="NewsGoth BT" w:cs="News Gothic MT"/>
          <w:b/>
          <w:bCs w:val="0"/>
          <w:spacing w:val="0"/>
          <w:lang w:eastAsia="en-GB"/>
        </w:rPr>
      </w:pPr>
    </w:p>
    <w:p w:rsidR="0071035C" w:rsidRDefault="0071035C" w:rsidP="00A9206E">
      <w:pPr>
        <w:pStyle w:val="PlainText"/>
        <w:rPr>
          <w:rFonts w:ascii="NewsGoth BT" w:hAnsi="NewsGoth BT" w:cs="News Gothic MT"/>
          <w:b/>
          <w:bCs w:val="0"/>
          <w:spacing w:val="0"/>
          <w:sz w:val="24"/>
          <w:szCs w:val="24"/>
          <w:lang w:eastAsia="en-GB"/>
        </w:rPr>
      </w:pPr>
    </w:p>
    <w:p w:rsidR="00F435AF" w:rsidRPr="00F435AF" w:rsidRDefault="00F435AF" w:rsidP="00A9206E">
      <w:pPr>
        <w:pStyle w:val="PlainText"/>
        <w:rPr>
          <w:rFonts w:ascii="NewsGoth BT" w:hAnsi="NewsGoth BT" w:cs="News Gothic MT"/>
          <w:b/>
          <w:bCs w:val="0"/>
          <w:spacing w:val="0"/>
          <w:sz w:val="24"/>
          <w:szCs w:val="24"/>
          <w:lang w:eastAsia="en-GB"/>
        </w:rPr>
      </w:pPr>
    </w:p>
    <w:p w:rsidR="00D221EE" w:rsidRPr="0071035C" w:rsidRDefault="00D221EE" w:rsidP="00A9206E">
      <w:pPr>
        <w:pStyle w:val="PlainText"/>
        <w:rPr>
          <w:rFonts w:ascii="Arial" w:hAnsi="Arial" w:cs="Arial"/>
          <w:b/>
          <w:bCs w:val="0"/>
          <w:spacing w:val="0"/>
          <w:lang w:eastAsia="en-GB"/>
        </w:rPr>
      </w:pPr>
      <w:r w:rsidRPr="0071035C">
        <w:rPr>
          <w:rFonts w:ascii="Arial" w:hAnsi="Arial" w:cs="Arial"/>
          <w:b/>
          <w:bCs w:val="0"/>
          <w:spacing w:val="0"/>
          <w:lang w:eastAsia="en-GB"/>
        </w:rPr>
        <w:t>ACCA LEGAL NOTICE</w:t>
      </w:r>
    </w:p>
    <w:p w:rsidR="00D221EE" w:rsidRPr="0071035C" w:rsidRDefault="00D221EE" w:rsidP="00A9206E">
      <w:pPr>
        <w:pStyle w:val="PlainText"/>
        <w:rPr>
          <w:rFonts w:ascii="Arial" w:hAnsi="Arial" w:cs="Arial"/>
          <w:bCs w:val="0"/>
          <w:spacing w:val="0"/>
        </w:rPr>
      </w:pPr>
      <w:r w:rsidRPr="0071035C">
        <w:rPr>
          <w:rFonts w:ascii="Arial" w:hAnsi="Arial" w:cs="Arial"/>
          <w:bCs w:val="0"/>
          <w:spacing w:val="0"/>
        </w:rPr>
        <w:t xml:space="preserve">This is a basic guide prepared by </w:t>
      </w:r>
      <w:r w:rsidRPr="0071035C">
        <w:rPr>
          <w:rStyle w:val="Emphasis"/>
          <w:rFonts w:ascii="Arial" w:hAnsi="Arial" w:cs="Arial"/>
          <w:bCs w:val="0"/>
          <w:iCs w:val="0"/>
          <w:spacing w:val="0"/>
        </w:rPr>
        <w:t>ACCA UK</w:t>
      </w:r>
      <w:r w:rsidRPr="0071035C">
        <w:rPr>
          <w:rFonts w:ascii="Arial" w:hAnsi="Arial" w:cs="Arial"/>
          <w:bCs w:val="0"/>
          <w:spacing w:val="0"/>
        </w:rPr>
        <w:t>'s Technical Advisory Service for members and their clients. It should not be used as a definitive guide, since individual circumstances may vary. Specific advice should be obtained, where necessary.</w:t>
      </w:r>
    </w:p>
    <w:sectPr w:rsidR="00D221EE" w:rsidRPr="0071035C" w:rsidSect="004E05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C4" w:rsidRDefault="00393FC4">
      <w:r>
        <w:separator/>
      </w:r>
    </w:p>
  </w:endnote>
  <w:endnote w:type="continuationSeparator" w:id="0">
    <w:p w:rsidR="00393FC4" w:rsidRDefault="003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tional 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News Gothic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77" w:rsidRDefault="00E10B77">
    <w:pPr>
      <w:pStyle w:val="Footer"/>
    </w:pPr>
  </w:p>
  <w:p w:rsidR="00E10B77" w:rsidRDefault="00E10B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77" w:rsidRDefault="00E10B77">
    <w:pPr>
      <w:pStyle w:val="Footer"/>
      <w:jc w:val="center"/>
      <w:rPr>
        <w:rFonts w:ascii="NewsGoth BT" w:hAnsi="NewsGoth BT"/>
        <w:sz w:val="20"/>
        <w:szCs w:val="20"/>
      </w:rPr>
    </w:pPr>
  </w:p>
  <w:p w:rsidR="00E10B77" w:rsidRPr="004E0550" w:rsidRDefault="00E10B77">
    <w:pPr>
      <w:pStyle w:val="Footer"/>
      <w:jc w:val="center"/>
      <w:rPr>
        <w:rFonts w:ascii="Arial" w:hAnsi="Arial" w:cs="Arial"/>
        <w:sz w:val="20"/>
        <w:szCs w:val="20"/>
      </w:rPr>
    </w:pPr>
    <w:r w:rsidRPr="004E0550">
      <w:rPr>
        <w:rFonts w:ascii="Arial" w:hAnsi="Arial" w:cs="Arial"/>
        <w:sz w:val="20"/>
        <w:szCs w:val="20"/>
      </w:rPr>
      <w:fldChar w:fldCharType="begin"/>
    </w:r>
    <w:r w:rsidRPr="004E0550">
      <w:rPr>
        <w:rFonts w:ascii="Arial" w:hAnsi="Arial" w:cs="Arial"/>
        <w:sz w:val="20"/>
        <w:szCs w:val="20"/>
      </w:rPr>
      <w:instrText xml:space="preserve"> PAGE   \* MERGEFORMAT </w:instrText>
    </w:r>
    <w:r w:rsidRPr="004E0550">
      <w:rPr>
        <w:rFonts w:ascii="Arial" w:hAnsi="Arial" w:cs="Arial"/>
        <w:sz w:val="20"/>
        <w:szCs w:val="20"/>
      </w:rPr>
      <w:fldChar w:fldCharType="separate"/>
    </w:r>
    <w:r w:rsidR="00A630D4">
      <w:rPr>
        <w:rFonts w:ascii="Arial" w:hAnsi="Arial" w:cs="Arial"/>
        <w:noProof/>
        <w:sz w:val="20"/>
        <w:szCs w:val="20"/>
      </w:rPr>
      <w:t>1</w:t>
    </w:r>
    <w:r w:rsidRPr="004E0550">
      <w:rPr>
        <w:rFonts w:ascii="Arial" w:hAnsi="Arial" w:cs="Arial"/>
        <w:sz w:val="20"/>
        <w:szCs w:val="20"/>
      </w:rPr>
      <w:fldChar w:fldCharType="end"/>
    </w:r>
  </w:p>
  <w:p w:rsidR="00E10B77" w:rsidRPr="009118B9" w:rsidRDefault="00E10B77" w:rsidP="009118B9">
    <w:pPr>
      <w:pStyle w:val="Footer"/>
      <w:rPr>
        <w:szCs w:val="16"/>
      </w:rPr>
    </w:pPr>
  </w:p>
  <w:p w:rsidR="00E10B77" w:rsidRDefault="00E10B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77" w:rsidRDefault="00E10B77">
    <w:pPr>
      <w:pStyle w:val="Footer"/>
      <w:jc w:val="center"/>
    </w:pPr>
  </w:p>
  <w:p w:rsidR="00E10B77" w:rsidRPr="005372AA" w:rsidRDefault="00E10B77" w:rsidP="00060939">
    <w:pPr>
      <w:pStyle w:val="Footer"/>
      <w:jc w:val="center"/>
      <w:rPr>
        <w:rFonts w:ascii="Arial" w:hAnsi="Arial" w:cs="Arial"/>
        <w:sz w:val="20"/>
        <w:szCs w:val="20"/>
      </w:rPr>
    </w:pPr>
    <w:r w:rsidRPr="005372AA">
      <w:rPr>
        <w:rFonts w:ascii="Arial" w:hAnsi="Arial" w:cs="Arial"/>
        <w:sz w:val="20"/>
        <w:szCs w:val="20"/>
      </w:rPr>
      <w:fldChar w:fldCharType="begin"/>
    </w:r>
    <w:r w:rsidRPr="005372AA">
      <w:rPr>
        <w:rFonts w:ascii="Arial" w:hAnsi="Arial" w:cs="Arial"/>
        <w:sz w:val="20"/>
        <w:szCs w:val="20"/>
      </w:rPr>
      <w:instrText xml:space="preserve"> PAGE   \* MERGEFORMAT </w:instrText>
    </w:r>
    <w:r w:rsidRPr="005372A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5372AA">
      <w:rPr>
        <w:rFonts w:ascii="Arial" w:hAnsi="Arial" w:cs="Arial"/>
        <w:sz w:val="20"/>
        <w:szCs w:val="20"/>
      </w:rPr>
      <w:fldChar w:fldCharType="end"/>
    </w:r>
  </w:p>
  <w:p w:rsidR="00E10B77" w:rsidRDefault="00E10B77">
    <w:pPr>
      <w:pStyle w:val="Footer"/>
    </w:pPr>
  </w:p>
  <w:p w:rsidR="00E10B77" w:rsidRDefault="00E10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C4" w:rsidRDefault="00393FC4">
      <w:r>
        <w:separator/>
      </w:r>
    </w:p>
  </w:footnote>
  <w:footnote w:type="continuationSeparator" w:id="0">
    <w:p w:rsidR="00393FC4" w:rsidRDefault="0039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77" w:rsidRDefault="00E10B77">
    <w:pPr>
      <w:pStyle w:val="Header"/>
    </w:pPr>
  </w:p>
  <w:p w:rsidR="00E10B77" w:rsidRDefault="00E10B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77" w:rsidRDefault="00E10B77" w:rsidP="001B6823">
    <w:pPr>
      <w:pStyle w:val="Header"/>
      <w:tabs>
        <w:tab w:val="clear" w:pos="4153"/>
        <w:tab w:val="clear" w:pos="8306"/>
        <w:tab w:val="left" w:pos="567"/>
      </w:tabs>
    </w:pPr>
  </w:p>
  <w:p w:rsidR="00E10B77" w:rsidRDefault="00E10B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77" w:rsidRDefault="00E10B77" w:rsidP="007C1796">
    <w:pPr>
      <w:tabs>
        <w:tab w:val="left" w:pos="549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8C4E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E51FC"/>
    <w:multiLevelType w:val="hybridMultilevel"/>
    <w:tmpl w:val="F63E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5D15"/>
    <w:multiLevelType w:val="hybridMultilevel"/>
    <w:tmpl w:val="8E3E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F521F"/>
    <w:multiLevelType w:val="hybridMultilevel"/>
    <w:tmpl w:val="8C60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C4D63"/>
    <w:multiLevelType w:val="hybridMultilevel"/>
    <w:tmpl w:val="48D0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956AE"/>
    <w:multiLevelType w:val="hybridMultilevel"/>
    <w:tmpl w:val="575AA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14084"/>
    <w:multiLevelType w:val="hybridMultilevel"/>
    <w:tmpl w:val="88F81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77FB7"/>
    <w:multiLevelType w:val="hybridMultilevel"/>
    <w:tmpl w:val="3F95F8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764BE3"/>
    <w:multiLevelType w:val="hybridMultilevel"/>
    <w:tmpl w:val="00E48E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2F1048E"/>
    <w:multiLevelType w:val="multilevel"/>
    <w:tmpl w:val="DCDC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E1927"/>
    <w:multiLevelType w:val="hybridMultilevel"/>
    <w:tmpl w:val="38E62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FFF68AC"/>
    <w:multiLevelType w:val="hybridMultilevel"/>
    <w:tmpl w:val="BC746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1953F9B"/>
    <w:multiLevelType w:val="hybridMultilevel"/>
    <w:tmpl w:val="C00E5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C51C0"/>
    <w:multiLevelType w:val="hybridMultilevel"/>
    <w:tmpl w:val="FCAE4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9F7375"/>
    <w:multiLevelType w:val="hybridMultilevel"/>
    <w:tmpl w:val="25FA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C77B8"/>
    <w:multiLevelType w:val="hybridMultilevel"/>
    <w:tmpl w:val="89EA69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622760"/>
    <w:multiLevelType w:val="hybridMultilevel"/>
    <w:tmpl w:val="75FE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6483E"/>
    <w:multiLevelType w:val="hybridMultilevel"/>
    <w:tmpl w:val="6D6C21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6"/>
  </w:num>
  <w:num w:numId="5">
    <w:abstractNumId w:val="12"/>
  </w:num>
  <w:num w:numId="6">
    <w:abstractNumId w:val="17"/>
  </w:num>
  <w:num w:numId="7">
    <w:abstractNumId w:val="8"/>
  </w:num>
  <w:num w:numId="8">
    <w:abstractNumId w:val="14"/>
  </w:num>
  <w:num w:numId="9">
    <w:abstractNumId w:val="1"/>
  </w:num>
  <w:num w:numId="10">
    <w:abstractNumId w:val="16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11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92"/>
    <w:rsid w:val="00007AE1"/>
    <w:rsid w:val="00013D0B"/>
    <w:rsid w:val="0001625D"/>
    <w:rsid w:val="00025A47"/>
    <w:rsid w:val="00031A0E"/>
    <w:rsid w:val="0003488F"/>
    <w:rsid w:val="00036BD4"/>
    <w:rsid w:val="00037CC1"/>
    <w:rsid w:val="000459A6"/>
    <w:rsid w:val="00046F97"/>
    <w:rsid w:val="0005013F"/>
    <w:rsid w:val="00057961"/>
    <w:rsid w:val="00060939"/>
    <w:rsid w:val="000630E7"/>
    <w:rsid w:val="0007006F"/>
    <w:rsid w:val="00085CB0"/>
    <w:rsid w:val="00095B10"/>
    <w:rsid w:val="000A2BEE"/>
    <w:rsid w:val="000A3CD2"/>
    <w:rsid w:val="000D47E9"/>
    <w:rsid w:val="000E02F8"/>
    <w:rsid w:val="0014437D"/>
    <w:rsid w:val="00152A38"/>
    <w:rsid w:val="00162060"/>
    <w:rsid w:val="00162223"/>
    <w:rsid w:val="0016225D"/>
    <w:rsid w:val="001761E4"/>
    <w:rsid w:val="001874FC"/>
    <w:rsid w:val="00195EDC"/>
    <w:rsid w:val="001A0EEB"/>
    <w:rsid w:val="001A1CA6"/>
    <w:rsid w:val="001A3DC3"/>
    <w:rsid w:val="001A4A02"/>
    <w:rsid w:val="001A64D9"/>
    <w:rsid w:val="001B31D2"/>
    <w:rsid w:val="001B61BC"/>
    <w:rsid w:val="001B6823"/>
    <w:rsid w:val="001C6D3B"/>
    <w:rsid w:val="001D31AA"/>
    <w:rsid w:val="001D3C5F"/>
    <w:rsid w:val="001E1DA5"/>
    <w:rsid w:val="001F2E2E"/>
    <w:rsid w:val="001F4C21"/>
    <w:rsid w:val="0021156E"/>
    <w:rsid w:val="002373F5"/>
    <w:rsid w:val="002479BD"/>
    <w:rsid w:val="002551D4"/>
    <w:rsid w:val="00291383"/>
    <w:rsid w:val="002A103D"/>
    <w:rsid w:val="002A301C"/>
    <w:rsid w:val="002B3FD2"/>
    <w:rsid w:val="002B7CD6"/>
    <w:rsid w:val="002E4EAF"/>
    <w:rsid w:val="002E606F"/>
    <w:rsid w:val="002E73F0"/>
    <w:rsid w:val="002F2C38"/>
    <w:rsid w:val="003232C5"/>
    <w:rsid w:val="00334F7F"/>
    <w:rsid w:val="00336CF3"/>
    <w:rsid w:val="00340BCC"/>
    <w:rsid w:val="00346DBE"/>
    <w:rsid w:val="00377F50"/>
    <w:rsid w:val="00381251"/>
    <w:rsid w:val="00385E5E"/>
    <w:rsid w:val="00386035"/>
    <w:rsid w:val="0038631C"/>
    <w:rsid w:val="00393FC4"/>
    <w:rsid w:val="003A32DB"/>
    <w:rsid w:val="003A4AC4"/>
    <w:rsid w:val="003B55ED"/>
    <w:rsid w:val="003C5A3A"/>
    <w:rsid w:val="003C6F11"/>
    <w:rsid w:val="003E12E4"/>
    <w:rsid w:val="004157C1"/>
    <w:rsid w:val="00422F46"/>
    <w:rsid w:val="004243F1"/>
    <w:rsid w:val="00466BDB"/>
    <w:rsid w:val="00476A38"/>
    <w:rsid w:val="00480315"/>
    <w:rsid w:val="004A2007"/>
    <w:rsid w:val="004C708A"/>
    <w:rsid w:val="004D265C"/>
    <w:rsid w:val="004D3505"/>
    <w:rsid w:val="004D404D"/>
    <w:rsid w:val="004E0550"/>
    <w:rsid w:val="00502591"/>
    <w:rsid w:val="005031A5"/>
    <w:rsid w:val="00505F8C"/>
    <w:rsid w:val="0051350C"/>
    <w:rsid w:val="00513B4A"/>
    <w:rsid w:val="00526C5C"/>
    <w:rsid w:val="00532AE5"/>
    <w:rsid w:val="00536C1E"/>
    <w:rsid w:val="005372AA"/>
    <w:rsid w:val="00553C37"/>
    <w:rsid w:val="00560CA4"/>
    <w:rsid w:val="005672C4"/>
    <w:rsid w:val="005B3780"/>
    <w:rsid w:val="005B42A4"/>
    <w:rsid w:val="005B7B85"/>
    <w:rsid w:val="005C5E0B"/>
    <w:rsid w:val="005D335B"/>
    <w:rsid w:val="005E33AB"/>
    <w:rsid w:val="006019BC"/>
    <w:rsid w:val="00602074"/>
    <w:rsid w:val="0061195A"/>
    <w:rsid w:val="0063088E"/>
    <w:rsid w:val="006319B2"/>
    <w:rsid w:val="00632128"/>
    <w:rsid w:val="00641C68"/>
    <w:rsid w:val="00652287"/>
    <w:rsid w:val="00656202"/>
    <w:rsid w:val="006835F5"/>
    <w:rsid w:val="00686BEC"/>
    <w:rsid w:val="006979DE"/>
    <w:rsid w:val="006B57D6"/>
    <w:rsid w:val="006D6560"/>
    <w:rsid w:val="006E3CAE"/>
    <w:rsid w:val="006E532B"/>
    <w:rsid w:val="006F7583"/>
    <w:rsid w:val="007053BA"/>
    <w:rsid w:val="0071035C"/>
    <w:rsid w:val="00714129"/>
    <w:rsid w:val="00721BB1"/>
    <w:rsid w:val="0072504C"/>
    <w:rsid w:val="00733269"/>
    <w:rsid w:val="00741CCD"/>
    <w:rsid w:val="00742988"/>
    <w:rsid w:val="007624A7"/>
    <w:rsid w:val="007672FD"/>
    <w:rsid w:val="00770D54"/>
    <w:rsid w:val="00770E2D"/>
    <w:rsid w:val="007743BE"/>
    <w:rsid w:val="00786044"/>
    <w:rsid w:val="00796B1F"/>
    <w:rsid w:val="007A2402"/>
    <w:rsid w:val="007B0004"/>
    <w:rsid w:val="007B1385"/>
    <w:rsid w:val="007B4F3C"/>
    <w:rsid w:val="007B529A"/>
    <w:rsid w:val="007B5D94"/>
    <w:rsid w:val="007C1685"/>
    <w:rsid w:val="007C1796"/>
    <w:rsid w:val="007D2ACC"/>
    <w:rsid w:val="00802E8D"/>
    <w:rsid w:val="008135F4"/>
    <w:rsid w:val="00815B2E"/>
    <w:rsid w:val="00820E99"/>
    <w:rsid w:val="00826216"/>
    <w:rsid w:val="008418DD"/>
    <w:rsid w:val="00850550"/>
    <w:rsid w:val="008560DF"/>
    <w:rsid w:val="008765C2"/>
    <w:rsid w:val="00887248"/>
    <w:rsid w:val="008902BC"/>
    <w:rsid w:val="008929C2"/>
    <w:rsid w:val="00892B85"/>
    <w:rsid w:val="008A7D29"/>
    <w:rsid w:val="008B36A4"/>
    <w:rsid w:val="008C4287"/>
    <w:rsid w:val="008E1311"/>
    <w:rsid w:val="008E7D6C"/>
    <w:rsid w:val="008F0F66"/>
    <w:rsid w:val="008F537A"/>
    <w:rsid w:val="00901079"/>
    <w:rsid w:val="00903BB4"/>
    <w:rsid w:val="00905D49"/>
    <w:rsid w:val="009118B9"/>
    <w:rsid w:val="0091617C"/>
    <w:rsid w:val="009201E5"/>
    <w:rsid w:val="00921FDF"/>
    <w:rsid w:val="0092524D"/>
    <w:rsid w:val="009259AF"/>
    <w:rsid w:val="00933ACB"/>
    <w:rsid w:val="00935DB8"/>
    <w:rsid w:val="009375D9"/>
    <w:rsid w:val="009472B7"/>
    <w:rsid w:val="00952310"/>
    <w:rsid w:val="00955165"/>
    <w:rsid w:val="00956F78"/>
    <w:rsid w:val="0097688B"/>
    <w:rsid w:val="00992554"/>
    <w:rsid w:val="009A2483"/>
    <w:rsid w:val="009A7B4C"/>
    <w:rsid w:val="009D5501"/>
    <w:rsid w:val="00A149AA"/>
    <w:rsid w:val="00A42FBB"/>
    <w:rsid w:val="00A4433F"/>
    <w:rsid w:val="00A5302B"/>
    <w:rsid w:val="00A630D4"/>
    <w:rsid w:val="00A810D9"/>
    <w:rsid w:val="00A9206E"/>
    <w:rsid w:val="00AA3B95"/>
    <w:rsid w:val="00AC3977"/>
    <w:rsid w:val="00AD14CF"/>
    <w:rsid w:val="00AD240F"/>
    <w:rsid w:val="00AD4530"/>
    <w:rsid w:val="00AF5E27"/>
    <w:rsid w:val="00B01C95"/>
    <w:rsid w:val="00B03D0F"/>
    <w:rsid w:val="00B15BEC"/>
    <w:rsid w:val="00B1605D"/>
    <w:rsid w:val="00B210BB"/>
    <w:rsid w:val="00B22E3B"/>
    <w:rsid w:val="00B36D43"/>
    <w:rsid w:val="00B425EC"/>
    <w:rsid w:val="00B524BB"/>
    <w:rsid w:val="00B52CFA"/>
    <w:rsid w:val="00B55A1B"/>
    <w:rsid w:val="00B75AF4"/>
    <w:rsid w:val="00B814EC"/>
    <w:rsid w:val="00B81DE1"/>
    <w:rsid w:val="00B824B3"/>
    <w:rsid w:val="00B9036C"/>
    <w:rsid w:val="00BA6E65"/>
    <w:rsid w:val="00BB30C4"/>
    <w:rsid w:val="00BB3126"/>
    <w:rsid w:val="00BB3EF8"/>
    <w:rsid w:val="00BE501D"/>
    <w:rsid w:val="00BE6A4D"/>
    <w:rsid w:val="00C0204A"/>
    <w:rsid w:val="00C1486C"/>
    <w:rsid w:val="00C21D8F"/>
    <w:rsid w:val="00C30DCA"/>
    <w:rsid w:val="00C32192"/>
    <w:rsid w:val="00C35329"/>
    <w:rsid w:val="00C35B05"/>
    <w:rsid w:val="00C65D16"/>
    <w:rsid w:val="00C7381D"/>
    <w:rsid w:val="00C749CF"/>
    <w:rsid w:val="00C817AD"/>
    <w:rsid w:val="00C95F23"/>
    <w:rsid w:val="00C96B0F"/>
    <w:rsid w:val="00CA37C7"/>
    <w:rsid w:val="00CA4EE5"/>
    <w:rsid w:val="00CB070A"/>
    <w:rsid w:val="00CE1BCE"/>
    <w:rsid w:val="00D15870"/>
    <w:rsid w:val="00D221EE"/>
    <w:rsid w:val="00D31604"/>
    <w:rsid w:val="00D34860"/>
    <w:rsid w:val="00D43E48"/>
    <w:rsid w:val="00D5218C"/>
    <w:rsid w:val="00D77673"/>
    <w:rsid w:val="00D84AFC"/>
    <w:rsid w:val="00D921B1"/>
    <w:rsid w:val="00DA1EB0"/>
    <w:rsid w:val="00DB7A8B"/>
    <w:rsid w:val="00DD4933"/>
    <w:rsid w:val="00DD569B"/>
    <w:rsid w:val="00DD5FDB"/>
    <w:rsid w:val="00DE0295"/>
    <w:rsid w:val="00DE54B4"/>
    <w:rsid w:val="00E06FAB"/>
    <w:rsid w:val="00E10B77"/>
    <w:rsid w:val="00E145F5"/>
    <w:rsid w:val="00E2294D"/>
    <w:rsid w:val="00E37527"/>
    <w:rsid w:val="00E444F6"/>
    <w:rsid w:val="00E62049"/>
    <w:rsid w:val="00E80AB1"/>
    <w:rsid w:val="00E81588"/>
    <w:rsid w:val="00E91A10"/>
    <w:rsid w:val="00EB3139"/>
    <w:rsid w:val="00ED3989"/>
    <w:rsid w:val="00ED3FDC"/>
    <w:rsid w:val="00EE172F"/>
    <w:rsid w:val="00F0016F"/>
    <w:rsid w:val="00F05DB2"/>
    <w:rsid w:val="00F17069"/>
    <w:rsid w:val="00F26D59"/>
    <w:rsid w:val="00F435AF"/>
    <w:rsid w:val="00F52B6C"/>
    <w:rsid w:val="00F577C0"/>
    <w:rsid w:val="00F6414E"/>
    <w:rsid w:val="00F65AD2"/>
    <w:rsid w:val="00F75B2B"/>
    <w:rsid w:val="00F85240"/>
    <w:rsid w:val="00F92823"/>
    <w:rsid w:val="00FA50E0"/>
    <w:rsid w:val="00FC03B2"/>
    <w:rsid w:val="00FC077F"/>
    <w:rsid w:val="00FD48E5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F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D3FDC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D3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24BB"/>
    <w:rPr>
      <w:rFonts w:ascii="Tahoma" w:hAnsi="Tahoma" w:cs="Tahoma"/>
      <w:sz w:val="16"/>
      <w:szCs w:val="16"/>
    </w:rPr>
  </w:style>
  <w:style w:type="character" w:styleId="Hyperlink">
    <w:name w:val="Hyperlink"/>
    <w:rsid w:val="000A3CD2"/>
    <w:rPr>
      <w:rFonts w:cs="Times New Roman"/>
      <w:color w:val="0000FF"/>
      <w:u w:val="single"/>
    </w:rPr>
  </w:style>
  <w:style w:type="character" w:styleId="FollowedHyperlink">
    <w:name w:val="FollowedHyperlink"/>
    <w:rsid w:val="00162223"/>
    <w:rPr>
      <w:rFonts w:cs="Times New Roman"/>
      <w:color w:val="606420"/>
      <w:u w:val="single"/>
    </w:rPr>
  </w:style>
  <w:style w:type="paragraph" w:styleId="NormalWeb">
    <w:name w:val="Normal (Web)"/>
    <w:basedOn w:val="Normal"/>
    <w:uiPriority w:val="99"/>
    <w:rsid w:val="0016222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CE1B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E1B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810D9"/>
    <w:rPr>
      <w:rFonts w:cs="Times New Roman"/>
      <w:sz w:val="24"/>
      <w:szCs w:val="24"/>
      <w:lang w:val="x-none" w:eastAsia="en-US"/>
    </w:rPr>
  </w:style>
  <w:style w:type="character" w:customStyle="1" w:styleId="FooterChar">
    <w:name w:val="Footer Char"/>
    <w:link w:val="Footer"/>
    <w:locked/>
    <w:rsid w:val="00060939"/>
    <w:rPr>
      <w:rFonts w:cs="Times New Roman"/>
      <w:sz w:val="24"/>
      <w:szCs w:val="24"/>
      <w:lang w:val="x-none" w:eastAsia="en-US"/>
    </w:rPr>
  </w:style>
  <w:style w:type="character" w:styleId="Emphasis">
    <w:name w:val="Emphasis"/>
    <w:qFormat/>
    <w:rsid w:val="00ED3989"/>
    <w:rPr>
      <w:rFonts w:cs="Times New Roman"/>
      <w:i/>
      <w:iCs/>
    </w:rPr>
  </w:style>
  <w:style w:type="character" w:customStyle="1" w:styleId="Heading3Char">
    <w:name w:val="Heading 3 Char"/>
    <w:link w:val="Heading3"/>
    <w:locked/>
    <w:rsid w:val="00505F8C"/>
    <w:rPr>
      <w:rFonts w:ascii="Arial" w:hAnsi="Arial" w:cs="Arial"/>
      <w:b/>
      <w:bCs/>
      <w:sz w:val="26"/>
      <w:szCs w:val="26"/>
      <w:lang w:val="x-none" w:eastAsia="en-US"/>
    </w:rPr>
  </w:style>
  <w:style w:type="table" w:styleId="TableGrid">
    <w:name w:val="Table Grid"/>
    <w:basedOn w:val="TableNormal"/>
    <w:rsid w:val="0050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E1DA5"/>
    <w:rPr>
      <w:rFonts w:ascii="Gill Sans" w:hAnsi="Gill Sans" w:cs="Courier New"/>
      <w:bCs/>
      <w:spacing w:val="4"/>
      <w:sz w:val="20"/>
      <w:szCs w:val="20"/>
    </w:rPr>
  </w:style>
  <w:style w:type="character" w:customStyle="1" w:styleId="PlainTextChar">
    <w:name w:val="Plain Text Char"/>
    <w:link w:val="PlainText"/>
    <w:rsid w:val="001E1DA5"/>
    <w:rPr>
      <w:rFonts w:ascii="Gill Sans" w:hAnsi="Gill Sans" w:cs="Courier New"/>
      <w:bCs/>
      <w:spacing w:val="4"/>
      <w:lang w:val="en-GB" w:eastAsia="en-US" w:bidi="ar-SA"/>
    </w:rPr>
  </w:style>
  <w:style w:type="paragraph" w:customStyle="1" w:styleId="Default">
    <w:name w:val="Default"/>
    <w:rsid w:val="001E1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C1796"/>
    <w:pPr>
      <w:ind w:left="720"/>
    </w:pPr>
    <w:rPr>
      <w:rFonts w:eastAsia="Calibri"/>
      <w:lang w:eastAsia="en-GB"/>
    </w:rPr>
  </w:style>
  <w:style w:type="paragraph" w:customStyle="1" w:styleId="Pa1">
    <w:name w:val="Pa1"/>
    <w:basedOn w:val="Default"/>
    <w:next w:val="Default"/>
    <w:uiPriority w:val="99"/>
    <w:rsid w:val="007C1796"/>
    <w:pPr>
      <w:spacing w:line="201" w:lineRule="atLeast"/>
    </w:pPr>
    <w:rPr>
      <w:rFonts w:ascii="National Regular" w:eastAsia="Calibri" w:hAnsi="National Regular" w:cs="Times New Roman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7C1796"/>
    <w:pPr>
      <w:spacing w:line="201" w:lineRule="atLeast"/>
    </w:pPr>
    <w:rPr>
      <w:rFonts w:ascii="National Regular" w:eastAsia="Calibri" w:hAnsi="National Regular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F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D3FDC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D3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24BB"/>
    <w:rPr>
      <w:rFonts w:ascii="Tahoma" w:hAnsi="Tahoma" w:cs="Tahoma"/>
      <w:sz w:val="16"/>
      <w:szCs w:val="16"/>
    </w:rPr>
  </w:style>
  <w:style w:type="character" w:styleId="Hyperlink">
    <w:name w:val="Hyperlink"/>
    <w:rsid w:val="000A3CD2"/>
    <w:rPr>
      <w:rFonts w:cs="Times New Roman"/>
      <w:color w:val="0000FF"/>
      <w:u w:val="single"/>
    </w:rPr>
  </w:style>
  <w:style w:type="character" w:styleId="FollowedHyperlink">
    <w:name w:val="FollowedHyperlink"/>
    <w:rsid w:val="00162223"/>
    <w:rPr>
      <w:rFonts w:cs="Times New Roman"/>
      <w:color w:val="606420"/>
      <w:u w:val="single"/>
    </w:rPr>
  </w:style>
  <w:style w:type="paragraph" w:styleId="NormalWeb">
    <w:name w:val="Normal (Web)"/>
    <w:basedOn w:val="Normal"/>
    <w:uiPriority w:val="99"/>
    <w:rsid w:val="0016222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CE1B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E1B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810D9"/>
    <w:rPr>
      <w:rFonts w:cs="Times New Roman"/>
      <w:sz w:val="24"/>
      <w:szCs w:val="24"/>
      <w:lang w:val="x-none" w:eastAsia="en-US"/>
    </w:rPr>
  </w:style>
  <w:style w:type="character" w:customStyle="1" w:styleId="FooterChar">
    <w:name w:val="Footer Char"/>
    <w:link w:val="Footer"/>
    <w:locked/>
    <w:rsid w:val="00060939"/>
    <w:rPr>
      <w:rFonts w:cs="Times New Roman"/>
      <w:sz w:val="24"/>
      <w:szCs w:val="24"/>
      <w:lang w:val="x-none" w:eastAsia="en-US"/>
    </w:rPr>
  </w:style>
  <w:style w:type="character" w:styleId="Emphasis">
    <w:name w:val="Emphasis"/>
    <w:qFormat/>
    <w:rsid w:val="00ED3989"/>
    <w:rPr>
      <w:rFonts w:cs="Times New Roman"/>
      <w:i/>
      <w:iCs/>
    </w:rPr>
  </w:style>
  <w:style w:type="character" w:customStyle="1" w:styleId="Heading3Char">
    <w:name w:val="Heading 3 Char"/>
    <w:link w:val="Heading3"/>
    <w:locked/>
    <w:rsid w:val="00505F8C"/>
    <w:rPr>
      <w:rFonts w:ascii="Arial" w:hAnsi="Arial" w:cs="Arial"/>
      <w:b/>
      <w:bCs/>
      <w:sz w:val="26"/>
      <w:szCs w:val="26"/>
      <w:lang w:val="x-none" w:eastAsia="en-US"/>
    </w:rPr>
  </w:style>
  <w:style w:type="table" w:styleId="TableGrid">
    <w:name w:val="Table Grid"/>
    <w:basedOn w:val="TableNormal"/>
    <w:rsid w:val="0050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E1DA5"/>
    <w:rPr>
      <w:rFonts w:ascii="Gill Sans" w:hAnsi="Gill Sans" w:cs="Courier New"/>
      <w:bCs/>
      <w:spacing w:val="4"/>
      <w:sz w:val="20"/>
      <w:szCs w:val="20"/>
    </w:rPr>
  </w:style>
  <w:style w:type="character" w:customStyle="1" w:styleId="PlainTextChar">
    <w:name w:val="Plain Text Char"/>
    <w:link w:val="PlainText"/>
    <w:rsid w:val="001E1DA5"/>
    <w:rPr>
      <w:rFonts w:ascii="Gill Sans" w:hAnsi="Gill Sans" w:cs="Courier New"/>
      <w:bCs/>
      <w:spacing w:val="4"/>
      <w:lang w:val="en-GB" w:eastAsia="en-US" w:bidi="ar-SA"/>
    </w:rPr>
  </w:style>
  <w:style w:type="paragraph" w:customStyle="1" w:styleId="Default">
    <w:name w:val="Default"/>
    <w:rsid w:val="001E1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C1796"/>
    <w:pPr>
      <w:ind w:left="720"/>
    </w:pPr>
    <w:rPr>
      <w:rFonts w:eastAsia="Calibri"/>
      <w:lang w:eastAsia="en-GB"/>
    </w:rPr>
  </w:style>
  <w:style w:type="paragraph" w:customStyle="1" w:styleId="Pa1">
    <w:name w:val="Pa1"/>
    <w:basedOn w:val="Default"/>
    <w:next w:val="Default"/>
    <w:uiPriority w:val="99"/>
    <w:rsid w:val="007C1796"/>
    <w:pPr>
      <w:spacing w:line="201" w:lineRule="atLeast"/>
    </w:pPr>
    <w:rPr>
      <w:rFonts w:ascii="National Regular" w:eastAsia="Calibri" w:hAnsi="National Regular" w:cs="Times New Roman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7C1796"/>
    <w:pPr>
      <w:spacing w:line="201" w:lineRule="atLeast"/>
    </w:pPr>
    <w:rPr>
      <w:rFonts w:ascii="National Regular" w:eastAsia="Calibri" w:hAnsi="National Regular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45C76-CB1F-4758-BF02-E9FF5C5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ACCA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Fraser</dc:creator>
  <cp:lastModifiedBy>Paul work</cp:lastModifiedBy>
  <cp:revision>4</cp:revision>
  <cp:lastPrinted>2015-03-18T09:31:00Z</cp:lastPrinted>
  <dcterms:created xsi:type="dcterms:W3CDTF">2016-03-16T20:34:00Z</dcterms:created>
  <dcterms:modified xsi:type="dcterms:W3CDTF">2016-08-10T10:51:00Z</dcterms:modified>
</cp:coreProperties>
</file>