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5D20B" w14:textId="550DCB46" w:rsidR="001B3F6F" w:rsidRPr="00607A62" w:rsidRDefault="00607A62" w:rsidP="00607A62">
      <w:pPr>
        <w:pStyle w:val="NormalWeb"/>
        <w:shd w:val="clear" w:color="auto" w:fill="FFFFFF"/>
        <w:spacing w:after="120" w:afterAutospacing="0"/>
        <w:jc w:val="center"/>
        <w:rPr>
          <w:rFonts w:ascii="Book Antiqua" w:hAnsi="Book Antiqua" w:cs="Times"/>
          <w:b/>
          <w:color w:val="222222"/>
          <w:sz w:val="32"/>
          <w:szCs w:val="32"/>
        </w:rPr>
      </w:pPr>
      <w:r w:rsidRPr="00607A62">
        <w:rPr>
          <w:rFonts w:ascii="Book Antiqua" w:hAnsi="Book Antiqua" w:cs="Times"/>
          <w:b/>
          <w:color w:val="222222"/>
          <w:sz w:val="32"/>
          <w:szCs w:val="32"/>
        </w:rPr>
        <w:t>The Rockwood Agency Privacy Notice &amp; Security Protocol</w:t>
      </w:r>
    </w:p>
    <w:p w14:paraId="6B2EA763" w14:textId="512532AC" w:rsidR="001B3F6F" w:rsidRPr="001B3F6F" w:rsidRDefault="001B3F6F" w:rsidP="00607A62">
      <w:pPr>
        <w:pStyle w:val="NormalWeb"/>
        <w:shd w:val="clear" w:color="auto" w:fill="FFFFFF"/>
        <w:spacing w:before="240" w:beforeAutospacing="0" w:after="0" w:afterAutospacing="0"/>
        <w:rPr>
          <w:rFonts w:ascii="Book Antiqua" w:hAnsi="Book Antiqua" w:cs="Times"/>
          <w:color w:val="222222"/>
        </w:rPr>
      </w:pPr>
      <w:r w:rsidRPr="001B3F6F">
        <w:rPr>
          <w:rFonts w:ascii="Book Antiqua" w:hAnsi="Book Antiqua" w:cs="Helvetica"/>
          <w:b/>
          <w:bCs/>
          <w:color w:val="222222"/>
        </w:rPr>
        <w:t>Your Tax Information is Confidential</w:t>
      </w:r>
    </w:p>
    <w:p w14:paraId="77D87DA4" w14:textId="4C361CBD" w:rsidR="001B3F6F" w:rsidRPr="001B3F6F" w:rsidRDefault="001B3F6F" w:rsidP="00607A62">
      <w:pPr>
        <w:pStyle w:val="NormalWeb"/>
        <w:shd w:val="clear" w:color="auto" w:fill="FFFFFF"/>
        <w:spacing w:before="120" w:beforeAutospacing="0" w:after="120" w:afterAutospacing="0"/>
        <w:rPr>
          <w:rFonts w:ascii="Book Antiqua" w:hAnsi="Book Antiqua" w:cs="Times"/>
          <w:color w:val="222222"/>
          <w:sz w:val="22"/>
          <w:szCs w:val="22"/>
        </w:rPr>
      </w:pPr>
      <w:r w:rsidRPr="001B3F6F">
        <w:rPr>
          <w:rFonts w:ascii="Book Antiqua" w:hAnsi="Book Antiqua" w:cs="Times"/>
          <w:color w:val="222222"/>
          <w:sz w:val="22"/>
          <w:szCs w:val="22"/>
        </w:rPr>
        <w:t>Tax returns and tax return information are confidential and may not be disclosed to federal or state agencies, or to federal or state employees, or to any third party, except as provided by law</w:t>
      </w:r>
    </w:p>
    <w:p w14:paraId="4759065F" w14:textId="19FD3149" w:rsidR="001B3F6F" w:rsidRPr="001B3F6F" w:rsidRDefault="001B3F6F" w:rsidP="00607A62">
      <w:pPr>
        <w:pStyle w:val="NormalWeb"/>
        <w:shd w:val="clear" w:color="auto" w:fill="FFFFFF"/>
        <w:spacing w:before="120" w:beforeAutospacing="0" w:after="120" w:afterAutospacing="0"/>
        <w:rPr>
          <w:rFonts w:ascii="Book Antiqua" w:hAnsi="Book Antiqua" w:cs="Times"/>
          <w:color w:val="222222"/>
          <w:sz w:val="22"/>
          <w:szCs w:val="22"/>
        </w:rPr>
      </w:pPr>
      <w:r w:rsidRPr="001B3F6F">
        <w:rPr>
          <w:rFonts w:ascii="Book Antiqua" w:hAnsi="Book Antiqua" w:cs="Times"/>
          <w:color w:val="222222"/>
          <w:sz w:val="22"/>
          <w:szCs w:val="22"/>
        </w:rPr>
        <w:t>A tax professional or tax return preparer who uses information from a tax return for any purpose other than to prepare a tax return, or who makes an unauthorized disclosure of return information, is subject to a $250 penalty for each disclosure, up to a maximum penalty of $10,000. If the action is undertaken knowingly or recklessly, the preparer may be subject to criminal penalties or fine up to $1,000, or up to a year in jail, or both, together with the cost of prosecution as provided for by the Internal Revenue Code Sections </w:t>
      </w:r>
      <w:r w:rsidRPr="00607A62">
        <w:rPr>
          <w:rFonts w:ascii="Book Antiqua" w:hAnsi="Book Antiqua" w:cs="Times"/>
          <w:color w:val="222222"/>
          <w:sz w:val="22"/>
          <w:szCs w:val="22"/>
        </w:rPr>
        <w:t>6713</w:t>
      </w:r>
      <w:r w:rsidRPr="001B3F6F">
        <w:rPr>
          <w:rFonts w:ascii="Book Antiqua" w:hAnsi="Book Antiqua" w:cs="Times"/>
          <w:color w:val="222222"/>
          <w:sz w:val="22"/>
          <w:szCs w:val="22"/>
        </w:rPr>
        <w:t> and 7216.</w:t>
      </w:r>
    </w:p>
    <w:p w14:paraId="460728E3" w14:textId="48253A16" w:rsidR="001B3F6F" w:rsidRPr="001B3F6F" w:rsidRDefault="001B3F6F" w:rsidP="00607A62">
      <w:pPr>
        <w:pStyle w:val="NormalWeb"/>
        <w:shd w:val="clear" w:color="auto" w:fill="FFFFFF"/>
        <w:spacing w:before="120" w:beforeAutospacing="0" w:after="120" w:afterAutospacing="0"/>
        <w:rPr>
          <w:rFonts w:ascii="Book Antiqua" w:hAnsi="Book Antiqua" w:cs="Times"/>
          <w:color w:val="222222"/>
          <w:sz w:val="22"/>
          <w:szCs w:val="22"/>
        </w:rPr>
      </w:pPr>
      <w:r w:rsidRPr="001B3F6F">
        <w:rPr>
          <w:rFonts w:ascii="Book Antiqua" w:hAnsi="Book Antiqua" w:cs="Times"/>
          <w:color w:val="222222"/>
          <w:sz w:val="22"/>
          <w:szCs w:val="22"/>
        </w:rPr>
        <w:t>Confidential tax return information includes the following elements: the taxpayer's identity, the nature, source or amount of income, payments, receipts, deductions, net worth, tax liability, deficiencies, closing agreements, and information regarding actual or possible investigation of a return.</w:t>
      </w:r>
    </w:p>
    <w:p w14:paraId="77948E73" w14:textId="0897E3B4" w:rsidR="001B3F6F" w:rsidRPr="001B3F6F" w:rsidRDefault="001B3F6F" w:rsidP="00607A62">
      <w:pPr>
        <w:pStyle w:val="NormalWeb"/>
        <w:shd w:val="clear" w:color="auto" w:fill="FFFFFF"/>
        <w:spacing w:before="120" w:beforeAutospacing="0"/>
        <w:rPr>
          <w:rFonts w:ascii="Book Antiqua" w:hAnsi="Book Antiqua" w:cs="Times"/>
          <w:color w:val="222222"/>
          <w:sz w:val="22"/>
          <w:szCs w:val="22"/>
        </w:rPr>
      </w:pPr>
      <w:r w:rsidRPr="001B3F6F">
        <w:rPr>
          <w:rFonts w:ascii="Book Antiqua" w:hAnsi="Book Antiqua" w:cs="Helvetica"/>
          <w:b/>
          <w:bCs/>
          <w:color w:val="222222"/>
          <w:sz w:val="22"/>
          <w:szCs w:val="22"/>
        </w:rPr>
        <w:t>Protecting the Confidentiality and Security of Current and Former Clients' Information</w:t>
      </w:r>
    </w:p>
    <w:p w14:paraId="1929D820" w14:textId="77777777" w:rsidR="001B3F6F" w:rsidRPr="001B3F6F" w:rsidRDefault="001B3F6F" w:rsidP="00607A62">
      <w:pPr>
        <w:pStyle w:val="NormalWeb"/>
        <w:shd w:val="clear" w:color="auto" w:fill="FFFFFF"/>
        <w:spacing w:before="120" w:beforeAutospacing="0" w:after="120" w:afterAutospacing="0"/>
        <w:rPr>
          <w:rFonts w:ascii="Book Antiqua" w:hAnsi="Book Antiqua" w:cs="Times"/>
          <w:color w:val="222222"/>
          <w:sz w:val="22"/>
          <w:szCs w:val="22"/>
        </w:rPr>
      </w:pPr>
      <w:r w:rsidRPr="001B3F6F">
        <w:rPr>
          <w:rFonts w:ascii="Book Antiqua" w:hAnsi="Book Antiqua" w:cs="Times"/>
          <w:color w:val="222222"/>
          <w:sz w:val="22"/>
          <w:szCs w:val="22"/>
        </w:rPr>
        <w:t>We retain records relating to professional services that we provide so that we are better able to assist you with your professional needs and to comply with federal and state laws regarding retaining tax returns. In order to guard your nonpublic personal information, we maintain physical, electronic, and procedural safeguards.</w:t>
      </w:r>
    </w:p>
    <w:p w14:paraId="6C1EAA0C" w14:textId="196F6144" w:rsidR="001B3F6F" w:rsidRDefault="001B3F6F" w:rsidP="00607A62">
      <w:pPr>
        <w:pStyle w:val="NormalWeb"/>
        <w:shd w:val="clear" w:color="auto" w:fill="FFFFFF"/>
        <w:spacing w:before="120" w:beforeAutospacing="0" w:after="120" w:afterAutospacing="0"/>
        <w:rPr>
          <w:rFonts w:ascii="Book Antiqua" w:hAnsi="Book Antiqua" w:cs="Times"/>
          <w:color w:val="222222"/>
          <w:sz w:val="22"/>
          <w:szCs w:val="22"/>
        </w:rPr>
      </w:pPr>
      <w:r w:rsidRPr="001B3F6F">
        <w:rPr>
          <w:rFonts w:ascii="Book Antiqua" w:hAnsi="Book Antiqua" w:cs="Times"/>
          <w:color w:val="222222"/>
          <w:sz w:val="22"/>
          <w:szCs w:val="22"/>
        </w:rPr>
        <w:t>We do not share any of your confidential tax return information with any third-party. A third-party is any person or company other than you, the client. That means we cannot disclose your identity, income, net worth, tax liabilities, or other protected information to the Internal Revenue Service, state tax authorities, unmarried partners, friends, relatives, real estate agents, mortgage brokers, banks, or any other person or company without your explicit authorization.</w:t>
      </w:r>
      <w:bookmarkStart w:id="0" w:name="_GoBack"/>
      <w:bookmarkEnd w:id="0"/>
    </w:p>
    <w:p w14:paraId="60F32F1D" w14:textId="320DAD23" w:rsidR="00245731" w:rsidRPr="001B3F6F" w:rsidRDefault="00245731" w:rsidP="00607A62">
      <w:pPr>
        <w:pStyle w:val="NormalWeb"/>
        <w:shd w:val="clear" w:color="auto" w:fill="FFFFFF"/>
        <w:spacing w:before="120" w:beforeAutospacing="0" w:after="120" w:afterAutospacing="0"/>
        <w:rPr>
          <w:rFonts w:ascii="Book Antiqua" w:hAnsi="Book Antiqua" w:cs="Times"/>
          <w:color w:val="222222"/>
          <w:sz w:val="22"/>
          <w:szCs w:val="22"/>
        </w:rPr>
      </w:pPr>
      <w:r>
        <w:rPr>
          <w:rFonts w:ascii="Book Antiqua" w:hAnsi="Book Antiqua" w:cs="Times"/>
          <w:color w:val="222222"/>
          <w:sz w:val="22"/>
          <w:szCs w:val="22"/>
        </w:rPr>
        <w:t>We as an agency have taken preventative measures to keep your dat</w:t>
      </w:r>
      <w:r w:rsidR="00123B8F">
        <w:rPr>
          <w:rFonts w:ascii="Book Antiqua" w:hAnsi="Book Antiqua" w:cs="Times"/>
          <w:color w:val="222222"/>
          <w:sz w:val="22"/>
          <w:szCs w:val="22"/>
        </w:rPr>
        <w:t xml:space="preserve">a secure. We have a network firewall to prevent intrusion from outside sources. As well our tax program is password protected, and computers all require a password to be used.  </w:t>
      </w:r>
    </w:p>
    <w:p w14:paraId="5B8684DA" w14:textId="42D4787A" w:rsidR="001B3F6F" w:rsidRPr="001B3F6F" w:rsidRDefault="001B3F6F" w:rsidP="00607A62">
      <w:pPr>
        <w:pStyle w:val="NormalWeb"/>
        <w:shd w:val="clear" w:color="auto" w:fill="FFFFFF"/>
        <w:spacing w:before="120" w:beforeAutospacing="0" w:after="120" w:afterAutospacing="0"/>
        <w:rPr>
          <w:rFonts w:ascii="Book Antiqua" w:hAnsi="Book Antiqua" w:cs="Times"/>
          <w:color w:val="222222"/>
        </w:rPr>
      </w:pPr>
      <w:r w:rsidRPr="001B3F6F">
        <w:rPr>
          <w:rFonts w:ascii="Book Antiqua" w:hAnsi="Book Antiqua" w:cs="Helvetica"/>
          <w:b/>
          <w:bCs/>
          <w:color w:val="222222"/>
        </w:rPr>
        <w:t>How to Authorize Disclosure</w:t>
      </w:r>
    </w:p>
    <w:p w14:paraId="3B777D87" w14:textId="4287358A" w:rsidR="000070CA" w:rsidRPr="00607A62" w:rsidRDefault="001B3F6F" w:rsidP="00607A62">
      <w:pPr>
        <w:pStyle w:val="NormalWeb"/>
        <w:shd w:val="clear" w:color="auto" w:fill="FFFFFF"/>
        <w:spacing w:before="120" w:beforeAutospacing="0" w:after="120" w:afterAutospacing="0"/>
        <w:rPr>
          <w:rFonts w:ascii="Book Antiqua" w:hAnsi="Book Antiqua" w:cs="Times"/>
          <w:color w:val="222222"/>
          <w:sz w:val="22"/>
          <w:szCs w:val="22"/>
        </w:rPr>
      </w:pPr>
      <w:r w:rsidRPr="001B3F6F">
        <w:rPr>
          <w:rFonts w:ascii="Book Antiqua" w:hAnsi="Book Antiqua" w:cs="Times"/>
          <w:color w:val="222222"/>
          <w:sz w:val="22"/>
          <w:szCs w:val="22"/>
        </w:rPr>
        <w:t>You may authorize us to disclose certain tax return information to third parties of your choice. Please talk to us about your desires for sharing your tax information with third parties and we will advise you of the proper procedure.</w:t>
      </w:r>
    </w:p>
    <w:sectPr w:rsidR="000070CA" w:rsidRPr="00607A6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F4F5" w14:textId="77777777" w:rsidR="001F410B" w:rsidRDefault="007A5A71">
      <w:pPr>
        <w:spacing w:after="0" w:line="240" w:lineRule="auto"/>
      </w:pPr>
      <w:r>
        <w:separator/>
      </w:r>
    </w:p>
  </w:endnote>
  <w:endnote w:type="continuationSeparator" w:id="0">
    <w:p w14:paraId="4B0E9663" w14:textId="77777777" w:rsidR="001F410B" w:rsidRDefault="007A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3B8F" w14:textId="03426E8A" w:rsidR="000C113A" w:rsidRPr="000C113A" w:rsidRDefault="00572A9A">
    <w:pPr>
      <w:pStyle w:val="Footer"/>
      <w:rPr>
        <w:rFonts w:ascii="Bookman Old Style" w:hAnsi="Bookman Old Style"/>
        <w:sz w:val="20"/>
        <w:szCs w:val="20"/>
      </w:rPr>
    </w:pPr>
    <w:r>
      <w:rPr>
        <w:rFonts w:ascii="Bookman Old Style" w:hAnsi="Bookman Old Style"/>
        <w:sz w:val="20"/>
        <w:szCs w:val="20"/>
      </w:rPr>
      <w:t>P.O. Box 270</w:t>
    </w:r>
    <w:r w:rsidR="00B7293A" w:rsidRPr="000C113A">
      <w:rPr>
        <w:rFonts w:ascii="Bookman Old Style" w:hAnsi="Bookman Old Style"/>
        <w:sz w:val="20"/>
        <w:szCs w:val="20"/>
      </w:rPr>
      <w:t xml:space="preserve"> Windsor VT 05089</w:t>
    </w:r>
    <w:r w:rsidR="00B7293A" w:rsidRPr="000C113A">
      <w:rPr>
        <w:rFonts w:ascii="Bookman Old Style" w:hAnsi="Bookman Old Style"/>
        <w:sz w:val="20"/>
        <w:szCs w:val="20"/>
      </w:rPr>
      <w:ptab w:relativeTo="margin" w:alignment="center" w:leader="none"/>
    </w:r>
    <w:r w:rsidR="00B7293A" w:rsidRPr="000C113A">
      <w:rPr>
        <w:rFonts w:ascii="Bookman Old Style" w:hAnsi="Bookman Old Style"/>
        <w:sz w:val="20"/>
        <w:szCs w:val="20"/>
      </w:rPr>
      <w:t xml:space="preserve"> </w:t>
    </w:r>
    <w:proofErr w:type="gramStart"/>
    <w:r w:rsidR="00B7293A" w:rsidRPr="000C113A">
      <w:rPr>
        <w:rFonts w:ascii="Bookman Old Style" w:hAnsi="Bookman Old Style"/>
        <w:sz w:val="20"/>
        <w:szCs w:val="20"/>
      </w:rPr>
      <w:t xml:space="preserve">   (</w:t>
    </w:r>
    <w:proofErr w:type="gramEnd"/>
    <w:r w:rsidR="00B7293A" w:rsidRPr="000C113A">
      <w:rPr>
        <w:rFonts w:ascii="Bookman Old Style" w:hAnsi="Bookman Old Style"/>
        <w:sz w:val="20"/>
        <w:szCs w:val="20"/>
      </w:rPr>
      <w:t>802) 230-4100</w:t>
    </w:r>
    <w:r w:rsidR="00B7293A" w:rsidRPr="000C113A">
      <w:rPr>
        <w:rFonts w:ascii="Bookman Old Style" w:hAnsi="Bookman Old Style"/>
        <w:sz w:val="20"/>
        <w:szCs w:val="20"/>
      </w:rPr>
      <w:ptab w:relativeTo="margin" w:alignment="right" w:leader="none"/>
    </w:r>
    <w:hyperlink r:id="rId1" w:history="1">
      <w:r w:rsidR="00B7293A" w:rsidRPr="000C113A">
        <w:rPr>
          <w:rStyle w:val="Hyperlink"/>
          <w:rFonts w:ascii="Bookman Old Style" w:hAnsi="Bookman Old Style"/>
          <w:sz w:val="20"/>
          <w:szCs w:val="20"/>
        </w:rPr>
        <w:t>therockwoodagency@hotmail.com</w:t>
      </w:r>
    </w:hyperlink>
  </w:p>
  <w:p w14:paraId="175E8DBB" w14:textId="5CC2953B" w:rsidR="000C113A" w:rsidRPr="000C113A" w:rsidRDefault="00572A9A">
    <w:pPr>
      <w:pStyle w:val="Footer"/>
      <w:rPr>
        <w:rFonts w:ascii="Bookman Old Style" w:hAnsi="Bookman Old Style"/>
        <w:sz w:val="20"/>
        <w:szCs w:val="20"/>
      </w:rPr>
    </w:pPr>
    <w:r>
      <w:rPr>
        <w:rFonts w:ascii="Bookman Old Style" w:hAnsi="Bookman Old Style"/>
        <w:sz w:val="16"/>
        <w:szCs w:val="16"/>
      </w:rPr>
      <w:t>2484 US Route 5 North Windsor VT 05089</w:t>
    </w:r>
    <w:r w:rsidR="00B7293A" w:rsidRPr="000C113A">
      <w:rPr>
        <w:rFonts w:ascii="Bookman Old Style" w:hAnsi="Bookman Old Style"/>
        <w:sz w:val="20"/>
        <w:szCs w:val="20"/>
      </w:rPr>
      <w:tab/>
      <w:t xml:space="preserve">   </w:t>
    </w:r>
    <w:proofErr w:type="gramStart"/>
    <w:r w:rsidR="00B7293A" w:rsidRPr="000C113A">
      <w:rPr>
        <w:rFonts w:ascii="Bookman Old Style" w:hAnsi="Bookman Old Style"/>
        <w:sz w:val="20"/>
        <w:szCs w:val="20"/>
      </w:rPr>
      <w:t xml:space="preserve">   (</w:t>
    </w:r>
    <w:proofErr w:type="gramEnd"/>
    <w:r w:rsidR="00B7293A" w:rsidRPr="000C113A">
      <w:rPr>
        <w:rFonts w:ascii="Bookman Old Style" w:hAnsi="Bookman Old Style"/>
        <w:sz w:val="20"/>
        <w:szCs w:val="20"/>
      </w:rPr>
      <w:t>800) 691-7341</w:t>
    </w:r>
    <w:r w:rsidR="00B7293A">
      <w:rPr>
        <w:rFonts w:ascii="Bookman Old Style" w:hAnsi="Bookman Old Style"/>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76514" w14:textId="77777777" w:rsidR="001F410B" w:rsidRDefault="007A5A71">
      <w:pPr>
        <w:spacing w:after="0" w:line="240" w:lineRule="auto"/>
      </w:pPr>
      <w:r>
        <w:separator/>
      </w:r>
    </w:p>
  </w:footnote>
  <w:footnote w:type="continuationSeparator" w:id="0">
    <w:p w14:paraId="02C95397" w14:textId="77777777" w:rsidR="001F410B" w:rsidRDefault="007A5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2CBE" w14:textId="77777777" w:rsidR="0023615A" w:rsidRDefault="00B7293A" w:rsidP="0023615A">
    <w:pPr>
      <w:pStyle w:val="Header"/>
      <w:jc w:val="center"/>
    </w:pPr>
    <w:r>
      <w:rPr>
        <w:noProof/>
      </w:rPr>
      <w:drawing>
        <wp:inline distT="0" distB="0" distL="0" distR="0" wp14:anchorId="5AF6EE6E" wp14:editId="4E25C967">
          <wp:extent cx="2143125" cy="174644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RockwoodAgencyFINA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413" cy="1754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15"/>
    <w:rsid w:val="000A5447"/>
    <w:rsid w:val="0010615F"/>
    <w:rsid w:val="00123B8F"/>
    <w:rsid w:val="00157713"/>
    <w:rsid w:val="001B3F6F"/>
    <w:rsid w:val="001F410B"/>
    <w:rsid w:val="00245731"/>
    <w:rsid w:val="00257DBD"/>
    <w:rsid w:val="002D1352"/>
    <w:rsid w:val="004512F9"/>
    <w:rsid w:val="004A540E"/>
    <w:rsid w:val="00572A9A"/>
    <w:rsid w:val="00607A62"/>
    <w:rsid w:val="007A5A71"/>
    <w:rsid w:val="008B4584"/>
    <w:rsid w:val="00990EF3"/>
    <w:rsid w:val="00A8429C"/>
    <w:rsid w:val="00B56415"/>
    <w:rsid w:val="00B569FD"/>
    <w:rsid w:val="00B7293A"/>
    <w:rsid w:val="00C46FE5"/>
    <w:rsid w:val="00E04A01"/>
    <w:rsid w:val="00E8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AD54"/>
  <w15:chartTrackingRefBased/>
  <w15:docId w15:val="{434EF598-78F4-4864-830E-18DACB9A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415"/>
  </w:style>
  <w:style w:type="paragraph" w:styleId="Heading3">
    <w:name w:val="heading 3"/>
    <w:basedOn w:val="Normal"/>
    <w:link w:val="Heading3Char"/>
    <w:uiPriority w:val="9"/>
    <w:qFormat/>
    <w:rsid w:val="001B3F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415"/>
  </w:style>
  <w:style w:type="paragraph" w:styleId="Footer">
    <w:name w:val="footer"/>
    <w:basedOn w:val="Normal"/>
    <w:link w:val="FooterChar"/>
    <w:uiPriority w:val="99"/>
    <w:unhideWhenUsed/>
    <w:rsid w:val="00B56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415"/>
  </w:style>
  <w:style w:type="character" w:styleId="Hyperlink">
    <w:name w:val="Hyperlink"/>
    <w:basedOn w:val="DefaultParagraphFont"/>
    <w:uiPriority w:val="99"/>
    <w:unhideWhenUsed/>
    <w:rsid w:val="00B56415"/>
    <w:rPr>
      <w:color w:val="0563C1" w:themeColor="hyperlink"/>
      <w:u w:val="single"/>
    </w:rPr>
  </w:style>
  <w:style w:type="paragraph" w:styleId="BalloonText">
    <w:name w:val="Balloon Text"/>
    <w:basedOn w:val="Normal"/>
    <w:link w:val="BalloonTextChar"/>
    <w:uiPriority w:val="99"/>
    <w:semiHidden/>
    <w:unhideWhenUsed/>
    <w:rsid w:val="007A5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A71"/>
    <w:rPr>
      <w:rFonts w:ascii="Segoe UI" w:hAnsi="Segoe UI" w:cs="Segoe UI"/>
      <w:sz w:val="18"/>
      <w:szCs w:val="18"/>
    </w:rPr>
  </w:style>
  <w:style w:type="character" w:customStyle="1" w:styleId="Heading3Char">
    <w:name w:val="Heading 3 Char"/>
    <w:basedOn w:val="DefaultParagraphFont"/>
    <w:link w:val="Heading3"/>
    <w:uiPriority w:val="9"/>
    <w:rsid w:val="001B3F6F"/>
    <w:rPr>
      <w:rFonts w:ascii="Times New Roman" w:eastAsia="Times New Roman" w:hAnsi="Times New Roman" w:cs="Times New Roman"/>
      <w:b/>
      <w:bCs/>
      <w:sz w:val="27"/>
      <w:szCs w:val="27"/>
    </w:rPr>
  </w:style>
  <w:style w:type="paragraph" w:styleId="NormalWeb">
    <w:name w:val="Normal (Web)"/>
    <w:basedOn w:val="Normal"/>
    <w:uiPriority w:val="99"/>
    <w:unhideWhenUsed/>
    <w:rsid w:val="001B3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slice">
    <w:name w:val="html-slice"/>
    <w:basedOn w:val="Normal"/>
    <w:rsid w:val="001B3F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herockwoodagency@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Farnsworth</dc:creator>
  <cp:keywords/>
  <dc:description/>
  <cp:lastModifiedBy>Rockwood</cp:lastModifiedBy>
  <cp:revision>2</cp:revision>
  <cp:lastPrinted>2018-01-23T17:05:00Z</cp:lastPrinted>
  <dcterms:created xsi:type="dcterms:W3CDTF">2019-01-22T15:20:00Z</dcterms:created>
  <dcterms:modified xsi:type="dcterms:W3CDTF">2019-01-22T15:20:00Z</dcterms:modified>
</cp:coreProperties>
</file>