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78" w:rsidRDefault="00BC0978" w:rsidP="00BC0978">
      <w:pPr>
        <w:rPr>
          <w:lang w:val="pl-PL"/>
        </w:rPr>
      </w:pPr>
    </w:p>
    <w:p w:rsidR="00BC0978" w:rsidRDefault="00BC0978" w:rsidP="00BC0978">
      <w:pPr>
        <w:spacing w:after="0" w:line="256" w:lineRule="auto"/>
        <w:ind w:right="11"/>
        <w:jc w:val="center"/>
        <w:rPr>
          <w:lang w:val="pl-PL"/>
        </w:rPr>
      </w:pPr>
      <w:r>
        <w:rPr>
          <w:sz w:val="28"/>
          <w:lang w:val="pl-PL"/>
        </w:rPr>
        <w:t>Regulamin Świadczenia Usług Dietetycznych Dietoterapia -Joanna Materka</w:t>
      </w:r>
    </w:p>
    <w:p w:rsidR="00BC0978" w:rsidRDefault="00BC0978" w:rsidP="00BC0978">
      <w:pPr>
        <w:spacing w:after="0" w:line="256" w:lineRule="auto"/>
        <w:rPr>
          <w:lang w:val="pl-PL"/>
        </w:rPr>
      </w:pPr>
      <w:r>
        <w:rPr>
          <w:lang w:val="pl-PL"/>
        </w:rPr>
        <w:t xml:space="preserve"> </w:t>
      </w:r>
    </w:p>
    <w:p w:rsidR="00BC0978" w:rsidRDefault="00BC0978" w:rsidP="00BC0978">
      <w:pPr>
        <w:spacing w:after="0" w:line="256" w:lineRule="auto"/>
        <w:ind w:left="12" w:right="10"/>
        <w:jc w:val="center"/>
        <w:rPr>
          <w:lang w:val="pl-PL"/>
        </w:rPr>
      </w:pPr>
      <w:r>
        <w:rPr>
          <w:lang w:val="pl-PL"/>
        </w:rPr>
        <w:t xml:space="preserve">§1 </w:t>
      </w:r>
    </w:p>
    <w:p w:rsidR="00BC0978" w:rsidRDefault="00BC0978" w:rsidP="00BC0978">
      <w:pPr>
        <w:rPr>
          <w:lang w:val="pl-PL"/>
        </w:rPr>
      </w:pPr>
      <w:r>
        <w:rPr>
          <w:lang w:val="pl-PL"/>
        </w:rPr>
        <w:t xml:space="preserve">Niniejszy Regulamin określa zasady korzystania z usług świadczonych przez  gabinet dietetyczny Dietoterapia  na rzecz Pacjentów (w znaczeniu zdefiniowanym poniżej).  </w:t>
      </w:r>
    </w:p>
    <w:p w:rsidR="00BC0978" w:rsidRDefault="00BC0978" w:rsidP="00BC0978">
      <w:pPr>
        <w:spacing w:after="0" w:line="256" w:lineRule="auto"/>
        <w:ind w:left="12" w:right="10"/>
        <w:jc w:val="center"/>
        <w:rPr>
          <w:lang w:val="pl-PL"/>
        </w:rPr>
      </w:pPr>
      <w:r>
        <w:rPr>
          <w:lang w:val="pl-PL"/>
        </w:rPr>
        <w:t xml:space="preserve">§2 </w:t>
      </w:r>
    </w:p>
    <w:p w:rsidR="00BC0978" w:rsidRDefault="00BC0978" w:rsidP="00BC0978">
      <w:pPr>
        <w:spacing w:after="0" w:line="256" w:lineRule="auto"/>
        <w:ind w:left="12"/>
        <w:jc w:val="center"/>
        <w:rPr>
          <w:lang w:val="pl-PL"/>
        </w:rPr>
      </w:pPr>
      <w:r>
        <w:rPr>
          <w:lang w:val="pl-PL"/>
        </w:rPr>
        <w:t xml:space="preserve">Definicje </w:t>
      </w:r>
    </w:p>
    <w:p w:rsidR="00BC0978" w:rsidRDefault="00BC0978" w:rsidP="00BC0978">
      <w:pPr>
        <w:rPr>
          <w:lang w:val="pl-PL"/>
        </w:rPr>
      </w:pPr>
      <w:r>
        <w:rPr>
          <w:b/>
          <w:lang w:val="pl-PL"/>
        </w:rPr>
        <w:t>Pacjent</w:t>
      </w:r>
      <w:r>
        <w:rPr>
          <w:lang w:val="pl-PL"/>
        </w:rPr>
        <w:t xml:space="preserve"> – każda osoba która ukończyła 16 rok życia i korzysta z usług dietoterapii osoba poniżej 16 roku życia po przedstawieniu pisemnej zgody Rodzica lub Opiekuna na korzystanie z tych usług. </w:t>
      </w:r>
    </w:p>
    <w:p w:rsidR="00BC0978" w:rsidRDefault="00BC0978" w:rsidP="00BC0978">
      <w:pPr>
        <w:rPr>
          <w:lang w:val="pl-PL"/>
        </w:rPr>
      </w:pPr>
      <w:r>
        <w:rPr>
          <w:b/>
          <w:lang w:val="pl-PL"/>
        </w:rPr>
        <w:t>Gabinet dietetyczny Dietoterapia</w:t>
      </w:r>
      <w:r>
        <w:rPr>
          <w:lang w:val="pl-PL"/>
        </w:rPr>
        <w:t xml:space="preserve"> – zwanej dalej „Gabinet” działalność gospodarcza Joanna Materka 29 Corbins Lane, South Harrow, HA2 8EN London</w:t>
      </w:r>
    </w:p>
    <w:p w:rsidR="00BC0978" w:rsidRDefault="00BC0978" w:rsidP="00BC0978">
      <w:pPr>
        <w:rPr>
          <w:lang w:val="pl-PL"/>
        </w:rPr>
      </w:pPr>
      <w:r>
        <w:rPr>
          <w:b/>
          <w:lang w:val="pl-PL"/>
        </w:rPr>
        <w:t xml:space="preserve">Cennik usług </w:t>
      </w:r>
      <w:r>
        <w:rPr>
          <w:lang w:val="pl-PL"/>
        </w:rPr>
        <w:t>–</w:t>
      </w:r>
      <w:r>
        <w:rPr>
          <w:b/>
          <w:lang w:val="pl-PL"/>
        </w:rPr>
        <w:t xml:space="preserve"> </w:t>
      </w:r>
      <w:r>
        <w:rPr>
          <w:lang w:val="pl-PL"/>
        </w:rPr>
        <w:t>stanowi załącznik Nr 1 do Regulaminu, dostępny w Gabinecie</w:t>
      </w:r>
      <w:r>
        <w:rPr>
          <w:b/>
          <w:lang w:val="pl-PL"/>
        </w:rPr>
        <w:t xml:space="preserve"> </w:t>
      </w:r>
      <w:r>
        <w:rPr>
          <w:lang w:val="pl-PL"/>
        </w:rPr>
        <w:t>oraz podczas konsultacji indywidualnej lub na stronie internetowej www.dietoterapia.co.uk</w:t>
      </w:r>
      <w:r>
        <w:rPr>
          <w:b/>
          <w:lang w:val="pl-PL"/>
        </w:rPr>
        <w:t xml:space="preserve"> </w:t>
      </w:r>
      <w:r>
        <w:rPr>
          <w:lang w:val="pl-PL"/>
        </w:rPr>
        <w:t xml:space="preserve"> </w:t>
      </w:r>
    </w:p>
    <w:p w:rsidR="00BC0978" w:rsidRDefault="00BC0978" w:rsidP="00BC0978">
      <w:pPr>
        <w:spacing w:after="0" w:line="256" w:lineRule="auto"/>
        <w:ind w:left="12" w:right="10"/>
        <w:jc w:val="center"/>
      </w:pPr>
      <w:r>
        <w:t xml:space="preserve">§3 </w:t>
      </w:r>
    </w:p>
    <w:p w:rsidR="00BC0978" w:rsidRDefault="00BC0978" w:rsidP="00BC0978">
      <w:pPr>
        <w:spacing w:after="0" w:line="256" w:lineRule="auto"/>
        <w:ind w:left="12" w:right="3"/>
        <w:jc w:val="center"/>
      </w:pPr>
      <w:r>
        <w:t xml:space="preserve">Prawa i obowiązki pacjenta </w:t>
      </w:r>
    </w:p>
    <w:p w:rsidR="00BC0978" w:rsidRDefault="00BC0978" w:rsidP="00BC0978">
      <w:pPr>
        <w:numPr>
          <w:ilvl w:val="0"/>
          <w:numId w:val="1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W czasie korzystania z usług pacjent ma prawo do:  </w:t>
      </w:r>
    </w:p>
    <w:p w:rsidR="00BC0978" w:rsidRDefault="00BC0978" w:rsidP="00BC0978">
      <w:pPr>
        <w:ind w:left="730"/>
        <w:rPr>
          <w:lang w:val="pl-PL"/>
        </w:rPr>
      </w:pPr>
      <w:r>
        <w:rPr>
          <w:lang w:val="pl-PL"/>
        </w:rPr>
        <w:t xml:space="preserve">świadczenia usług przez personel o odpowiednich kwalifikacjach, zgodnie z wymaganiami wiedzy ogólnomedycznej, rzetelnej informacji o stanie zdrowia, wyrażania zgody na udzielenie określonych świadczeń lub ich odmowy, po uzyskaniu informacji o proponowanych metodach diagnostycznych i terapeutycznych; </w:t>
      </w:r>
    </w:p>
    <w:p w:rsidR="00BC0978" w:rsidRDefault="00BC0978" w:rsidP="00BC0978">
      <w:pPr>
        <w:numPr>
          <w:ilvl w:val="0"/>
          <w:numId w:val="1"/>
        </w:numPr>
        <w:spacing w:after="2" w:line="23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Do obowiązków pacjenta należy: przestrzeganie regulaminu porządkowego Gabinetu, przestrzeganie zasad higieny osobistej, posiadanie ważnych dokumentów pozwalających zidentyfikować tożsamość, przestrzeganie zasad bezpieczeństwa, </w:t>
      </w:r>
    </w:p>
    <w:p w:rsidR="00BC0978" w:rsidRDefault="00BC0978" w:rsidP="00BC0978">
      <w:pPr>
        <w:ind w:left="730"/>
        <w:rPr>
          <w:lang w:val="pl-PL"/>
        </w:rPr>
      </w:pPr>
      <w:r>
        <w:rPr>
          <w:lang w:val="pl-PL"/>
        </w:rPr>
        <w:t xml:space="preserve">przestrzeganie zaleceń personelu Gabinetu. </w:t>
      </w:r>
    </w:p>
    <w:p w:rsidR="00BC0978" w:rsidRDefault="00BC0978" w:rsidP="00BC0978">
      <w:pPr>
        <w:numPr>
          <w:ilvl w:val="0"/>
          <w:numId w:val="1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Pacjent, którego prawa zostały naruszone w trakcie korzystania z usług Gabinetu ma prawo do złożenia  pisemnej skargi do Kierownika Gabinetu  </w:t>
      </w:r>
    </w:p>
    <w:p w:rsidR="00BC0978" w:rsidRDefault="00BC0978" w:rsidP="00BC0978">
      <w:pPr>
        <w:numPr>
          <w:ilvl w:val="0"/>
          <w:numId w:val="1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Gabinet zapewnia dostępność informacji o prawach pacjenta. </w:t>
      </w:r>
    </w:p>
    <w:p w:rsidR="00BC0978" w:rsidRDefault="00BC0978" w:rsidP="00BC0978">
      <w:pPr>
        <w:numPr>
          <w:ilvl w:val="0"/>
          <w:numId w:val="1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Kierownik Gabinetu ma prawo odmówić udzielania świadczeń pacjentowi, który narusza zapisy określone w niniejszym regulaminie. </w:t>
      </w:r>
    </w:p>
    <w:p w:rsidR="00BC0978" w:rsidRDefault="00BC0978" w:rsidP="00BC0978">
      <w:pPr>
        <w:ind w:left="355"/>
        <w:rPr>
          <w:lang w:val="pl-PL"/>
        </w:rPr>
      </w:pPr>
      <w:r>
        <w:rPr>
          <w:lang w:val="pl-PL"/>
        </w:rPr>
        <w:t>6.</w:t>
      </w:r>
      <w:r>
        <w:rPr>
          <w:rFonts w:ascii="Arial" w:eastAsia="Arial" w:hAnsi="Arial" w:cs="Arial"/>
          <w:lang w:val="pl-PL"/>
        </w:rPr>
        <w:t xml:space="preserve"> </w:t>
      </w:r>
    </w:p>
    <w:p w:rsidR="00BC0978" w:rsidRDefault="00BC0978" w:rsidP="00BC0978">
      <w:pPr>
        <w:spacing w:after="0" w:line="256" w:lineRule="auto"/>
        <w:ind w:left="12" w:right="10"/>
        <w:jc w:val="center"/>
        <w:rPr>
          <w:lang w:val="pl-PL"/>
        </w:rPr>
      </w:pPr>
      <w:r>
        <w:rPr>
          <w:lang w:val="pl-PL"/>
        </w:rPr>
        <w:t xml:space="preserve">§4 </w:t>
      </w:r>
    </w:p>
    <w:p w:rsidR="00BC0978" w:rsidRDefault="00BC0978" w:rsidP="00BC0978">
      <w:pPr>
        <w:spacing w:after="0" w:line="256" w:lineRule="auto"/>
        <w:ind w:left="12" w:right="4"/>
        <w:jc w:val="center"/>
        <w:rPr>
          <w:lang w:val="pl-PL"/>
        </w:rPr>
      </w:pPr>
      <w:r>
        <w:rPr>
          <w:lang w:val="pl-PL"/>
        </w:rPr>
        <w:t xml:space="preserve">Zasady płatności i regulowania należności za usługi świadczone w Gabinecie </w:t>
      </w:r>
    </w:p>
    <w:p w:rsidR="00BC0978" w:rsidRDefault="00BC0978" w:rsidP="00BC0978">
      <w:pPr>
        <w:numPr>
          <w:ilvl w:val="0"/>
          <w:numId w:val="2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Płatność za usługi świadczone w Gabinecie są uiszczane w gotówce lub drogą przelewu w całej wysokości kwoty: </w:t>
      </w:r>
    </w:p>
    <w:p w:rsidR="00BC0978" w:rsidRDefault="00BC0978" w:rsidP="00BC0978">
      <w:pPr>
        <w:ind w:left="730"/>
        <w:rPr>
          <w:lang w:val="pl-PL"/>
        </w:rPr>
      </w:pPr>
      <w:r>
        <w:rPr>
          <w:lang w:val="pl-PL"/>
        </w:rPr>
        <w:t xml:space="preserve">W gotówce płatność uiszczana jest tego samego dnia kalendarzowego, w którym miejsce miało świadczenie usługi zarówno w przypadku usługi jednorazowej jak również w przypadku pierwszego spotkania w ramach programu w całej kwocie będącej określonej w cenniku usług firmy, </w:t>
      </w:r>
    </w:p>
    <w:p w:rsidR="00BC0978" w:rsidRDefault="00BC0978" w:rsidP="00BC0978">
      <w:pPr>
        <w:ind w:left="730"/>
        <w:rPr>
          <w:lang w:val="pl-PL"/>
        </w:rPr>
      </w:pPr>
      <w:r>
        <w:rPr>
          <w:lang w:val="pl-PL"/>
        </w:rPr>
        <w:t xml:space="preserve">Drogą przelewu płatność uiszczana jest w przeciągu 3 dni kalendarzowych od dnia w którym miejsce miało świadczenie usługi zarówno w przypadku usługi jednorazowej jak również w przypadku pierwszego spotkania w ramach programu w całej kwocie będącej określonej w cenniku usług firmy. </w:t>
      </w:r>
    </w:p>
    <w:p w:rsidR="00BC0978" w:rsidRDefault="00BC0978" w:rsidP="00BC0978">
      <w:pPr>
        <w:numPr>
          <w:ilvl w:val="0"/>
          <w:numId w:val="2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W przypadku konieczności odwołania umówionego spotkania będącego elementem zakresu usługi dietetycznej istnieje możliwość przełożenia wizyty na inny termin ustalony za możliwy do zrealizowania prze obie strony tj. pacjenta i Gabinetu, pod warunkiem zachowania min. 3 dniowego wyprzedzenia odwoływanej wizyty. W przeciwnym wypadku umówione spotkanie  przepada.  </w:t>
      </w:r>
    </w:p>
    <w:p w:rsidR="00BC0978" w:rsidRDefault="00BC0978" w:rsidP="00BC0978">
      <w:pPr>
        <w:numPr>
          <w:ilvl w:val="0"/>
          <w:numId w:val="2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lastRenderedPageBreak/>
        <w:t xml:space="preserve">Spóźnienie się na ustaloną między pacjentem i Gabinetem wizytę nie pociąga za sobą żadnych konsekwencji jeśli czas spóźnienia nie przekracza 15 minut. W przypadku spóźnienia przekraczającego 20 minut wizytę uznaje się za odwołaną bez wymaganego 3 dniowego wyprzedzenia i wiąże się ze stratą tej wizyty rozumianej jako element programu.  </w:t>
      </w:r>
    </w:p>
    <w:p w:rsidR="00BC0978" w:rsidRDefault="00BC0978" w:rsidP="00BC0978">
      <w:pPr>
        <w:numPr>
          <w:ilvl w:val="0"/>
          <w:numId w:val="2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W przypadku akceptacji warunków indywidualnego programu dietetycznego, Pacjent zobowiązany jest do wpłacenia </w:t>
      </w:r>
      <w:r>
        <w:rPr>
          <w:b/>
          <w:lang w:val="pl-PL"/>
        </w:rPr>
        <w:t>50% wartości kwoty usługi</w:t>
      </w:r>
      <w:r>
        <w:rPr>
          <w:lang w:val="pl-PL"/>
        </w:rPr>
        <w:t xml:space="preserve"> na poczet kolejnego spotkania/konsultacji dietetycznej prowadzonego przez Gabinet. Zasada ta wynika z nierównomiernego rozłożenia kosztów oraz pracy związanych z realizacją usługi, koniecznych do poniesienia przez Gabinet na pierwszym spotkaniu i na kolejnych – pierwsze  spotkanie obejmuje bowiem przeprowadzenie wywiadu żywieniowego, przeprowadzenie pomiarów antropometrycznych, dyskusję na temat preferencji żywieniowych pacjenta.  </w:t>
      </w:r>
    </w:p>
    <w:p w:rsidR="00BC0978" w:rsidRDefault="00BC0978" w:rsidP="00BC0978">
      <w:pPr>
        <w:spacing w:after="0" w:line="256" w:lineRule="auto"/>
        <w:ind w:left="52"/>
        <w:jc w:val="center"/>
        <w:rPr>
          <w:lang w:val="pl-PL"/>
        </w:rPr>
      </w:pPr>
      <w:r>
        <w:rPr>
          <w:lang w:val="pl-PL"/>
        </w:rPr>
        <w:t xml:space="preserve"> </w:t>
      </w:r>
    </w:p>
    <w:p w:rsidR="00BC0978" w:rsidRDefault="00BC0978" w:rsidP="00BC0978">
      <w:pPr>
        <w:spacing w:after="0" w:line="256" w:lineRule="auto"/>
        <w:ind w:left="12" w:right="10"/>
        <w:jc w:val="center"/>
        <w:rPr>
          <w:lang w:val="pl-PL"/>
        </w:rPr>
      </w:pPr>
      <w:r>
        <w:rPr>
          <w:lang w:val="pl-PL"/>
        </w:rPr>
        <w:t xml:space="preserve">§5 </w:t>
      </w:r>
    </w:p>
    <w:p w:rsidR="00BC0978" w:rsidRDefault="00BC0978" w:rsidP="00BC0978">
      <w:pPr>
        <w:spacing w:after="0" w:line="256" w:lineRule="auto"/>
        <w:ind w:left="12" w:right="5"/>
        <w:jc w:val="center"/>
        <w:rPr>
          <w:lang w:val="pl-PL"/>
        </w:rPr>
      </w:pPr>
      <w:r>
        <w:rPr>
          <w:lang w:val="pl-PL"/>
        </w:rPr>
        <w:t xml:space="preserve">Zasady reklamacji </w:t>
      </w:r>
    </w:p>
    <w:p w:rsidR="00BC0978" w:rsidRDefault="00BC0978" w:rsidP="00BC0978">
      <w:pPr>
        <w:spacing w:after="2" w:line="237" w:lineRule="auto"/>
        <w:ind w:left="715" w:hanging="370"/>
        <w:rPr>
          <w:lang w:val="pl-PL"/>
        </w:rPr>
      </w:pPr>
      <w:r>
        <w:rPr>
          <w:lang w:val="pl-PL"/>
        </w:rPr>
        <w:t>1.</w:t>
      </w:r>
      <w:r>
        <w:rPr>
          <w:rFonts w:ascii="Arial" w:eastAsia="Arial" w:hAnsi="Arial" w:cs="Arial"/>
          <w:lang w:val="pl-PL"/>
        </w:rPr>
        <w:t xml:space="preserve"> </w:t>
      </w:r>
      <w:r>
        <w:rPr>
          <w:lang w:val="pl-PL"/>
        </w:rPr>
        <w:t xml:space="preserve">Z uwagi na znaczną zmienność osobniczą w zakresie oddziaływania diety na organizm człowieka Gabinet, pod warunkiem zachowania zasad dobrej praktyki zawodowej i sztuki dietetycznej, nie ponosi odpowiedzialności za nie uzyskanie przez pacjenta oczekiwanych rezultatów terapeutycznych. W takim przypadku reklamacja zostanie rozpatrzona poprzez zaproponowanie środków zaradczych, mających na celu zbliżenie pacjenta do oczekiwanych rezultatów.  </w:t>
      </w:r>
    </w:p>
    <w:p w:rsidR="00BC0978" w:rsidRDefault="00BC0978" w:rsidP="00BC0978">
      <w:pPr>
        <w:spacing w:after="0" w:line="256" w:lineRule="auto"/>
        <w:ind w:left="12" w:right="10"/>
        <w:jc w:val="center"/>
      </w:pPr>
      <w:r>
        <w:t xml:space="preserve">§6 </w:t>
      </w:r>
    </w:p>
    <w:p w:rsidR="00BC0978" w:rsidRDefault="00BC0978" w:rsidP="00BC0978">
      <w:pPr>
        <w:spacing w:after="0" w:line="256" w:lineRule="auto"/>
        <w:ind w:left="12" w:right="4"/>
        <w:jc w:val="center"/>
      </w:pPr>
      <w:r>
        <w:t xml:space="preserve">Zasady udostępniania dokumentacji medycznej </w:t>
      </w:r>
    </w:p>
    <w:p w:rsidR="00BC0978" w:rsidRDefault="00BC0978" w:rsidP="00BC0978">
      <w:pPr>
        <w:numPr>
          <w:ilvl w:val="0"/>
          <w:numId w:val="3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Dokumentacja medyczna pacjenta jest własnością Gabinetu. Pacjent ma prawo do dostępu do dokumentacji medycznej dotyczącej jego stanu zdrowia oraz udzielonych mu świadczeń. </w:t>
      </w:r>
    </w:p>
    <w:p w:rsidR="00BC0978" w:rsidRDefault="00BC0978" w:rsidP="00BC0978">
      <w:pPr>
        <w:numPr>
          <w:ilvl w:val="0"/>
          <w:numId w:val="3"/>
        </w:numPr>
        <w:spacing w:after="5" w:line="247" w:lineRule="auto"/>
        <w:ind w:hanging="360"/>
        <w:jc w:val="both"/>
      </w:pPr>
      <w:r>
        <w:t xml:space="preserve">Gabinet udostępnia dokumentację medyczną: </w:t>
      </w:r>
    </w:p>
    <w:p w:rsidR="00BC0978" w:rsidRDefault="00BC0978" w:rsidP="00BC0978">
      <w:pPr>
        <w:spacing w:after="2" w:line="237" w:lineRule="auto"/>
        <w:ind w:left="720"/>
        <w:rPr>
          <w:lang w:val="pl-PL"/>
        </w:rPr>
      </w:pPr>
      <w:r>
        <w:rPr>
          <w:lang w:val="pl-PL"/>
        </w:rPr>
        <w:t xml:space="preserve">Pacjentowi lub jego przedstawicielowi ustawowemu bądź osobie upoważnionej pisemnie przez pacjenta, a także podmiotom uprawnionym do dostępu do dokumentacji medycznej na mocy odpowiednich przepisów prawa. </w:t>
      </w:r>
    </w:p>
    <w:p w:rsidR="00BC0978" w:rsidRDefault="00BC0978" w:rsidP="00BC0978">
      <w:pPr>
        <w:spacing w:after="0" w:line="256" w:lineRule="auto"/>
        <w:ind w:left="12" w:right="10"/>
        <w:jc w:val="center"/>
      </w:pPr>
      <w:r>
        <w:t xml:space="preserve">§7 </w:t>
      </w:r>
    </w:p>
    <w:p w:rsidR="00BC0978" w:rsidRDefault="00BC0978" w:rsidP="00BC0978">
      <w:pPr>
        <w:spacing w:after="0" w:line="256" w:lineRule="auto"/>
        <w:ind w:left="12" w:right="10"/>
        <w:jc w:val="center"/>
      </w:pPr>
      <w:r>
        <w:t xml:space="preserve">Postanowienia końcowe </w:t>
      </w:r>
    </w:p>
    <w:p w:rsidR="00BC0978" w:rsidRDefault="00BC0978" w:rsidP="00BC0978">
      <w:pPr>
        <w:numPr>
          <w:ilvl w:val="0"/>
          <w:numId w:val="4"/>
        </w:numPr>
        <w:spacing w:after="2" w:line="23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Gabinet nie ponosi odpowiedzialności za ewentualne zmiany w stanie zdrowia, powstałe z winy pacjenta na skutek nie stosowania się do ustalonego planu terapeutycznego lub stosowania diety przez osoby postronne, siły wyższej, bądź też w wyniku zatajenia istnienia przeciwwskazań i innych okoliczności, które stanowią przeciwwskazanie, a nie były znane personelowi. </w:t>
      </w:r>
    </w:p>
    <w:p w:rsidR="00BC0978" w:rsidRDefault="00BC0978" w:rsidP="00BC0978">
      <w:pPr>
        <w:numPr>
          <w:ilvl w:val="0"/>
          <w:numId w:val="4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Pacjent ponosi odpowiedzialność finansową za ewentualne szkody wyrządzone na terenie Gabinetu. </w:t>
      </w:r>
    </w:p>
    <w:p w:rsidR="00BC0978" w:rsidRDefault="00BC0978" w:rsidP="00BC0978">
      <w:pPr>
        <w:numPr>
          <w:ilvl w:val="0"/>
          <w:numId w:val="4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Palenie tytoniu, picie alkoholu i używanie jakichkolwiek środków odurzających na terenie Gabinetu jest zabronione. </w:t>
      </w:r>
    </w:p>
    <w:p w:rsidR="00BC0978" w:rsidRDefault="00BC0978" w:rsidP="00BC0978">
      <w:pPr>
        <w:numPr>
          <w:ilvl w:val="0"/>
          <w:numId w:val="4"/>
        </w:numPr>
        <w:spacing w:after="2" w:line="23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W przypadku niestosownego zachowania pacjenta na terenie Gabinetu, personel ma prawo przerwać świadczenie usługi i poprosić o niezwłoczne opuszczenie gabinetu. W takiej sytuacji gabinet ma prawo do natychmiastowego wypowiedzenia umowy o świadczenie usług bez prawa ubiegania się o zwrot wniesionych opłat. </w:t>
      </w:r>
    </w:p>
    <w:p w:rsidR="00BC0978" w:rsidRDefault="00BC0978" w:rsidP="00BC0978">
      <w:pPr>
        <w:numPr>
          <w:ilvl w:val="0"/>
          <w:numId w:val="4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Pacjent, którego prawa zostały naruszone w trakcie korzystania ze świadczeń medycznych w Gabinecie ma prawo do złożenia pisemnej skargi do Właściciela Gabinetu. </w:t>
      </w:r>
    </w:p>
    <w:p w:rsidR="00BC0978" w:rsidRDefault="00BC0978" w:rsidP="00BC0978">
      <w:pPr>
        <w:numPr>
          <w:ilvl w:val="0"/>
          <w:numId w:val="4"/>
        </w:numPr>
        <w:spacing w:after="2" w:line="23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Gabinet zastrzega sobie prawo do zmiany Regulaminu oraz cenników w każdym czasie. W przypadku zmiany Regulaminu lub cenników jego doręczenie pacjentowi odbywać się będzie poprzez umieszczenie na stronie www.dietoterapia.co.uk stosownych zmian. Korzystanie z usług Gabinetu przez Pacjenta po wprowadzeniu zmian jest równoznaczne z ich akceptacją. </w:t>
      </w:r>
    </w:p>
    <w:p w:rsidR="00BC0978" w:rsidRDefault="00BC0978" w:rsidP="00BC0978">
      <w:pPr>
        <w:numPr>
          <w:ilvl w:val="0"/>
          <w:numId w:val="4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W sprawach nieuregulowanych niniejszym Regulaminem mają zastosowanie przepisy Kodeksu Cywilnego, Ustawy z dnia 30 sierpnia 1991 o zakładach opieki zdrowotnej (Dz. U. Nr 91, poz. 408. z późniejszymi zmianami) oraz przepisy wykonawcze. </w:t>
      </w:r>
    </w:p>
    <w:p w:rsidR="00BC0978" w:rsidRDefault="00BC0978" w:rsidP="00BC0978">
      <w:pPr>
        <w:numPr>
          <w:ilvl w:val="0"/>
          <w:numId w:val="4"/>
        </w:numPr>
        <w:spacing w:after="5" w:line="247" w:lineRule="auto"/>
        <w:ind w:hanging="360"/>
        <w:jc w:val="both"/>
        <w:rPr>
          <w:lang w:val="pl-PL"/>
        </w:rPr>
      </w:pPr>
      <w:r>
        <w:rPr>
          <w:lang w:val="pl-PL"/>
        </w:rPr>
        <w:t xml:space="preserve">Spory powstałe przy świadczeniu usług zdrowotnych będą rozstrzygane zgodnie z właściwością sądów powszechnych odpowiednią do siedziby Gabinetu  </w:t>
      </w:r>
    </w:p>
    <w:p w:rsidR="00BC0978" w:rsidRPr="009B5C39" w:rsidRDefault="00BC0978" w:rsidP="00BC0978">
      <w:pPr>
        <w:numPr>
          <w:ilvl w:val="0"/>
          <w:numId w:val="4"/>
        </w:numPr>
        <w:spacing w:after="231" w:line="256" w:lineRule="auto"/>
        <w:ind w:hanging="360"/>
        <w:jc w:val="both"/>
        <w:rPr>
          <w:lang w:val="pl-PL"/>
        </w:rPr>
      </w:pPr>
      <w:r w:rsidRPr="009B5C39">
        <w:rPr>
          <w:lang w:val="pl-PL"/>
        </w:rPr>
        <w:t xml:space="preserve">Regulamin Świadczenia Usług wchodzi w życie z dniem uchwalenia.  </w:t>
      </w:r>
    </w:p>
    <w:p w:rsidR="00BC0978" w:rsidRDefault="00BC0978" w:rsidP="00BC0978">
      <w:pPr>
        <w:tabs>
          <w:tab w:val="center" w:pos="2215"/>
          <w:tab w:val="center" w:pos="4762"/>
          <w:tab w:val="center" w:pos="5467"/>
          <w:tab w:val="center" w:pos="8008"/>
        </w:tabs>
        <w:spacing w:after="29" w:line="256" w:lineRule="auto"/>
      </w:pPr>
      <w:r>
        <w:rPr>
          <w:rFonts w:ascii="Calibri" w:eastAsia="Calibri" w:hAnsi="Calibri" w:cs="Calibri"/>
          <w:lang w:val="pl-PL"/>
        </w:rPr>
        <w:tab/>
      </w:r>
      <w:r>
        <w:t xml:space="preserve">……………………………………………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………………………………………………. </w:t>
      </w:r>
    </w:p>
    <w:p w:rsidR="00483858" w:rsidRDefault="00BC0978" w:rsidP="00BC0978">
      <w:pPr>
        <w:tabs>
          <w:tab w:val="center" w:pos="2060"/>
          <w:tab w:val="center" w:pos="3470"/>
          <w:tab w:val="center" w:pos="4176"/>
          <w:tab w:val="center" w:pos="4886"/>
          <w:tab w:val="center" w:pos="5592"/>
          <w:tab w:val="center" w:pos="8006"/>
        </w:tabs>
      </w:pPr>
      <w:r>
        <w:rPr>
          <w:rFonts w:ascii="Calibri" w:eastAsia="Calibri" w:hAnsi="Calibri" w:cs="Calibri"/>
        </w:rPr>
        <w:tab/>
      </w:r>
      <w:r>
        <w:t xml:space="preserve">Pacjent (data)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Gabinet dietetyczny Dietoterapia </w:t>
      </w:r>
      <w:bookmarkStart w:id="0" w:name="_GoBack"/>
      <w:bookmarkEnd w:id="0"/>
    </w:p>
    <w:sectPr w:rsidR="00483858" w:rsidSect="002C3816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7153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5FC0" w:rsidRDefault="00BC09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5FC0" w:rsidRDefault="00BC097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10B"/>
    <w:multiLevelType w:val="hybridMultilevel"/>
    <w:tmpl w:val="56C8C744"/>
    <w:lvl w:ilvl="0" w:tplc="2C68FD82">
      <w:start w:val="1"/>
      <w:numFmt w:val="decimal"/>
      <w:lvlText w:val="%1."/>
      <w:lvlJc w:val="left"/>
      <w:pPr>
        <w:ind w:left="705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C682CDA">
      <w:start w:val="1"/>
      <w:numFmt w:val="lowerLetter"/>
      <w:lvlText w:val="%2"/>
      <w:lvlJc w:val="left"/>
      <w:pPr>
        <w:ind w:left="14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B660A6A">
      <w:start w:val="1"/>
      <w:numFmt w:val="lowerRoman"/>
      <w:lvlText w:val="%3"/>
      <w:lvlJc w:val="left"/>
      <w:pPr>
        <w:ind w:left="21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FD65FFE">
      <w:start w:val="1"/>
      <w:numFmt w:val="decimal"/>
      <w:lvlText w:val="%4"/>
      <w:lvlJc w:val="left"/>
      <w:pPr>
        <w:ind w:left="28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4226DB0">
      <w:start w:val="1"/>
      <w:numFmt w:val="lowerLetter"/>
      <w:lvlText w:val="%5"/>
      <w:lvlJc w:val="left"/>
      <w:pPr>
        <w:ind w:left="36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34A95D2">
      <w:start w:val="1"/>
      <w:numFmt w:val="lowerRoman"/>
      <w:lvlText w:val="%6"/>
      <w:lvlJc w:val="left"/>
      <w:pPr>
        <w:ind w:left="43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AD4BA38">
      <w:start w:val="1"/>
      <w:numFmt w:val="decimal"/>
      <w:lvlText w:val="%7"/>
      <w:lvlJc w:val="left"/>
      <w:pPr>
        <w:ind w:left="50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04C0B0">
      <w:start w:val="1"/>
      <w:numFmt w:val="lowerLetter"/>
      <w:lvlText w:val="%8"/>
      <w:lvlJc w:val="left"/>
      <w:pPr>
        <w:ind w:left="57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AAA1FC">
      <w:start w:val="1"/>
      <w:numFmt w:val="lowerRoman"/>
      <w:lvlText w:val="%9"/>
      <w:lvlJc w:val="left"/>
      <w:pPr>
        <w:ind w:left="64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D65570A"/>
    <w:multiLevelType w:val="hybridMultilevel"/>
    <w:tmpl w:val="D7F09FD4"/>
    <w:lvl w:ilvl="0" w:tplc="39C214EC">
      <w:start w:val="1"/>
      <w:numFmt w:val="decimal"/>
      <w:lvlText w:val="%1."/>
      <w:lvlJc w:val="left"/>
      <w:pPr>
        <w:ind w:left="705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9EC9D18">
      <w:start w:val="1"/>
      <w:numFmt w:val="lowerLetter"/>
      <w:lvlText w:val="%2"/>
      <w:lvlJc w:val="left"/>
      <w:pPr>
        <w:ind w:left="14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236C4FA">
      <w:start w:val="1"/>
      <w:numFmt w:val="lowerRoman"/>
      <w:lvlText w:val="%3"/>
      <w:lvlJc w:val="left"/>
      <w:pPr>
        <w:ind w:left="21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6001D76">
      <w:start w:val="1"/>
      <w:numFmt w:val="decimal"/>
      <w:lvlText w:val="%4"/>
      <w:lvlJc w:val="left"/>
      <w:pPr>
        <w:ind w:left="28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DCE5C84">
      <w:start w:val="1"/>
      <w:numFmt w:val="lowerLetter"/>
      <w:lvlText w:val="%5"/>
      <w:lvlJc w:val="left"/>
      <w:pPr>
        <w:ind w:left="36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B7C84B4">
      <w:start w:val="1"/>
      <w:numFmt w:val="lowerRoman"/>
      <w:lvlText w:val="%6"/>
      <w:lvlJc w:val="left"/>
      <w:pPr>
        <w:ind w:left="43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11847C6">
      <w:start w:val="1"/>
      <w:numFmt w:val="decimal"/>
      <w:lvlText w:val="%7"/>
      <w:lvlJc w:val="left"/>
      <w:pPr>
        <w:ind w:left="50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FFC6094">
      <w:start w:val="1"/>
      <w:numFmt w:val="lowerLetter"/>
      <w:lvlText w:val="%8"/>
      <w:lvlJc w:val="left"/>
      <w:pPr>
        <w:ind w:left="57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4281D0E">
      <w:start w:val="1"/>
      <w:numFmt w:val="lowerRoman"/>
      <w:lvlText w:val="%9"/>
      <w:lvlJc w:val="left"/>
      <w:pPr>
        <w:ind w:left="64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18E4F41"/>
    <w:multiLevelType w:val="hybridMultilevel"/>
    <w:tmpl w:val="5CB4C53E"/>
    <w:lvl w:ilvl="0" w:tplc="780E1E02">
      <w:start w:val="1"/>
      <w:numFmt w:val="decimal"/>
      <w:lvlText w:val="%1."/>
      <w:lvlJc w:val="left"/>
      <w:pPr>
        <w:ind w:left="705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D9807E4">
      <w:start w:val="1"/>
      <w:numFmt w:val="lowerLetter"/>
      <w:lvlText w:val="%2"/>
      <w:lvlJc w:val="left"/>
      <w:pPr>
        <w:ind w:left="14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838B3FE">
      <w:start w:val="1"/>
      <w:numFmt w:val="lowerRoman"/>
      <w:lvlText w:val="%3"/>
      <w:lvlJc w:val="left"/>
      <w:pPr>
        <w:ind w:left="21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A3E748C">
      <w:start w:val="1"/>
      <w:numFmt w:val="decimal"/>
      <w:lvlText w:val="%4"/>
      <w:lvlJc w:val="left"/>
      <w:pPr>
        <w:ind w:left="28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E5A3D4E">
      <w:start w:val="1"/>
      <w:numFmt w:val="lowerLetter"/>
      <w:lvlText w:val="%5"/>
      <w:lvlJc w:val="left"/>
      <w:pPr>
        <w:ind w:left="36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59EB79E">
      <w:start w:val="1"/>
      <w:numFmt w:val="lowerRoman"/>
      <w:lvlText w:val="%6"/>
      <w:lvlJc w:val="left"/>
      <w:pPr>
        <w:ind w:left="43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77A3E98">
      <w:start w:val="1"/>
      <w:numFmt w:val="decimal"/>
      <w:lvlText w:val="%7"/>
      <w:lvlJc w:val="left"/>
      <w:pPr>
        <w:ind w:left="50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BD0FB56">
      <w:start w:val="1"/>
      <w:numFmt w:val="lowerLetter"/>
      <w:lvlText w:val="%8"/>
      <w:lvlJc w:val="left"/>
      <w:pPr>
        <w:ind w:left="57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CE8BC4E">
      <w:start w:val="1"/>
      <w:numFmt w:val="lowerRoman"/>
      <w:lvlText w:val="%9"/>
      <w:lvlJc w:val="left"/>
      <w:pPr>
        <w:ind w:left="64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60A38B5"/>
    <w:multiLevelType w:val="hybridMultilevel"/>
    <w:tmpl w:val="5ADE8AD6"/>
    <w:lvl w:ilvl="0" w:tplc="D42EA002">
      <w:start w:val="1"/>
      <w:numFmt w:val="decimal"/>
      <w:lvlText w:val="%1."/>
      <w:lvlJc w:val="left"/>
      <w:pPr>
        <w:ind w:left="705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A7E93F0">
      <w:start w:val="1"/>
      <w:numFmt w:val="lowerLetter"/>
      <w:lvlText w:val="%2"/>
      <w:lvlJc w:val="left"/>
      <w:pPr>
        <w:ind w:left="14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292CB80">
      <w:start w:val="1"/>
      <w:numFmt w:val="lowerRoman"/>
      <w:lvlText w:val="%3"/>
      <w:lvlJc w:val="left"/>
      <w:pPr>
        <w:ind w:left="21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D3C7A60">
      <w:start w:val="1"/>
      <w:numFmt w:val="decimal"/>
      <w:lvlText w:val="%4"/>
      <w:lvlJc w:val="left"/>
      <w:pPr>
        <w:ind w:left="28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488A006">
      <w:start w:val="1"/>
      <w:numFmt w:val="lowerLetter"/>
      <w:lvlText w:val="%5"/>
      <w:lvlJc w:val="left"/>
      <w:pPr>
        <w:ind w:left="360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C7CD796">
      <w:start w:val="1"/>
      <w:numFmt w:val="lowerRoman"/>
      <w:lvlText w:val="%6"/>
      <w:lvlJc w:val="left"/>
      <w:pPr>
        <w:ind w:left="432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E6A8B4C">
      <w:start w:val="1"/>
      <w:numFmt w:val="decimal"/>
      <w:lvlText w:val="%7"/>
      <w:lvlJc w:val="left"/>
      <w:pPr>
        <w:ind w:left="504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2F0F584">
      <w:start w:val="1"/>
      <w:numFmt w:val="lowerLetter"/>
      <w:lvlText w:val="%8"/>
      <w:lvlJc w:val="left"/>
      <w:pPr>
        <w:ind w:left="576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34E460E">
      <w:start w:val="1"/>
      <w:numFmt w:val="lowerRoman"/>
      <w:lvlText w:val="%9"/>
      <w:lvlJc w:val="left"/>
      <w:pPr>
        <w:ind w:left="6480" w:firstLine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6C"/>
    <w:rsid w:val="00736111"/>
    <w:rsid w:val="007547D4"/>
    <w:rsid w:val="00BC0978"/>
    <w:rsid w:val="00D1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A882C-6954-4C49-B4B2-41A79320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0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997</Words>
  <Characters>5683</Characters>
  <Application>Microsoft Office Word</Application>
  <DocSecurity>0</DocSecurity>
  <Lines>47</Lines>
  <Paragraphs>13</Paragraphs>
  <ScaleCrop>false</ScaleCrop>
  <Company/>
  <LinksUpToDate>false</LinksUpToDate>
  <CharactersWithSpaces>6667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dcterms:created xsi:type="dcterms:W3CDTF">2016-09-08T08:17:00Z</dcterms:created>
  <dcterms:modified xsi:type="dcterms:W3CDTF">2016-09-08T08:18:00Z</dcterms:modified>
</cp:coreProperties>
</file>