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50" w:rsidRPr="005B1150" w:rsidRDefault="005B1150" w:rsidP="005B1150">
      <w:pPr>
        <w:spacing w:after="150" w:line="540" w:lineRule="atLeast"/>
        <w:outlineLvl w:val="0"/>
        <w:rPr>
          <w:rFonts w:ascii="Georgia" w:eastAsia="Times New Roman" w:hAnsi="Georgia" w:cs="Times New Roman"/>
          <w:color w:val="333333"/>
          <w:kern w:val="36"/>
          <w:sz w:val="54"/>
          <w:szCs w:val="54"/>
          <w:lang w:eastAsia="en-CA"/>
        </w:rPr>
      </w:pPr>
      <w:r w:rsidRPr="005B1150">
        <w:rPr>
          <w:rFonts w:ascii="Georgia" w:eastAsia="Times New Roman" w:hAnsi="Georgia" w:cs="Times New Roman"/>
          <w:color w:val="333333"/>
          <w:kern w:val="36"/>
          <w:sz w:val="54"/>
          <w:szCs w:val="54"/>
          <w:lang w:eastAsia="en-CA"/>
        </w:rPr>
        <w:t>10 Principles of Change Management</w:t>
      </w:r>
    </w:p>
    <w:p w:rsidR="005B1150" w:rsidRPr="005B1150" w:rsidRDefault="005B1150" w:rsidP="005B1150">
      <w:pPr>
        <w:spacing w:after="135" w:line="240" w:lineRule="auto"/>
        <w:outlineLvl w:val="1"/>
        <w:rPr>
          <w:rFonts w:ascii="Arial" w:eastAsia="Times New Roman" w:hAnsi="Arial" w:cs="Arial"/>
          <w:b/>
          <w:bCs/>
          <w:color w:val="333333"/>
          <w:sz w:val="18"/>
          <w:szCs w:val="18"/>
          <w:lang w:eastAsia="en-CA"/>
        </w:rPr>
      </w:pPr>
      <w:r w:rsidRPr="005B1150">
        <w:rPr>
          <w:rFonts w:ascii="Arial" w:eastAsia="Times New Roman" w:hAnsi="Arial" w:cs="Arial"/>
          <w:b/>
          <w:bCs/>
          <w:color w:val="333333"/>
          <w:sz w:val="18"/>
          <w:szCs w:val="18"/>
          <w:lang w:eastAsia="en-CA"/>
        </w:rPr>
        <w:t>Tools and techniques to help companies transform quickly.</w:t>
      </w:r>
    </w:p>
    <w:p w:rsidR="005B1150" w:rsidRPr="005B1150" w:rsidRDefault="005B1150" w:rsidP="005B1150">
      <w:pPr>
        <w:spacing w:after="150" w:line="285" w:lineRule="atLeast"/>
        <w:rPr>
          <w:rFonts w:ascii="Arial" w:eastAsia="Times New Roman" w:hAnsi="Arial" w:cs="Arial"/>
          <w:color w:val="333333"/>
          <w:sz w:val="15"/>
          <w:szCs w:val="15"/>
          <w:lang w:eastAsia="en-CA"/>
        </w:rPr>
      </w:pPr>
      <w:hyperlink r:id="rId6" w:anchor="authors" w:history="1">
        <w:r w:rsidRPr="005B1150">
          <w:rPr>
            <w:rFonts w:ascii="Arial" w:eastAsia="Times New Roman" w:hAnsi="Arial" w:cs="Arial"/>
            <w:color w:val="333333"/>
            <w:sz w:val="15"/>
            <w:szCs w:val="15"/>
            <w:u w:val="single"/>
            <w:lang w:eastAsia="en-CA"/>
          </w:rPr>
          <w:t>By John Jones, DeAnne Aguirre, and Matthew Calderone</w:t>
        </w:r>
      </w:hyperlink>
    </w:p>
    <w:p w:rsidR="005B1150" w:rsidRPr="005B1150" w:rsidRDefault="005B1150" w:rsidP="005B1150">
      <w:pPr>
        <w:spacing w:after="180" w:line="285" w:lineRule="atLeast"/>
        <w:rPr>
          <w:rFonts w:ascii="Georgia" w:eastAsia="Times New Roman" w:hAnsi="Georgia" w:cs="Times New Roman"/>
          <w:color w:val="333333"/>
          <w:sz w:val="18"/>
          <w:szCs w:val="18"/>
          <w:lang w:eastAsia="en-CA"/>
        </w:rPr>
      </w:pPr>
      <w:r w:rsidRPr="005B1150">
        <w:rPr>
          <w:rFonts w:ascii="Georgia" w:eastAsia="Times New Roman" w:hAnsi="Georgia" w:cs="Times New Roman"/>
          <w:color w:val="333333"/>
          <w:sz w:val="18"/>
          <w:szCs w:val="18"/>
          <w:lang w:eastAsia="en-CA"/>
        </w:rPr>
        <w:t>Way back when (pick your date), senior executives in large companies had a simple goal for themselves and their organizations: stability. Shareholders wanted little more than predictable earnings growth. Because so many markets were either closed or undeveloped, leaders could deliver on those expectations through annual exercises that offered only modest modifications to the strategic plan. Prices stayed in check; people stayed in their jobs; life was good.</w:t>
      </w:r>
    </w:p>
    <w:p w:rsidR="005B1150" w:rsidRPr="005B1150" w:rsidRDefault="005B1150" w:rsidP="005B1150">
      <w:pPr>
        <w:spacing w:after="180" w:line="285" w:lineRule="atLeast"/>
        <w:rPr>
          <w:rFonts w:ascii="Georgia" w:eastAsia="Times New Roman" w:hAnsi="Georgia" w:cs="Times New Roman"/>
          <w:color w:val="333333"/>
          <w:sz w:val="18"/>
          <w:szCs w:val="18"/>
          <w:lang w:eastAsia="en-CA"/>
        </w:rPr>
      </w:pPr>
      <w:r w:rsidRPr="005B1150">
        <w:rPr>
          <w:rFonts w:ascii="Georgia" w:eastAsia="Times New Roman" w:hAnsi="Georgia" w:cs="Times New Roman"/>
          <w:color w:val="333333"/>
          <w:sz w:val="18"/>
          <w:szCs w:val="18"/>
          <w:lang w:eastAsia="en-CA"/>
        </w:rPr>
        <w:t>Market transparency, labor mobility, global capital flows, and instantaneous communications have blown that comfortable scenario to smithereens. In most industries — and in almost all companies, from giants on down — heightened global competition has concentrated management’s collective mind on something that, in the past, it happily avoided: change. Successful companies, as Harvard Business School professor Rosabeth Moss Kanter told </w:t>
      </w:r>
      <w:r w:rsidRPr="005B1150">
        <w:rPr>
          <w:rFonts w:ascii="Georgia" w:eastAsia="Times New Roman" w:hAnsi="Georgia" w:cs="Times New Roman"/>
          <w:i/>
          <w:iCs/>
          <w:color w:val="333333"/>
          <w:sz w:val="18"/>
          <w:szCs w:val="18"/>
          <w:lang w:eastAsia="en-CA"/>
        </w:rPr>
        <w:t>s+b</w:t>
      </w:r>
      <w:r w:rsidRPr="005B1150">
        <w:rPr>
          <w:rFonts w:ascii="Georgia" w:eastAsia="Times New Roman" w:hAnsi="Georgia" w:cs="Times New Roman"/>
          <w:color w:val="333333"/>
          <w:sz w:val="18"/>
          <w:szCs w:val="18"/>
          <w:lang w:eastAsia="en-CA"/>
        </w:rPr>
        <w:t> in 1999, develop “a culture that just keeps moving all the time.”</w:t>
      </w:r>
    </w:p>
    <w:p w:rsidR="005B1150" w:rsidRPr="005B1150" w:rsidRDefault="005B1150" w:rsidP="005B1150">
      <w:pPr>
        <w:spacing w:after="180" w:line="285" w:lineRule="atLeast"/>
        <w:rPr>
          <w:rFonts w:ascii="Georgia" w:eastAsia="Times New Roman" w:hAnsi="Georgia" w:cs="Times New Roman"/>
          <w:color w:val="333333"/>
          <w:sz w:val="18"/>
          <w:szCs w:val="18"/>
          <w:lang w:eastAsia="en-CA"/>
        </w:rPr>
      </w:pPr>
      <w:r w:rsidRPr="005B1150">
        <w:rPr>
          <w:rFonts w:ascii="Georgia" w:eastAsia="Times New Roman" w:hAnsi="Georgia" w:cs="Times New Roman"/>
          <w:color w:val="333333"/>
          <w:sz w:val="18"/>
          <w:szCs w:val="18"/>
          <w:lang w:eastAsia="en-CA"/>
        </w:rPr>
        <w:t>This presents most senior executives with an unfamiliar challenge. In major transformations of large enterprises, they and their advisors conventionally focus their attention on devising the best strategic and tactical plans. But to succeed, they also must have an intimate understanding of the human side of change management — the alignment of the company’s culture, values, people, and behaviors — to encourage the desired results. Plans themselves do not capture value; value is realized only through the sustained, collective actions of the thousands — perhaps the tens of thousands — of employees who are responsible for designing, executing, and living with the changed environment.</w:t>
      </w:r>
    </w:p>
    <w:p w:rsidR="005B1150" w:rsidRPr="005B1150" w:rsidRDefault="005B1150" w:rsidP="005B1150">
      <w:pPr>
        <w:spacing w:after="180" w:line="285" w:lineRule="atLeast"/>
        <w:rPr>
          <w:rFonts w:ascii="Georgia" w:eastAsia="Times New Roman" w:hAnsi="Georgia" w:cs="Times New Roman"/>
          <w:color w:val="333333"/>
          <w:sz w:val="18"/>
          <w:szCs w:val="18"/>
          <w:lang w:eastAsia="en-CA"/>
        </w:rPr>
      </w:pPr>
      <w:r w:rsidRPr="005B1150">
        <w:rPr>
          <w:rFonts w:ascii="Georgia" w:eastAsia="Times New Roman" w:hAnsi="Georgia" w:cs="Times New Roman"/>
          <w:color w:val="333333"/>
          <w:sz w:val="18"/>
          <w:szCs w:val="18"/>
          <w:lang w:eastAsia="en-CA"/>
        </w:rPr>
        <w:t>Long-term structural transformation has four characteristics: scale (the change affects all or most of the organization), magnitude (it involves significant alterations of the status quo), duration (it lasts for months, if not years), and strategic importance. Yet companies will reap the rewards only when change occurs at the level of the individual employee.</w:t>
      </w:r>
    </w:p>
    <w:p w:rsidR="005B1150" w:rsidRPr="005B1150" w:rsidRDefault="005B1150" w:rsidP="005B1150">
      <w:pPr>
        <w:spacing w:after="180" w:line="285" w:lineRule="atLeast"/>
        <w:rPr>
          <w:rFonts w:ascii="Georgia" w:eastAsia="Times New Roman" w:hAnsi="Georgia" w:cs="Times New Roman"/>
          <w:color w:val="333333"/>
          <w:sz w:val="18"/>
          <w:szCs w:val="18"/>
          <w:lang w:eastAsia="en-CA"/>
        </w:rPr>
      </w:pPr>
      <w:r w:rsidRPr="005B1150">
        <w:rPr>
          <w:rFonts w:ascii="Georgia" w:eastAsia="Times New Roman" w:hAnsi="Georgia" w:cs="Times New Roman"/>
          <w:color w:val="333333"/>
          <w:sz w:val="18"/>
          <w:szCs w:val="18"/>
          <w:lang w:eastAsia="en-CA"/>
        </w:rPr>
        <w:t>Many senior executives know this and worry about it. When asked what keeps them up at night, CEOs involved in transformation often say they are concerned about how the work force will react, how they can get their team to work together, and how they will be able to lead their people. They also worry about retaining their company’s unique values and sense of identity and about creating a culture of commitment and performance. Leadership teams that fail to plan for the human side of change often find themselves wondering why their best-laid plans have gone awry.</w:t>
      </w:r>
    </w:p>
    <w:p w:rsidR="005B1150" w:rsidRPr="005B1150" w:rsidRDefault="005B1150" w:rsidP="005B1150">
      <w:pPr>
        <w:spacing w:after="180" w:line="285" w:lineRule="atLeast"/>
        <w:rPr>
          <w:rFonts w:ascii="Georgia" w:eastAsia="Times New Roman" w:hAnsi="Georgia" w:cs="Times New Roman"/>
          <w:color w:val="333333"/>
          <w:sz w:val="18"/>
          <w:szCs w:val="18"/>
          <w:lang w:eastAsia="en-CA"/>
        </w:rPr>
      </w:pPr>
      <w:r w:rsidRPr="005B1150">
        <w:rPr>
          <w:rFonts w:ascii="Georgia" w:eastAsia="Times New Roman" w:hAnsi="Georgia" w:cs="Times New Roman"/>
          <w:color w:val="333333"/>
          <w:sz w:val="18"/>
          <w:szCs w:val="18"/>
          <w:lang w:eastAsia="en-CA"/>
        </w:rPr>
        <w:t>No single methodology fits every company, but there is a set of practices, tools, and techniques that can be adapted to a variety of situations. What follows is a “Top 10” list of guiding principles for change management. Using these as a systematic, comprehensive framework, executives can understand what to expect, how to manage their own personal change, and how to engage the entire organization in the process.</w:t>
      </w:r>
    </w:p>
    <w:p w:rsidR="005B1150" w:rsidRPr="005B1150" w:rsidRDefault="005B1150" w:rsidP="005B1150">
      <w:pPr>
        <w:spacing w:after="180" w:line="285" w:lineRule="atLeast"/>
        <w:rPr>
          <w:rFonts w:ascii="Georgia" w:eastAsia="Times New Roman" w:hAnsi="Georgia" w:cs="Times New Roman"/>
          <w:color w:val="333333"/>
          <w:sz w:val="18"/>
          <w:szCs w:val="18"/>
          <w:lang w:eastAsia="en-CA"/>
        </w:rPr>
      </w:pPr>
      <w:r w:rsidRPr="005B1150">
        <w:rPr>
          <w:rFonts w:ascii="Georgia" w:eastAsia="Times New Roman" w:hAnsi="Georgia" w:cs="Times New Roman"/>
          <w:b/>
          <w:bCs/>
          <w:color w:val="333333"/>
          <w:sz w:val="18"/>
          <w:szCs w:val="18"/>
          <w:lang w:eastAsia="en-CA"/>
        </w:rPr>
        <w:t>1. Address the “human side” systematically.</w:t>
      </w:r>
      <w:r w:rsidRPr="005B1150">
        <w:rPr>
          <w:rFonts w:ascii="Georgia" w:eastAsia="Times New Roman" w:hAnsi="Georgia" w:cs="Times New Roman"/>
          <w:color w:val="333333"/>
          <w:sz w:val="18"/>
          <w:szCs w:val="18"/>
          <w:lang w:eastAsia="en-CA"/>
        </w:rPr>
        <w:t xml:space="preserve"> Any significant transformation creates “people issues.” New leaders will be asked to step up, jobs will be changed, new skills and capabilities must be developed, and employees will be uncertain and resistant. Dealing with these issues on a reactive, case-by-case basis puts speed, morale, and results at risk. A formal approach for managing change — beginning with the leadership team and then engaging key stakeholders and leaders — should be developed early, and adapted often as change moves through the organization. This demands as much data collection and analysis, planning, and implementation discipline as does a redesign of strategy, systems, or processes. The change-management approach should be fully integrated into program design </w:t>
      </w:r>
      <w:r w:rsidRPr="005B1150">
        <w:rPr>
          <w:rFonts w:ascii="Georgia" w:eastAsia="Times New Roman" w:hAnsi="Georgia" w:cs="Times New Roman"/>
          <w:color w:val="333333"/>
          <w:sz w:val="18"/>
          <w:szCs w:val="18"/>
          <w:lang w:eastAsia="en-CA"/>
        </w:rPr>
        <w:lastRenderedPageBreak/>
        <w:t>and decision making, both informing and enabling strategic direction. It should be based on a realistic assessment of the organization’s history, readiness, and capacity to change.</w:t>
      </w:r>
    </w:p>
    <w:p w:rsidR="005B1150" w:rsidRPr="005B1150" w:rsidRDefault="005B1150" w:rsidP="005B1150">
      <w:pPr>
        <w:spacing w:after="0" w:line="285" w:lineRule="atLeast"/>
        <w:rPr>
          <w:rFonts w:ascii="Georgia" w:eastAsia="Times New Roman" w:hAnsi="Georgia" w:cs="Times New Roman"/>
          <w:color w:val="333333"/>
          <w:sz w:val="18"/>
          <w:szCs w:val="18"/>
          <w:lang w:eastAsia="en-CA"/>
        </w:rPr>
      </w:pPr>
      <w:r w:rsidRPr="005B1150">
        <w:rPr>
          <w:rFonts w:ascii="Georgia" w:eastAsia="Times New Roman" w:hAnsi="Georgia" w:cs="Times New Roman"/>
          <w:color w:val="333333"/>
          <w:sz w:val="18"/>
          <w:szCs w:val="18"/>
          <w:lang w:eastAsia="en-CA"/>
        </w:rPr>
        <w:t> </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t>2. Start at the top.</w:t>
      </w:r>
      <w:r w:rsidRPr="001204F4">
        <w:rPr>
          <w:rFonts w:ascii="Georgia" w:eastAsia="Times New Roman" w:hAnsi="Georgia" w:cs="Times New Roman"/>
          <w:color w:val="333333"/>
          <w:sz w:val="18"/>
          <w:szCs w:val="18"/>
          <w:lang w:eastAsia="en-CA"/>
        </w:rPr>
        <w:t> Because change is inherently unsettling for people at all levels of an organization, when it is on the horizon, all eyes will turn to the CEO and the leadership team for strength, support, and direction. The leaders themselves must embrace the new approaches first, both to challenge and to motivate the rest of the institution. They must speak with one voice and model the desired behaviors. The executive team also needs to understand that, although its public face may be one of unity, it, too, is composed of individuals who are going through stressful times and need to be supported.</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Executive teams that work well together are best positioned for success. They are aligned and committed to the direction of change, understand the culture and behaviors the changes intend to introduce, and can model those changes themselves. At one large transportation company, the senior team rolled out an initiative to improve the efficiency and performance of its corporate and field staff before addressing change issues at the officer level. The initiative realized initial cost savings but stalled as employees began to question the leadership team’s vision and commitment. Only after the leadership team went through the process of aligning and committing to the change initiative was the work force able to deliver downstream results.</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t>3. Involve every layer.</w:t>
      </w:r>
      <w:r w:rsidRPr="001204F4">
        <w:rPr>
          <w:rFonts w:ascii="Georgia" w:eastAsia="Times New Roman" w:hAnsi="Georgia" w:cs="Times New Roman"/>
          <w:color w:val="333333"/>
          <w:sz w:val="18"/>
          <w:szCs w:val="18"/>
          <w:lang w:eastAsia="en-CA"/>
        </w:rPr>
        <w:t> As transformation programs progress from defining strategy and setting targets to design and implementation, they affect different levels of the organization. Change efforts must include plans for identifying leaders throughout the company and pushing responsibility for design and implementation down, so that change “cascades” through the organization. At each layer of the organization, the leaders who are identified and trained must be aligned to the company’s vision, equipped to execute their specific mission, and motivated to make change happen.</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A major multiline insurer with consistently flat earnings decided to change performance and behavior in preparation for going public. The company followed this “cascading leadership” methodology, training and supporting teams at each stage. First, 10 officers set the strategy, vision, and targets. Next, more than 60 senior executives and managers designed the core of the change initiative. Then 500 leaders from the field drove implementation. The structure remained in place throughout the change program, which doubled the company’s earnings far ahead of schedule. This approach is also a superb way for a company to identify its next generation of leadership.</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t>4. Make the formal case.</w:t>
      </w:r>
      <w:r w:rsidRPr="001204F4">
        <w:rPr>
          <w:rFonts w:ascii="Georgia" w:eastAsia="Times New Roman" w:hAnsi="Georgia" w:cs="Times New Roman"/>
          <w:color w:val="333333"/>
          <w:sz w:val="18"/>
          <w:szCs w:val="18"/>
          <w:lang w:eastAsia="en-CA"/>
        </w:rPr>
        <w:t> Individuals are inherently rational and will question to what extent change is needed, whether the company is headed in the right direction, and whether they want to commit personally to making change happen. They will look to the leadership for answers. The articulation of a formal case for change and the creation of a written vision statement are invaluable opportunities to create or compel leadership-team alignment.</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Three steps should be followed in developing the case: First, confront reality and articulate a convincing need for change. Second, demonstrate faith that the company has a viable future and the leadership to get there. Finally, provide a road map to guide behavior and decision making. Leaders must then customize this message for various internal audiences, describing the pending change in terms that matter to the individuals.</w:t>
      </w:r>
    </w:p>
    <w:p w:rsid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 xml:space="preserve">A consumer packaged-goods company experiencing years of steadily declining earnings determined that it needed to significantly restructure its operations — instituting, among other things, a 30 percent work force reduction — to remain competitive. In a series of offsite meetings, the executive team built a brutally honest business case that downsizing was the only way to keep the business viable, and drew on the company’s proud heritage to craft a compelling vision to lead the company forward. By confronting reality and helping employees understand the </w:t>
      </w:r>
      <w:r w:rsidRPr="001204F4">
        <w:rPr>
          <w:rFonts w:ascii="Georgia" w:eastAsia="Times New Roman" w:hAnsi="Georgia" w:cs="Times New Roman"/>
          <w:color w:val="333333"/>
          <w:sz w:val="18"/>
          <w:szCs w:val="18"/>
          <w:lang w:eastAsia="en-CA"/>
        </w:rPr>
        <w:lastRenderedPageBreak/>
        <w:t>necessity for change, leaders were able to motivate the organization to follow the new direction in the midst of the largest downsizing in the company’s history. Instead of being shell-shocked and demoralized, those who stayed felt a renewed resolve to help the enterprise advance.</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t>5. Create ownership.</w:t>
      </w:r>
      <w:r w:rsidRPr="001204F4">
        <w:rPr>
          <w:rFonts w:ascii="Georgia" w:eastAsia="Times New Roman" w:hAnsi="Georgia" w:cs="Times New Roman"/>
          <w:color w:val="333333"/>
          <w:sz w:val="18"/>
          <w:szCs w:val="18"/>
          <w:lang w:eastAsia="en-CA"/>
        </w:rPr>
        <w:t xml:space="preserve"> Leaders of large change programs must </w:t>
      </w:r>
      <w:proofErr w:type="spellStart"/>
      <w:r w:rsidRPr="001204F4">
        <w:rPr>
          <w:rFonts w:ascii="Georgia" w:eastAsia="Times New Roman" w:hAnsi="Georgia" w:cs="Times New Roman"/>
          <w:color w:val="333333"/>
          <w:sz w:val="18"/>
          <w:szCs w:val="18"/>
          <w:lang w:eastAsia="en-CA"/>
        </w:rPr>
        <w:t>overperform</w:t>
      </w:r>
      <w:proofErr w:type="spellEnd"/>
      <w:r w:rsidRPr="001204F4">
        <w:rPr>
          <w:rFonts w:ascii="Georgia" w:eastAsia="Times New Roman" w:hAnsi="Georgia" w:cs="Times New Roman"/>
          <w:color w:val="333333"/>
          <w:sz w:val="18"/>
          <w:szCs w:val="18"/>
          <w:lang w:eastAsia="en-CA"/>
        </w:rPr>
        <w:t xml:space="preserve"> during the transformation and be the zealots who create a critical mass among the work force in favor of change. This requires more than mere buy-in or passive agreement that the direction of change is acceptable. It demands ownership by leaders willing to accept responsibility for making change happen in all of the areas they influence or control. Ownership is often best created by involving people in identifying problems and crafting solutions. It is reinforced by incentives and rewards. These can be tangible (for example, financial compensation) or psychological (for example, camaraderie and a sense of shared destiny).</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At a large health-care organization that was moving to a shared-services model for administrative support, the first department to create detailed designs for the new organization was human resources. Its personnel worked with advisors in cross-functional teams for more than six months. But as the designs were being finalized, top departmental executives began to resist the move to implementation. While agreeing that the work was top-notch, the executives realized they hadn’t invested enough individual time in the design process to feel the ownership required to begin implementation. On the basis of their feedback, the process was modified to include a “deep dive.” The departmental executives worked with the design teams to learn more, and get further exposure to changes that would occur. This was the turning point; the transition then happened quickly. It also created a forum for top executives to work as a team, creating a sense of alignment and unity that the group hadn’t felt before.</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t>6. Communicate the message.</w:t>
      </w:r>
      <w:r w:rsidRPr="001204F4">
        <w:rPr>
          <w:rFonts w:ascii="Georgia" w:eastAsia="Times New Roman" w:hAnsi="Georgia" w:cs="Times New Roman"/>
          <w:color w:val="333333"/>
          <w:sz w:val="18"/>
          <w:szCs w:val="18"/>
          <w:lang w:eastAsia="en-CA"/>
        </w:rPr>
        <w:t xml:space="preserve"> Too often, change leaders make the mistake of believing that others understand the issues, feel the need to change, and see the new direction as clearly as they do. The best change programs reinforce core messages through regular, timely advice that is both inspirational and practicable. Communications flow in from the bottom and out from the top, and are targeted to provide employees the right information at the right time and to solicit their input and feedback. Often this will require </w:t>
      </w:r>
      <w:proofErr w:type="spellStart"/>
      <w:r w:rsidRPr="001204F4">
        <w:rPr>
          <w:rFonts w:ascii="Georgia" w:eastAsia="Times New Roman" w:hAnsi="Georgia" w:cs="Times New Roman"/>
          <w:color w:val="333333"/>
          <w:sz w:val="18"/>
          <w:szCs w:val="18"/>
          <w:lang w:eastAsia="en-CA"/>
        </w:rPr>
        <w:t>overcommunication</w:t>
      </w:r>
      <w:proofErr w:type="spellEnd"/>
      <w:r w:rsidRPr="001204F4">
        <w:rPr>
          <w:rFonts w:ascii="Georgia" w:eastAsia="Times New Roman" w:hAnsi="Georgia" w:cs="Times New Roman"/>
          <w:color w:val="333333"/>
          <w:sz w:val="18"/>
          <w:szCs w:val="18"/>
          <w:lang w:eastAsia="en-CA"/>
        </w:rPr>
        <w:t xml:space="preserve"> through multiple, redundant channels.</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 xml:space="preserve">In the late 1990s, the commissioner of the Internal Revenue Service, Charles O. </w:t>
      </w:r>
      <w:proofErr w:type="spellStart"/>
      <w:r w:rsidRPr="001204F4">
        <w:rPr>
          <w:rFonts w:ascii="Georgia" w:eastAsia="Times New Roman" w:hAnsi="Georgia" w:cs="Times New Roman"/>
          <w:color w:val="333333"/>
          <w:sz w:val="18"/>
          <w:szCs w:val="18"/>
          <w:lang w:eastAsia="en-CA"/>
        </w:rPr>
        <w:t>Rossotti</w:t>
      </w:r>
      <w:proofErr w:type="spellEnd"/>
      <w:r w:rsidRPr="001204F4">
        <w:rPr>
          <w:rFonts w:ascii="Georgia" w:eastAsia="Times New Roman" w:hAnsi="Georgia" w:cs="Times New Roman"/>
          <w:color w:val="333333"/>
          <w:sz w:val="18"/>
          <w:szCs w:val="18"/>
          <w:lang w:eastAsia="en-CA"/>
        </w:rPr>
        <w:t>, had a vision: The IRS could treat taxpayers as customers and turn a feared bureaucracy into a world-class service organization. Getting more than 100,000 employees to think and act differently required more than just systems redesign and process change. IRS leadership designed and executed an ambitious communications program including daily voice mails from the commissioner and his top staff, training sessions, videotapes, newsletters, and town hall meetings that continued through the transformation. Timely, constant, practical communication was at the heart of the program, which brought the IRS’s customer ratings from the lowest in various surveys to its current ranking above the likes of McDonald’s and most airlines.</w:t>
      </w:r>
    </w:p>
    <w:p w:rsid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t>7. Assess the cultural landscape.</w:t>
      </w:r>
      <w:r w:rsidRPr="001204F4">
        <w:rPr>
          <w:rFonts w:ascii="Georgia" w:eastAsia="Times New Roman" w:hAnsi="Georgia" w:cs="Times New Roman"/>
          <w:color w:val="333333"/>
          <w:sz w:val="18"/>
          <w:szCs w:val="18"/>
          <w:lang w:eastAsia="en-CA"/>
        </w:rPr>
        <w:t> Successful change programs pick up speed and intensity as they cascade down, making it critically important that leaders understand and account for culture and behaviors at each level of the organization. Companies often make the mistake of assessing culture either too late or not at all. Thorough cultural diagnostics can assess organizational readiness to change, bring major problems to the surface, identify conflicts, and define factors that can recognize and influence sources of leadership and resistance. These diagnostics identify the core values, beliefs, behaviors, and perceptions that must be taken into account for successful change to occur. They serve as the common baseline for designing essential change elements, such as the new corporate vision, and building the infrastructure and programs needed to drive change.</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lastRenderedPageBreak/>
        <w:t>8. Address culture explicitly.</w:t>
      </w:r>
      <w:r w:rsidRPr="001204F4">
        <w:rPr>
          <w:rFonts w:ascii="Georgia" w:eastAsia="Times New Roman" w:hAnsi="Georgia" w:cs="Times New Roman"/>
          <w:color w:val="333333"/>
          <w:sz w:val="18"/>
          <w:szCs w:val="18"/>
          <w:lang w:eastAsia="en-CA"/>
        </w:rPr>
        <w:t> Once the culture is understood, it should be addressed as thoroughly as any other area in a change program. Leaders should be explicit about the culture and underlying behaviors that will best support the new way of doing business, and find opportunities to model and reward those behaviors. This requires developing a baseline, defining an explicit end-state or desired culture, and devising detailed plans to make the transition.</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Company culture is an amalgam of shared history, explicit values and beliefs, and common attitudes and behaviors. Change programs can involve creating a culture (in new companies or those built through multiple acquisitions), combining cultures (in mergers or acquisitions of large companies), or reinforcing cultures (in, say, long-established consumer goods or manufacturing companies). Understanding that all companies have a cultural center — the locus of thought, activity, influence, or personal identification — is often an effective way to jump-start culture change.</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A consumer goods company with a suite of premium brands determined that business realities demanded a greater focus on profitability and bottom-line accountability. In addition to redesigning metrics and incentives, it developed a plan to systematically change the company’s culture, beginning with marketing, the company’s historical center. It brought the marketing staff into the process early to create enthusiasts for the new philosophy who adapted marketing campaigns, spending plans, and incentive programs to be more accountable. Seeing these culture leaders grab onto the new program, the rest of the company quickly fell in line.</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t>9. Prepare for the unexpected.</w:t>
      </w:r>
      <w:r w:rsidRPr="001204F4">
        <w:rPr>
          <w:rFonts w:ascii="Georgia" w:eastAsia="Times New Roman" w:hAnsi="Georgia" w:cs="Times New Roman"/>
          <w:color w:val="333333"/>
          <w:sz w:val="18"/>
          <w:szCs w:val="18"/>
          <w:lang w:eastAsia="en-CA"/>
        </w:rPr>
        <w:t> No change program goes completely according to plan. People react in unexpected ways; areas of anticipated resistance fall away; and the external environment shifts. Effectively managing change requires continual reassessment of its impact and the organization’s willingness and ability to adopt the next wave of transformation. Fed by real data from the field and supported by information and solid decision-making processes, change leaders can then make the adjustments necessary to maintain momentum and drive results.</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A leading U.S. health-care company was facing competitive and financial pressures from its inability to react to changes in the marketplace. A diagnosis revealed shortcomings in its organizational structure and governance, and the company decided to implement a new operating model. In the midst of detailed design, a new CEO and leadership team took over. The new team was initially skeptical, but was ultimately convinced that a solid case for change, grounded in facts and supported by the organization at large, existed. Some adjustments were made to the speed and sequence of implementation, but the fundamentals of the new operating model remained unchanged.</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t>10. Speak to the individual.</w:t>
      </w:r>
      <w:r w:rsidRPr="001204F4">
        <w:rPr>
          <w:rFonts w:ascii="Georgia" w:eastAsia="Times New Roman" w:hAnsi="Georgia" w:cs="Times New Roman"/>
          <w:color w:val="333333"/>
          <w:sz w:val="18"/>
          <w:szCs w:val="18"/>
          <w:lang w:eastAsia="en-CA"/>
        </w:rPr>
        <w:t> Change is both an institutional journey and a very personal one. People spend many hours each week at work; many think of their colleagues as a second family. Individuals (or teams of individuals) need to know how their work will change, what is expected of them during and after the change program, how they will be measured, and what success or failure will mean for them and those around them. Team leaders should be as honest and explicit as possible. People will react to what they see and hear around them, and need to be involved in the change process. Highly visible rewards, such as promotion, recognition, and bonuses, should be provided as dramatic reinforcement for embracing change. Sanction or removal of people standing in the way of change will reinforce the institution’s commitment.</w:t>
      </w:r>
    </w:p>
    <w:p w:rsid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Most leaders contemplating change know that people matter. It is all too tempting, however, to dwell on the plans and processes, which don’t talk back and don’t respond emotionally, rather than face up to the more difficult and more critical human issues. But mastering the “soft” side of change management needn’t be a mystery.</w:t>
      </w:r>
      <w:r>
        <w:rPr>
          <w:rFonts w:ascii="Georgia" w:eastAsia="Times New Roman" w:hAnsi="Georgia" w:cs="Times New Roman"/>
          <w:noProof/>
          <w:color w:val="333333"/>
          <w:sz w:val="18"/>
          <w:szCs w:val="18"/>
          <w:lang w:eastAsia="en-CA"/>
        </w:rPr>
        <w:drawing>
          <wp:inline distT="0" distB="0" distL="0" distR="0">
            <wp:extent cx="304800" cy="114300"/>
            <wp:effectExtent l="0" t="0" r="0" b="0"/>
            <wp:docPr id="1" name="Picture 1" descr="http://www.strategy-business.com/media/image/end_of_s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ategy-business.com/media/image/end_of_stor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p>
    <w:p w:rsidR="001204F4" w:rsidRDefault="001204F4" w:rsidP="001204F4">
      <w:pPr>
        <w:spacing w:after="180" w:line="285" w:lineRule="atLeast"/>
        <w:rPr>
          <w:rFonts w:ascii="Georgia" w:eastAsia="Times New Roman" w:hAnsi="Georgia" w:cs="Times New Roman"/>
          <w:color w:val="333333"/>
          <w:sz w:val="18"/>
          <w:szCs w:val="18"/>
          <w:lang w:eastAsia="en-CA"/>
        </w:rPr>
      </w:pPr>
    </w:p>
    <w:p w:rsidR="000F3DED" w:rsidRDefault="000F3DED" w:rsidP="001204F4">
      <w:pPr>
        <w:spacing w:after="180" w:line="285" w:lineRule="atLeast"/>
        <w:rPr>
          <w:rFonts w:ascii="Georgia" w:eastAsia="Times New Roman" w:hAnsi="Georgia" w:cs="Times New Roman"/>
          <w:color w:val="333333"/>
          <w:sz w:val="18"/>
          <w:szCs w:val="18"/>
          <w:lang w:eastAsia="en-CA"/>
        </w:rPr>
      </w:pPr>
      <w:bookmarkStart w:id="0" w:name="_GoBack"/>
      <w:bookmarkEnd w:id="0"/>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b/>
          <w:bCs/>
          <w:color w:val="333333"/>
          <w:sz w:val="18"/>
          <w:szCs w:val="18"/>
          <w:lang w:eastAsia="en-CA"/>
        </w:rPr>
        <w:lastRenderedPageBreak/>
        <w:t>Author Profiles:</w:t>
      </w:r>
    </w:p>
    <w:p w:rsidR="001204F4" w:rsidRPr="001204F4" w:rsidRDefault="001204F4" w:rsidP="001204F4">
      <w:pPr>
        <w:spacing w:after="0" w:line="285" w:lineRule="atLeast"/>
        <w:rPr>
          <w:rFonts w:ascii="Times New Roman" w:eastAsia="Times New Roman" w:hAnsi="Times New Roman" w:cs="Times New Roman"/>
          <w:sz w:val="24"/>
          <w:szCs w:val="24"/>
          <w:lang w:eastAsia="en-CA"/>
        </w:rPr>
      </w:pPr>
      <w:r w:rsidRPr="001204F4">
        <w:rPr>
          <w:rFonts w:ascii="Georgia" w:eastAsia="Times New Roman" w:hAnsi="Georgia" w:cs="Times New Roman"/>
          <w:color w:val="333333"/>
          <w:sz w:val="18"/>
          <w:szCs w:val="18"/>
          <w:lang w:eastAsia="en-CA"/>
        </w:rPr>
        <w:pict>
          <v:rect id="_x0000_i1027" style="width:468pt;height:.6pt" o:hralign="center" o:hrstd="t" o:hrnoshade="t" o:hr="t" fillcolor="black" stroked="f"/>
        </w:pict>
      </w:r>
    </w:p>
    <w:p w:rsidR="001204F4" w:rsidRPr="001204F4" w:rsidRDefault="001204F4" w:rsidP="001204F4">
      <w:pPr>
        <w:spacing w:after="0" w:line="285" w:lineRule="atLeast"/>
        <w:rPr>
          <w:rFonts w:ascii="Arial" w:eastAsia="Times New Roman" w:hAnsi="Arial" w:cs="Arial"/>
          <w:color w:val="333333"/>
          <w:sz w:val="20"/>
          <w:szCs w:val="20"/>
          <w:lang w:eastAsia="en-CA"/>
        </w:rPr>
      </w:pPr>
      <w:r w:rsidRPr="001204F4">
        <w:rPr>
          <w:rFonts w:ascii="Arial" w:eastAsia="Times New Roman" w:hAnsi="Arial" w:cs="Arial"/>
          <w:b/>
          <w:bCs/>
          <w:color w:val="000000"/>
          <w:sz w:val="15"/>
          <w:szCs w:val="15"/>
          <w:lang w:eastAsia="en-CA"/>
        </w:rPr>
        <w:t>John Jones</w:t>
      </w:r>
      <w:r w:rsidRPr="001204F4">
        <w:rPr>
          <w:rFonts w:ascii="Arial" w:eastAsia="Times New Roman" w:hAnsi="Arial" w:cs="Arial"/>
          <w:color w:val="000000"/>
          <w:sz w:val="15"/>
          <w:szCs w:val="15"/>
          <w:lang w:eastAsia="en-CA"/>
        </w:rPr>
        <w:t> (</w:t>
      </w:r>
      <w:hyperlink r:id="rId8" w:history="1">
        <w:r w:rsidRPr="001204F4">
          <w:rPr>
            <w:rFonts w:ascii="Arial" w:eastAsia="Times New Roman" w:hAnsi="Arial" w:cs="Arial"/>
            <w:color w:val="3366CC"/>
            <w:sz w:val="15"/>
            <w:szCs w:val="15"/>
            <w:u w:val="single"/>
            <w:lang w:eastAsia="en-CA"/>
          </w:rPr>
          <w:t>jones_john@bah.com</w:t>
        </w:r>
      </w:hyperlink>
      <w:r w:rsidRPr="001204F4">
        <w:rPr>
          <w:rFonts w:ascii="Arial" w:eastAsia="Times New Roman" w:hAnsi="Arial" w:cs="Arial"/>
          <w:color w:val="000000"/>
          <w:sz w:val="15"/>
          <w:szCs w:val="15"/>
          <w:lang w:eastAsia="en-CA"/>
        </w:rPr>
        <w:t>) is a vice president with Booz Allen Hamilton in New York. Mr. Jones is a specialist in organization design, process reengineering, and change management.</w:t>
      </w:r>
    </w:p>
    <w:p w:rsidR="001204F4" w:rsidRPr="001204F4" w:rsidRDefault="001204F4" w:rsidP="001204F4">
      <w:pPr>
        <w:spacing w:after="0" w:line="285" w:lineRule="atLeast"/>
        <w:rPr>
          <w:rFonts w:ascii="Arial" w:eastAsia="Times New Roman" w:hAnsi="Arial" w:cs="Arial"/>
          <w:color w:val="333333"/>
          <w:sz w:val="20"/>
          <w:szCs w:val="20"/>
          <w:lang w:eastAsia="en-CA"/>
        </w:rPr>
      </w:pPr>
      <w:r w:rsidRPr="001204F4">
        <w:rPr>
          <w:rFonts w:ascii="Arial" w:eastAsia="Times New Roman" w:hAnsi="Arial" w:cs="Arial"/>
          <w:color w:val="333333"/>
          <w:sz w:val="20"/>
          <w:szCs w:val="20"/>
          <w:lang w:eastAsia="en-CA"/>
        </w:rPr>
        <w:pict>
          <v:rect id="_x0000_i1028" style="width:468pt;height:.6pt" o:hralign="center" o:hrstd="t" o:hrnoshade="t" o:hr="t" fillcolor="black" stroked="f"/>
        </w:pict>
      </w:r>
    </w:p>
    <w:p w:rsidR="001204F4" w:rsidRPr="001204F4" w:rsidRDefault="001204F4" w:rsidP="001204F4">
      <w:pPr>
        <w:spacing w:after="0" w:line="285" w:lineRule="atLeast"/>
        <w:rPr>
          <w:rFonts w:ascii="Arial" w:eastAsia="Times New Roman" w:hAnsi="Arial" w:cs="Arial"/>
          <w:color w:val="333333"/>
          <w:sz w:val="20"/>
          <w:szCs w:val="20"/>
          <w:lang w:eastAsia="en-CA"/>
        </w:rPr>
      </w:pPr>
      <w:proofErr w:type="spellStart"/>
      <w:r w:rsidRPr="001204F4">
        <w:rPr>
          <w:rFonts w:ascii="Arial" w:eastAsia="Times New Roman" w:hAnsi="Arial" w:cs="Arial"/>
          <w:b/>
          <w:bCs/>
          <w:color w:val="000000"/>
          <w:sz w:val="15"/>
          <w:szCs w:val="15"/>
          <w:lang w:eastAsia="en-CA"/>
        </w:rPr>
        <w:t>DeAnne</w:t>
      </w:r>
      <w:proofErr w:type="spellEnd"/>
      <w:r w:rsidRPr="001204F4">
        <w:rPr>
          <w:rFonts w:ascii="Arial" w:eastAsia="Times New Roman" w:hAnsi="Arial" w:cs="Arial"/>
          <w:b/>
          <w:bCs/>
          <w:color w:val="000000"/>
          <w:sz w:val="15"/>
          <w:szCs w:val="15"/>
          <w:lang w:eastAsia="en-CA"/>
        </w:rPr>
        <w:t xml:space="preserve"> Aguirre</w:t>
      </w:r>
      <w:r w:rsidRPr="001204F4">
        <w:rPr>
          <w:rFonts w:ascii="Arial" w:eastAsia="Times New Roman" w:hAnsi="Arial" w:cs="Arial"/>
          <w:color w:val="000000"/>
          <w:sz w:val="15"/>
          <w:szCs w:val="15"/>
          <w:lang w:eastAsia="en-CA"/>
        </w:rPr>
        <w:t> (</w:t>
      </w:r>
      <w:hyperlink r:id="rId9" w:history="1">
        <w:r w:rsidRPr="001204F4">
          <w:rPr>
            <w:rFonts w:ascii="Arial" w:eastAsia="Times New Roman" w:hAnsi="Arial" w:cs="Arial"/>
            <w:color w:val="3366CC"/>
            <w:sz w:val="15"/>
            <w:szCs w:val="15"/>
            <w:u w:val="single"/>
            <w:lang w:eastAsia="en-CA"/>
          </w:rPr>
          <w:t>aguirre_deanne@bah.com</w:t>
        </w:r>
      </w:hyperlink>
      <w:r w:rsidRPr="001204F4">
        <w:rPr>
          <w:rFonts w:ascii="Arial" w:eastAsia="Times New Roman" w:hAnsi="Arial" w:cs="Arial"/>
          <w:color w:val="000000"/>
          <w:sz w:val="15"/>
          <w:szCs w:val="15"/>
          <w:lang w:eastAsia="en-CA"/>
        </w:rPr>
        <w:t xml:space="preserve">) is a vice president in Booz Allen Hamilton’s San Francisco office. She has 18 years of organizational and technology strategy experience serving multinational clients. She is </w:t>
      </w:r>
      <w:proofErr w:type="spellStart"/>
      <w:r w:rsidRPr="001204F4">
        <w:rPr>
          <w:rFonts w:ascii="Arial" w:eastAsia="Times New Roman" w:hAnsi="Arial" w:cs="Arial"/>
          <w:color w:val="000000"/>
          <w:sz w:val="15"/>
          <w:szCs w:val="15"/>
          <w:lang w:eastAsia="en-CA"/>
        </w:rPr>
        <w:t>coleader</w:t>
      </w:r>
      <w:proofErr w:type="spellEnd"/>
      <w:r w:rsidRPr="001204F4">
        <w:rPr>
          <w:rFonts w:ascii="Arial" w:eastAsia="Times New Roman" w:hAnsi="Arial" w:cs="Arial"/>
          <w:color w:val="000000"/>
          <w:sz w:val="15"/>
          <w:szCs w:val="15"/>
          <w:lang w:eastAsia="en-CA"/>
        </w:rPr>
        <w:t xml:space="preserve"> of the firm’s strategic security initiative.</w:t>
      </w:r>
    </w:p>
    <w:p w:rsidR="001204F4" w:rsidRPr="001204F4" w:rsidRDefault="001204F4" w:rsidP="001204F4">
      <w:pPr>
        <w:spacing w:after="0" w:line="285" w:lineRule="atLeast"/>
        <w:rPr>
          <w:rFonts w:ascii="Arial" w:eastAsia="Times New Roman" w:hAnsi="Arial" w:cs="Arial"/>
          <w:color w:val="333333"/>
          <w:sz w:val="20"/>
          <w:szCs w:val="20"/>
          <w:lang w:eastAsia="en-CA"/>
        </w:rPr>
      </w:pPr>
      <w:r w:rsidRPr="001204F4">
        <w:rPr>
          <w:rFonts w:ascii="Arial" w:eastAsia="Times New Roman" w:hAnsi="Arial" w:cs="Arial"/>
          <w:color w:val="333333"/>
          <w:sz w:val="20"/>
          <w:szCs w:val="20"/>
          <w:lang w:eastAsia="en-CA"/>
        </w:rPr>
        <w:pict>
          <v:rect id="_x0000_i1029" style="width:468pt;height:.6pt" o:hralign="center" o:hrstd="t" o:hrnoshade="t" o:hr="t" fillcolor="black" stroked="f"/>
        </w:pic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r w:rsidRPr="001204F4">
        <w:rPr>
          <w:rFonts w:ascii="Arial" w:eastAsia="Times New Roman" w:hAnsi="Arial" w:cs="Arial"/>
          <w:b/>
          <w:bCs/>
          <w:color w:val="000000"/>
          <w:sz w:val="15"/>
          <w:szCs w:val="15"/>
          <w:lang w:eastAsia="en-CA"/>
        </w:rPr>
        <w:t xml:space="preserve">Matthew </w:t>
      </w:r>
      <w:proofErr w:type="spellStart"/>
      <w:r w:rsidRPr="001204F4">
        <w:rPr>
          <w:rFonts w:ascii="Arial" w:eastAsia="Times New Roman" w:hAnsi="Arial" w:cs="Arial"/>
          <w:b/>
          <w:bCs/>
          <w:color w:val="000000"/>
          <w:sz w:val="15"/>
          <w:szCs w:val="15"/>
          <w:lang w:eastAsia="en-CA"/>
        </w:rPr>
        <w:t>Calderone</w:t>
      </w:r>
      <w:proofErr w:type="spellEnd"/>
      <w:r w:rsidRPr="001204F4">
        <w:rPr>
          <w:rFonts w:ascii="Arial" w:eastAsia="Times New Roman" w:hAnsi="Arial" w:cs="Arial"/>
          <w:color w:val="000000"/>
          <w:sz w:val="15"/>
          <w:szCs w:val="15"/>
          <w:lang w:eastAsia="en-CA"/>
        </w:rPr>
        <w:t> (</w:t>
      </w:r>
      <w:hyperlink r:id="rId10" w:history="1">
        <w:r w:rsidRPr="001204F4">
          <w:rPr>
            <w:rFonts w:ascii="Arial" w:eastAsia="Times New Roman" w:hAnsi="Arial" w:cs="Arial"/>
            <w:color w:val="3366CC"/>
            <w:sz w:val="15"/>
            <w:szCs w:val="15"/>
            <w:u w:val="single"/>
            <w:lang w:eastAsia="en-CA"/>
          </w:rPr>
          <w:t>calderone_matthew@bah.com</w:t>
        </w:r>
      </w:hyperlink>
      <w:r w:rsidRPr="001204F4">
        <w:rPr>
          <w:rFonts w:ascii="Arial" w:eastAsia="Times New Roman" w:hAnsi="Arial" w:cs="Arial"/>
          <w:color w:val="000000"/>
          <w:sz w:val="15"/>
          <w:szCs w:val="15"/>
          <w:lang w:eastAsia="en-CA"/>
        </w:rPr>
        <w:t>) is a Senior Associate with Booz Allen Hamilton in the New York Office. He specializes in organization transformation, people issues, and change management.</w:t>
      </w:r>
      <w:r w:rsidRPr="001204F4">
        <w:rPr>
          <w:rFonts w:ascii="Arial" w:eastAsia="Times New Roman" w:hAnsi="Arial" w:cs="Arial"/>
          <w:color w:val="333333"/>
          <w:sz w:val="20"/>
          <w:szCs w:val="20"/>
          <w:lang w:eastAsia="en-CA"/>
        </w:rPr>
        <w:br/>
        <w:t> </w:t>
      </w:r>
    </w:p>
    <w:p w:rsidR="001204F4" w:rsidRPr="001204F4" w:rsidRDefault="001204F4" w:rsidP="001204F4">
      <w:pPr>
        <w:spacing w:after="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 </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p>
    <w:p w:rsidR="001204F4" w:rsidRPr="001204F4" w:rsidRDefault="001204F4" w:rsidP="001204F4">
      <w:pPr>
        <w:spacing w:after="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 </w:t>
      </w:r>
    </w:p>
    <w:p w:rsidR="001204F4" w:rsidRPr="001204F4" w:rsidRDefault="001204F4" w:rsidP="001204F4">
      <w:pPr>
        <w:spacing w:after="180" w:line="285" w:lineRule="atLeast"/>
        <w:rPr>
          <w:rFonts w:ascii="Georgia" w:eastAsia="Times New Roman" w:hAnsi="Georgia" w:cs="Times New Roman"/>
          <w:color w:val="333333"/>
          <w:sz w:val="18"/>
          <w:szCs w:val="18"/>
          <w:lang w:eastAsia="en-CA"/>
        </w:rPr>
      </w:pPr>
    </w:p>
    <w:p w:rsidR="001204F4" w:rsidRPr="001204F4" w:rsidRDefault="001204F4" w:rsidP="001204F4">
      <w:pPr>
        <w:spacing w:after="0" w:line="285" w:lineRule="atLeast"/>
        <w:rPr>
          <w:rFonts w:ascii="Georgia" w:eastAsia="Times New Roman" w:hAnsi="Georgia" w:cs="Times New Roman"/>
          <w:color w:val="333333"/>
          <w:sz w:val="18"/>
          <w:szCs w:val="18"/>
          <w:lang w:eastAsia="en-CA"/>
        </w:rPr>
      </w:pPr>
      <w:r w:rsidRPr="001204F4">
        <w:rPr>
          <w:rFonts w:ascii="Georgia" w:eastAsia="Times New Roman" w:hAnsi="Georgia" w:cs="Times New Roman"/>
          <w:color w:val="333333"/>
          <w:sz w:val="18"/>
          <w:szCs w:val="18"/>
          <w:lang w:eastAsia="en-CA"/>
        </w:rPr>
        <w:t> </w:t>
      </w:r>
    </w:p>
    <w:p w:rsidR="00F078AF" w:rsidRDefault="00F078AF"/>
    <w:sectPr w:rsidR="00F07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50"/>
    <w:rsid w:val="00010FA8"/>
    <w:rsid w:val="00013AD5"/>
    <w:rsid w:val="00014BD2"/>
    <w:rsid w:val="00020C68"/>
    <w:rsid w:val="00022005"/>
    <w:rsid w:val="00031459"/>
    <w:rsid w:val="00062F54"/>
    <w:rsid w:val="000639AB"/>
    <w:rsid w:val="00066C6D"/>
    <w:rsid w:val="00066E63"/>
    <w:rsid w:val="00077AF7"/>
    <w:rsid w:val="00080FBC"/>
    <w:rsid w:val="000865FF"/>
    <w:rsid w:val="00093FCE"/>
    <w:rsid w:val="000A1279"/>
    <w:rsid w:val="000A40E9"/>
    <w:rsid w:val="000A5662"/>
    <w:rsid w:val="000C2C44"/>
    <w:rsid w:val="000D1BAD"/>
    <w:rsid w:val="000F3DED"/>
    <w:rsid w:val="000F5CE6"/>
    <w:rsid w:val="000F7A57"/>
    <w:rsid w:val="00100ABC"/>
    <w:rsid w:val="00117B54"/>
    <w:rsid w:val="001204F4"/>
    <w:rsid w:val="001205F7"/>
    <w:rsid w:val="00124632"/>
    <w:rsid w:val="001414DB"/>
    <w:rsid w:val="00151BD0"/>
    <w:rsid w:val="00166FCD"/>
    <w:rsid w:val="00172350"/>
    <w:rsid w:val="001A3410"/>
    <w:rsid w:val="001A65C8"/>
    <w:rsid w:val="001D053A"/>
    <w:rsid w:val="001D6062"/>
    <w:rsid w:val="001F31E4"/>
    <w:rsid w:val="00237E7A"/>
    <w:rsid w:val="00240395"/>
    <w:rsid w:val="00253C0E"/>
    <w:rsid w:val="00255545"/>
    <w:rsid w:val="00266DF8"/>
    <w:rsid w:val="002713F6"/>
    <w:rsid w:val="00275F9A"/>
    <w:rsid w:val="002803CF"/>
    <w:rsid w:val="00295BEF"/>
    <w:rsid w:val="002A7FBE"/>
    <w:rsid w:val="002C128E"/>
    <w:rsid w:val="002C56BB"/>
    <w:rsid w:val="002E0415"/>
    <w:rsid w:val="002E11A1"/>
    <w:rsid w:val="002E1239"/>
    <w:rsid w:val="002F3A6C"/>
    <w:rsid w:val="0030224A"/>
    <w:rsid w:val="0031532C"/>
    <w:rsid w:val="00316C39"/>
    <w:rsid w:val="00320ADB"/>
    <w:rsid w:val="003306B8"/>
    <w:rsid w:val="0033419B"/>
    <w:rsid w:val="003361C8"/>
    <w:rsid w:val="003623B7"/>
    <w:rsid w:val="00371CBE"/>
    <w:rsid w:val="00395DD9"/>
    <w:rsid w:val="003A1F6E"/>
    <w:rsid w:val="003B3EB3"/>
    <w:rsid w:val="003B5553"/>
    <w:rsid w:val="003C7C8F"/>
    <w:rsid w:val="003D0FD1"/>
    <w:rsid w:val="00411105"/>
    <w:rsid w:val="004141E7"/>
    <w:rsid w:val="004165D2"/>
    <w:rsid w:val="00422478"/>
    <w:rsid w:val="00426E34"/>
    <w:rsid w:val="00435396"/>
    <w:rsid w:val="00437366"/>
    <w:rsid w:val="0045169F"/>
    <w:rsid w:val="0046282F"/>
    <w:rsid w:val="00464329"/>
    <w:rsid w:val="00466FE2"/>
    <w:rsid w:val="00481573"/>
    <w:rsid w:val="00487A06"/>
    <w:rsid w:val="00497D02"/>
    <w:rsid w:val="004A44E0"/>
    <w:rsid w:val="004D3135"/>
    <w:rsid w:val="004D57A4"/>
    <w:rsid w:val="004E6FF1"/>
    <w:rsid w:val="00505F86"/>
    <w:rsid w:val="005164BB"/>
    <w:rsid w:val="00522E67"/>
    <w:rsid w:val="00527307"/>
    <w:rsid w:val="005450B3"/>
    <w:rsid w:val="005772E7"/>
    <w:rsid w:val="00587C38"/>
    <w:rsid w:val="00594B58"/>
    <w:rsid w:val="00594E82"/>
    <w:rsid w:val="005A1CDA"/>
    <w:rsid w:val="005B034E"/>
    <w:rsid w:val="005B1150"/>
    <w:rsid w:val="005C36DA"/>
    <w:rsid w:val="00616C1B"/>
    <w:rsid w:val="0062212B"/>
    <w:rsid w:val="006275F6"/>
    <w:rsid w:val="00631869"/>
    <w:rsid w:val="00642219"/>
    <w:rsid w:val="00663E66"/>
    <w:rsid w:val="00676904"/>
    <w:rsid w:val="00685419"/>
    <w:rsid w:val="00693D6F"/>
    <w:rsid w:val="006A37A7"/>
    <w:rsid w:val="006B2259"/>
    <w:rsid w:val="006C1352"/>
    <w:rsid w:val="006C3540"/>
    <w:rsid w:val="006C5548"/>
    <w:rsid w:val="006C7F6F"/>
    <w:rsid w:val="006D0DE2"/>
    <w:rsid w:val="006D501F"/>
    <w:rsid w:val="006E1421"/>
    <w:rsid w:val="006E5802"/>
    <w:rsid w:val="006E5C07"/>
    <w:rsid w:val="00706E5B"/>
    <w:rsid w:val="007070EC"/>
    <w:rsid w:val="00727A4A"/>
    <w:rsid w:val="007419BF"/>
    <w:rsid w:val="00757438"/>
    <w:rsid w:val="00763921"/>
    <w:rsid w:val="0076598B"/>
    <w:rsid w:val="00786F22"/>
    <w:rsid w:val="007A0A03"/>
    <w:rsid w:val="007B45B6"/>
    <w:rsid w:val="007C2E8E"/>
    <w:rsid w:val="007E621A"/>
    <w:rsid w:val="007F42DC"/>
    <w:rsid w:val="00813B04"/>
    <w:rsid w:val="00822CA6"/>
    <w:rsid w:val="0084337C"/>
    <w:rsid w:val="00855E8A"/>
    <w:rsid w:val="0085623B"/>
    <w:rsid w:val="00865830"/>
    <w:rsid w:val="00865DC1"/>
    <w:rsid w:val="00873B42"/>
    <w:rsid w:val="008771A4"/>
    <w:rsid w:val="00881FA4"/>
    <w:rsid w:val="00884147"/>
    <w:rsid w:val="008A6EED"/>
    <w:rsid w:val="008B368C"/>
    <w:rsid w:val="008B4BE8"/>
    <w:rsid w:val="008E0603"/>
    <w:rsid w:val="008E18B7"/>
    <w:rsid w:val="008E1F33"/>
    <w:rsid w:val="00900DC7"/>
    <w:rsid w:val="0091202A"/>
    <w:rsid w:val="00913403"/>
    <w:rsid w:val="0092169D"/>
    <w:rsid w:val="00930750"/>
    <w:rsid w:val="009732F2"/>
    <w:rsid w:val="00975137"/>
    <w:rsid w:val="009751D7"/>
    <w:rsid w:val="00980F26"/>
    <w:rsid w:val="00994FFA"/>
    <w:rsid w:val="009A1B4A"/>
    <w:rsid w:val="009A5B4C"/>
    <w:rsid w:val="009B296B"/>
    <w:rsid w:val="009C319D"/>
    <w:rsid w:val="009D434C"/>
    <w:rsid w:val="009E7AB7"/>
    <w:rsid w:val="009E7D82"/>
    <w:rsid w:val="009F4028"/>
    <w:rsid w:val="009F4CE6"/>
    <w:rsid w:val="009F7BCB"/>
    <w:rsid w:val="00A0387B"/>
    <w:rsid w:val="00A12E0A"/>
    <w:rsid w:val="00A1423F"/>
    <w:rsid w:val="00A165A3"/>
    <w:rsid w:val="00A2102C"/>
    <w:rsid w:val="00A26AE1"/>
    <w:rsid w:val="00A408D5"/>
    <w:rsid w:val="00A47DB4"/>
    <w:rsid w:val="00A56A21"/>
    <w:rsid w:val="00A632AE"/>
    <w:rsid w:val="00A848BA"/>
    <w:rsid w:val="00A87C28"/>
    <w:rsid w:val="00A94F6D"/>
    <w:rsid w:val="00AA61DB"/>
    <w:rsid w:val="00AB0A06"/>
    <w:rsid w:val="00AD07BD"/>
    <w:rsid w:val="00AD365E"/>
    <w:rsid w:val="00AE29C4"/>
    <w:rsid w:val="00AE7553"/>
    <w:rsid w:val="00AF38AD"/>
    <w:rsid w:val="00B13B40"/>
    <w:rsid w:val="00B221AA"/>
    <w:rsid w:val="00B32AF0"/>
    <w:rsid w:val="00B42748"/>
    <w:rsid w:val="00B46EDB"/>
    <w:rsid w:val="00B5559A"/>
    <w:rsid w:val="00B62F70"/>
    <w:rsid w:val="00B66938"/>
    <w:rsid w:val="00B71C04"/>
    <w:rsid w:val="00BA3234"/>
    <w:rsid w:val="00BA5A1D"/>
    <w:rsid w:val="00BB08DF"/>
    <w:rsid w:val="00BC14FC"/>
    <w:rsid w:val="00BE1255"/>
    <w:rsid w:val="00C04D4B"/>
    <w:rsid w:val="00C06520"/>
    <w:rsid w:val="00C25302"/>
    <w:rsid w:val="00C4192E"/>
    <w:rsid w:val="00C419E9"/>
    <w:rsid w:val="00C54FEF"/>
    <w:rsid w:val="00C64D1F"/>
    <w:rsid w:val="00C7118F"/>
    <w:rsid w:val="00C81C06"/>
    <w:rsid w:val="00C856CB"/>
    <w:rsid w:val="00CA41E2"/>
    <w:rsid w:val="00CC0D18"/>
    <w:rsid w:val="00CC1988"/>
    <w:rsid w:val="00CD7BED"/>
    <w:rsid w:val="00CE451F"/>
    <w:rsid w:val="00CF22AC"/>
    <w:rsid w:val="00D069DE"/>
    <w:rsid w:val="00D26501"/>
    <w:rsid w:val="00D43EF7"/>
    <w:rsid w:val="00D4676F"/>
    <w:rsid w:val="00D64526"/>
    <w:rsid w:val="00D65407"/>
    <w:rsid w:val="00D66969"/>
    <w:rsid w:val="00D72757"/>
    <w:rsid w:val="00D97E06"/>
    <w:rsid w:val="00DA26F5"/>
    <w:rsid w:val="00DA2D8F"/>
    <w:rsid w:val="00DA4202"/>
    <w:rsid w:val="00DD13EB"/>
    <w:rsid w:val="00DE5CD5"/>
    <w:rsid w:val="00E21F65"/>
    <w:rsid w:val="00E23408"/>
    <w:rsid w:val="00E40E11"/>
    <w:rsid w:val="00E64505"/>
    <w:rsid w:val="00E76819"/>
    <w:rsid w:val="00E84AC2"/>
    <w:rsid w:val="00E84DA6"/>
    <w:rsid w:val="00EA6A0D"/>
    <w:rsid w:val="00EB4C18"/>
    <w:rsid w:val="00EC292F"/>
    <w:rsid w:val="00EC298A"/>
    <w:rsid w:val="00ED132D"/>
    <w:rsid w:val="00EE57C3"/>
    <w:rsid w:val="00F078AF"/>
    <w:rsid w:val="00F243FC"/>
    <w:rsid w:val="00F3474E"/>
    <w:rsid w:val="00F45216"/>
    <w:rsid w:val="00F5766C"/>
    <w:rsid w:val="00F96916"/>
    <w:rsid w:val="00FA4554"/>
    <w:rsid w:val="00FB5953"/>
    <w:rsid w:val="00FD1ED7"/>
    <w:rsid w:val="00FD6EF9"/>
    <w:rsid w:val="00FD6F86"/>
    <w:rsid w:val="00FE3030"/>
    <w:rsid w:val="00FE6AEA"/>
    <w:rsid w:val="00FF42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1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B115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150"/>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B1150"/>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5B1150"/>
    <w:rPr>
      <w:color w:val="0000FF"/>
      <w:u w:val="single"/>
    </w:rPr>
  </w:style>
  <w:style w:type="paragraph" w:customStyle="1" w:styleId="content1">
    <w:name w:val="content1"/>
    <w:basedOn w:val="Normal"/>
    <w:rsid w:val="005B115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5B1150"/>
  </w:style>
  <w:style w:type="character" w:styleId="Emphasis">
    <w:name w:val="Emphasis"/>
    <w:basedOn w:val="DefaultParagraphFont"/>
    <w:uiPriority w:val="20"/>
    <w:qFormat/>
    <w:rsid w:val="005B1150"/>
    <w:rPr>
      <w:i/>
      <w:iCs/>
    </w:rPr>
  </w:style>
  <w:style w:type="character" w:styleId="Strong">
    <w:name w:val="Strong"/>
    <w:basedOn w:val="DefaultParagraphFont"/>
    <w:uiPriority w:val="22"/>
    <w:qFormat/>
    <w:rsid w:val="005B1150"/>
    <w:rPr>
      <w:b/>
      <w:bCs/>
    </w:rPr>
  </w:style>
  <w:style w:type="character" w:customStyle="1" w:styleId="active">
    <w:name w:val="active"/>
    <w:basedOn w:val="DefaultParagraphFont"/>
    <w:rsid w:val="005B1150"/>
  </w:style>
  <w:style w:type="paragraph" w:styleId="BalloonText">
    <w:name w:val="Balloon Text"/>
    <w:basedOn w:val="Normal"/>
    <w:link w:val="BalloonTextChar"/>
    <w:uiPriority w:val="99"/>
    <w:semiHidden/>
    <w:unhideWhenUsed/>
    <w:rsid w:val="0012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4F4"/>
    <w:rPr>
      <w:rFonts w:ascii="Tahoma" w:hAnsi="Tahoma" w:cs="Tahoma"/>
      <w:sz w:val="16"/>
      <w:szCs w:val="16"/>
    </w:rPr>
  </w:style>
  <w:style w:type="character" w:customStyle="1" w:styleId="apple-style-span">
    <w:name w:val="apple-style-span"/>
    <w:basedOn w:val="DefaultParagraphFont"/>
    <w:rsid w:val="0012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1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B115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150"/>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B1150"/>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5B1150"/>
    <w:rPr>
      <w:color w:val="0000FF"/>
      <w:u w:val="single"/>
    </w:rPr>
  </w:style>
  <w:style w:type="paragraph" w:customStyle="1" w:styleId="content1">
    <w:name w:val="content1"/>
    <w:basedOn w:val="Normal"/>
    <w:rsid w:val="005B115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5B1150"/>
  </w:style>
  <w:style w:type="character" w:styleId="Emphasis">
    <w:name w:val="Emphasis"/>
    <w:basedOn w:val="DefaultParagraphFont"/>
    <w:uiPriority w:val="20"/>
    <w:qFormat/>
    <w:rsid w:val="005B1150"/>
    <w:rPr>
      <w:i/>
      <w:iCs/>
    </w:rPr>
  </w:style>
  <w:style w:type="character" w:styleId="Strong">
    <w:name w:val="Strong"/>
    <w:basedOn w:val="DefaultParagraphFont"/>
    <w:uiPriority w:val="22"/>
    <w:qFormat/>
    <w:rsid w:val="005B1150"/>
    <w:rPr>
      <w:b/>
      <w:bCs/>
    </w:rPr>
  </w:style>
  <w:style w:type="character" w:customStyle="1" w:styleId="active">
    <w:name w:val="active"/>
    <w:basedOn w:val="DefaultParagraphFont"/>
    <w:rsid w:val="005B1150"/>
  </w:style>
  <w:style w:type="paragraph" w:styleId="BalloonText">
    <w:name w:val="Balloon Text"/>
    <w:basedOn w:val="Normal"/>
    <w:link w:val="BalloonTextChar"/>
    <w:uiPriority w:val="99"/>
    <w:semiHidden/>
    <w:unhideWhenUsed/>
    <w:rsid w:val="0012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4F4"/>
    <w:rPr>
      <w:rFonts w:ascii="Tahoma" w:hAnsi="Tahoma" w:cs="Tahoma"/>
      <w:sz w:val="16"/>
      <w:szCs w:val="16"/>
    </w:rPr>
  </w:style>
  <w:style w:type="character" w:customStyle="1" w:styleId="apple-style-span">
    <w:name w:val="apple-style-span"/>
    <w:basedOn w:val="DefaultParagraphFont"/>
    <w:rsid w:val="0012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6102">
      <w:bodyDiv w:val="1"/>
      <w:marLeft w:val="0"/>
      <w:marRight w:val="0"/>
      <w:marTop w:val="0"/>
      <w:marBottom w:val="0"/>
      <w:divBdr>
        <w:top w:val="none" w:sz="0" w:space="0" w:color="auto"/>
        <w:left w:val="none" w:sz="0" w:space="0" w:color="auto"/>
        <w:bottom w:val="none" w:sz="0" w:space="0" w:color="auto"/>
        <w:right w:val="none" w:sz="0" w:space="0" w:color="auto"/>
      </w:divBdr>
      <w:divsChild>
        <w:div w:id="1158688920">
          <w:marLeft w:val="0"/>
          <w:marRight w:val="0"/>
          <w:marTop w:val="0"/>
          <w:marBottom w:val="150"/>
          <w:divBdr>
            <w:top w:val="none" w:sz="0" w:space="0" w:color="auto"/>
            <w:left w:val="none" w:sz="0" w:space="0" w:color="auto"/>
            <w:bottom w:val="none" w:sz="0" w:space="0" w:color="auto"/>
            <w:right w:val="none" w:sz="0" w:space="0" w:color="auto"/>
          </w:divBdr>
        </w:div>
        <w:div w:id="1031489179">
          <w:marLeft w:val="0"/>
          <w:marRight w:val="0"/>
          <w:marTop w:val="0"/>
          <w:marBottom w:val="0"/>
          <w:divBdr>
            <w:top w:val="none" w:sz="0" w:space="0" w:color="auto"/>
            <w:left w:val="none" w:sz="0" w:space="0" w:color="auto"/>
            <w:bottom w:val="none" w:sz="0" w:space="0" w:color="auto"/>
            <w:right w:val="none" w:sz="0" w:space="0" w:color="auto"/>
          </w:divBdr>
        </w:div>
        <w:div w:id="1108156681">
          <w:marLeft w:val="0"/>
          <w:marRight w:val="0"/>
          <w:marTop w:val="0"/>
          <w:marBottom w:val="0"/>
          <w:divBdr>
            <w:top w:val="none" w:sz="0" w:space="0" w:color="auto"/>
            <w:left w:val="none" w:sz="0" w:space="0" w:color="auto"/>
            <w:bottom w:val="none" w:sz="0" w:space="0" w:color="auto"/>
            <w:right w:val="none" w:sz="0" w:space="0" w:color="auto"/>
          </w:divBdr>
        </w:div>
        <w:div w:id="1859156368">
          <w:marLeft w:val="0"/>
          <w:marRight w:val="0"/>
          <w:marTop w:val="0"/>
          <w:marBottom w:val="75"/>
          <w:divBdr>
            <w:top w:val="none" w:sz="0" w:space="0" w:color="auto"/>
            <w:left w:val="none" w:sz="0" w:space="0" w:color="auto"/>
            <w:bottom w:val="none" w:sz="0" w:space="0" w:color="auto"/>
            <w:right w:val="none" w:sz="0" w:space="0" w:color="auto"/>
          </w:divBdr>
        </w:div>
        <w:div w:id="584146455">
          <w:marLeft w:val="0"/>
          <w:marRight w:val="0"/>
          <w:marTop w:val="0"/>
          <w:marBottom w:val="0"/>
          <w:divBdr>
            <w:top w:val="none" w:sz="0" w:space="0" w:color="auto"/>
            <w:left w:val="none" w:sz="0" w:space="0" w:color="auto"/>
            <w:bottom w:val="none" w:sz="0" w:space="0" w:color="auto"/>
            <w:right w:val="none" w:sz="0" w:space="0" w:color="auto"/>
          </w:divBdr>
        </w:div>
      </w:divsChild>
    </w:div>
    <w:div w:id="1554193199">
      <w:bodyDiv w:val="1"/>
      <w:marLeft w:val="0"/>
      <w:marRight w:val="0"/>
      <w:marTop w:val="0"/>
      <w:marBottom w:val="0"/>
      <w:divBdr>
        <w:top w:val="none" w:sz="0" w:space="0" w:color="auto"/>
        <w:left w:val="none" w:sz="0" w:space="0" w:color="auto"/>
        <w:bottom w:val="none" w:sz="0" w:space="0" w:color="auto"/>
        <w:right w:val="none" w:sz="0" w:space="0" w:color="auto"/>
      </w:divBdr>
    </w:div>
    <w:div w:id="1673601105">
      <w:bodyDiv w:val="1"/>
      <w:marLeft w:val="0"/>
      <w:marRight w:val="0"/>
      <w:marTop w:val="0"/>
      <w:marBottom w:val="0"/>
      <w:divBdr>
        <w:top w:val="none" w:sz="0" w:space="0" w:color="auto"/>
        <w:left w:val="none" w:sz="0" w:space="0" w:color="auto"/>
        <w:bottom w:val="none" w:sz="0" w:space="0" w:color="auto"/>
        <w:right w:val="none" w:sz="0" w:space="0" w:color="auto"/>
      </w:divBdr>
      <w:divsChild>
        <w:div w:id="407924002">
          <w:marLeft w:val="0"/>
          <w:marRight w:val="0"/>
          <w:marTop w:val="0"/>
          <w:marBottom w:val="0"/>
          <w:divBdr>
            <w:top w:val="none" w:sz="0" w:space="0" w:color="auto"/>
            <w:left w:val="none" w:sz="0" w:space="0" w:color="auto"/>
            <w:bottom w:val="none" w:sz="0" w:space="0" w:color="auto"/>
            <w:right w:val="none" w:sz="0" w:space="0" w:color="auto"/>
          </w:divBdr>
        </w:div>
        <w:div w:id="1294871040">
          <w:marLeft w:val="0"/>
          <w:marRight w:val="0"/>
          <w:marTop w:val="0"/>
          <w:marBottom w:val="0"/>
          <w:divBdr>
            <w:top w:val="none" w:sz="0" w:space="0" w:color="auto"/>
            <w:left w:val="none" w:sz="0" w:space="0" w:color="auto"/>
            <w:bottom w:val="none" w:sz="0" w:space="0" w:color="auto"/>
            <w:right w:val="none" w:sz="0" w:space="0" w:color="auto"/>
          </w:divBdr>
        </w:div>
      </w:divsChild>
    </w:div>
    <w:div w:id="1849175997">
      <w:bodyDiv w:val="1"/>
      <w:marLeft w:val="0"/>
      <w:marRight w:val="0"/>
      <w:marTop w:val="0"/>
      <w:marBottom w:val="0"/>
      <w:divBdr>
        <w:top w:val="none" w:sz="0" w:space="0" w:color="auto"/>
        <w:left w:val="none" w:sz="0" w:space="0" w:color="auto"/>
        <w:bottom w:val="none" w:sz="0" w:space="0" w:color="auto"/>
        <w:right w:val="none" w:sz="0" w:space="0" w:color="auto"/>
      </w:divBdr>
      <w:divsChild>
        <w:div w:id="274757484">
          <w:marLeft w:val="0"/>
          <w:marRight w:val="0"/>
          <w:marTop w:val="0"/>
          <w:marBottom w:val="0"/>
          <w:divBdr>
            <w:top w:val="none" w:sz="0" w:space="0" w:color="auto"/>
            <w:left w:val="none" w:sz="0" w:space="0" w:color="auto"/>
            <w:bottom w:val="none" w:sz="0" w:space="0" w:color="auto"/>
            <w:right w:val="none" w:sz="0" w:space="0" w:color="auto"/>
          </w:divBdr>
        </w:div>
        <w:div w:id="198513078">
          <w:marLeft w:val="0"/>
          <w:marRight w:val="0"/>
          <w:marTop w:val="0"/>
          <w:marBottom w:val="0"/>
          <w:divBdr>
            <w:top w:val="none" w:sz="0" w:space="0" w:color="auto"/>
            <w:left w:val="none" w:sz="0" w:space="0" w:color="auto"/>
            <w:bottom w:val="none" w:sz="0" w:space="0" w:color="auto"/>
            <w:right w:val="none" w:sz="0" w:space="0" w:color="auto"/>
          </w:divBdr>
        </w:div>
      </w:divsChild>
    </w:div>
    <w:div w:id="2018803110">
      <w:bodyDiv w:val="1"/>
      <w:marLeft w:val="0"/>
      <w:marRight w:val="0"/>
      <w:marTop w:val="0"/>
      <w:marBottom w:val="0"/>
      <w:divBdr>
        <w:top w:val="none" w:sz="0" w:space="0" w:color="auto"/>
        <w:left w:val="none" w:sz="0" w:space="0" w:color="auto"/>
        <w:bottom w:val="none" w:sz="0" w:space="0" w:color="auto"/>
        <w:right w:val="none" w:sz="0" w:space="0" w:color="auto"/>
      </w:divBdr>
      <w:divsChild>
        <w:div w:id="190920077">
          <w:marLeft w:val="0"/>
          <w:marRight w:val="0"/>
          <w:marTop w:val="0"/>
          <w:marBottom w:val="0"/>
          <w:divBdr>
            <w:top w:val="none" w:sz="0" w:space="0" w:color="auto"/>
            <w:left w:val="none" w:sz="0" w:space="0" w:color="auto"/>
            <w:bottom w:val="none" w:sz="0" w:space="0" w:color="auto"/>
            <w:right w:val="none" w:sz="0" w:space="0" w:color="auto"/>
          </w:divBdr>
        </w:div>
        <w:div w:id="197999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s_john@bah.com"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rategy-business.com/article/rr00006?pg=al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lderone_matthew@bah.com" TargetMode="External"/><Relationship Id="rId4" Type="http://schemas.openxmlformats.org/officeDocument/2006/relationships/settings" Target="settings.xml"/><Relationship Id="rId9" Type="http://schemas.openxmlformats.org/officeDocument/2006/relationships/hyperlink" Target="mailto:aguirre_deanne@b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757E-6E72-4664-A1B1-BC94C465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atabue</dc:creator>
  <cp:lastModifiedBy>atabue</cp:lastModifiedBy>
  <cp:revision>7</cp:revision>
  <dcterms:created xsi:type="dcterms:W3CDTF">2013-05-05T23:57:00Z</dcterms:created>
  <dcterms:modified xsi:type="dcterms:W3CDTF">2013-05-06T00:05:00Z</dcterms:modified>
</cp:coreProperties>
</file>