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26" w:rsidRDefault="00C24AD3" w:rsidP="00C24AD3">
      <w:pPr>
        <w:jc w:val="center"/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FORMATION ONLINE </w:t>
      </w:r>
    </w:p>
    <w:p w:rsidR="00C24AD3" w:rsidRPr="00C24AD3" w:rsidRDefault="00C24AD3" w:rsidP="00C24AD3">
      <w:pPr>
        <w:jc w:val="center"/>
        <w:rPr>
          <w:rFonts w:asciiTheme="majorHAnsi" w:hAnsiTheme="majorHAnsi"/>
          <w:color w:val="4BACC6" w:themeColor="accent5"/>
          <w:sz w:val="24"/>
          <w:szCs w:val="24"/>
        </w:rPr>
      </w:pPr>
      <w:r w:rsidRPr="00C24AD3">
        <w:rPr>
          <w:rFonts w:asciiTheme="majorHAnsi" w:hAnsiTheme="majorHAnsi"/>
          <w:color w:val="4BACC6" w:themeColor="accent5"/>
          <w:sz w:val="24"/>
          <w:szCs w:val="24"/>
        </w:rPr>
        <w:t>Cycle de quatre ateliers online sur les facteurs indispensables à l’apprentissage définis par les neurosciences</w:t>
      </w:r>
    </w:p>
    <w:p w:rsidR="00F84B16" w:rsidRPr="00C24AD3" w:rsidRDefault="00C24AD3">
      <w:pPr>
        <w:rPr>
          <w:rFonts w:asciiTheme="majorHAnsi" w:hAnsiTheme="majorHAnsi"/>
        </w:rPr>
      </w:pPr>
      <w:r w:rsidRPr="00C24AD3">
        <w:rPr>
          <w:rFonts w:asciiTheme="majorHAnsi" w:hAnsiTheme="majorHAnsi"/>
        </w:rPr>
        <w:t>Public cible : les enseignants du primaire et secondaire ainsi que les parents</w:t>
      </w:r>
    </w:p>
    <w:p w:rsidR="00C24AD3" w:rsidRPr="00C24AD3" w:rsidRDefault="00C24AD3">
      <w:pPr>
        <w:rPr>
          <w:rFonts w:asciiTheme="majorHAnsi" w:hAnsiTheme="majorHAnsi"/>
        </w:rPr>
      </w:pPr>
      <w:r w:rsidRPr="00C24AD3">
        <w:rPr>
          <w:rFonts w:asciiTheme="majorHAnsi" w:hAnsiTheme="majorHAnsi"/>
        </w:rPr>
        <w:t>Coût : 25 euros/atelier (aucune obligation de suivre les 4 ateliers)</w:t>
      </w:r>
    </w:p>
    <w:p w:rsidR="00C24AD3" w:rsidRPr="007C27F9" w:rsidRDefault="00C24AD3">
      <w:pPr>
        <w:rPr>
          <w:rFonts w:asciiTheme="majorHAnsi" w:hAnsiTheme="majorHAnsi"/>
          <w:b/>
          <w:sz w:val="24"/>
          <w:szCs w:val="24"/>
        </w:rPr>
      </w:pPr>
      <w:r w:rsidRPr="007C27F9">
        <w:rPr>
          <w:rFonts w:asciiTheme="majorHAnsi" w:hAnsiTheme="majorHAnsi"/>
          <w:b/>
          <w:sz w:val="24"/>
          <w:szCs w:val="24"/>
        </w:rPr>
        <w:t>Atelier 1 : Comment favoriser l’attention des élèves ?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Les objectifs de l'atelier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="Arial"/>
          <w:color w:val="333333"/>
          <w:lang w:eastAsia="fr-BE"/>
        </w:rPr>
        <w:t>►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D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é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couvrir les diff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é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rents types d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’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attention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="Arial"/>
          <w:color w:val="333333"/>
          <w:lang w:eastAsia="fr-BE"/>
        </w:rPr>
        <w:t>►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La flexibilit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é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attentionnelle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="Arial"/>
          <w:color w:val="333333"/>
          <w:lang w:eastAsia="fr-BE"/>
        </w:rPr>
        <w:t>►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Un </w:t>
      </w:r>
      <w:proofErr w:type="spell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neuromythe</w:t>
      </w:r>
      <w:proofErr w:type="spellEnd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: </w:t>
      </w:r>
      <w:proofErr w:type="spell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monot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â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che</w:t>
      </w:r>
      <w:proofErr w:type="spellEnd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ou multit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â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che?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="Arial"/>
          <w:color w:val="333333"/>
          <w:lang w:eastAsia="fr-BE"/>
        </w:rPr>
        <w:t>►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Des outils et approches p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é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dagogiques pour susciter l</w:t>
      </w:r>
      <w:r w:rsidRPr="00C24AD3">
        <w:rPr>
          <w:rFonts w:asciiTheme="majorHAnsi" w:eastAsia="Times New Roman" w:hAnsiTheme="majorHAnsi" w:cs="Calibri"/>
          <w:color w:val="333333"/>
          <w:lang w:eastAsia="fr-BE"/>
        </w:rPr>
        <w:t>’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attention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 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Coût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 25 euros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Durée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 : 1h30</w:t>
      </w:r>
    </w:p>
    <w:p w:rsidR="00C24AD3" w:rsidRDefault="00C24AD3" w:rsidP="00C24AD3">
      <w:pPr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fr-BE"/>
        </w:rPr>
      </w:pPr>
    </w:p>
    <w:p w:rsidR="00C24AD3" w:rsidRPr="007C27F9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</w:pPr>
      <w:r w:rsidRPr="007C27F9"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  <w:t>Atelier 2 : Comment favoriser l’engagement actif des élèves ?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lang w:eastAsia="fr-BE"/>
        </w:rPr>
      </w:pPr>
    </w:p>
    <w:p w:rsidR="00C24AD3" w:rsidRDefault="00C24AD3" w:rsidP="00C24AD3">
      <w:pPr>
        <w:spacing w:line="240" w:lineRule="auto"/>
        <w:rPr>
          <w:rFonts w:asciiTheme="majorHAnsi" w:eastAsia="Times New Roman" w:hAnsiTheme="majorHAnsi" w:cstheme="minorHAnsi"/>
          <w:color w:val="333333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Les objectifs de l'atelier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</w:rPr>
        <w:t>► Une approche active pour traiter l’information</w:t>
      </w:r>
    </w:p>
    <w:p w:rsidR="00C24AD3" w:rsidRPr="00C24AD3" w:rsidRDefault="00C24AD3" w:rsidP="00C24AD3">
      <w:pPr>
        <w:spacing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► Pratique et répétition: deux mots-clés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► Présentation des outils de </w:t>
      </w:r>
      <w:proofErr w:type="spell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Testing</w:t>
      </w:r>
      <w:proofErr w:type="spellEnd"/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► La schématisation: une approche active à utiliser avec les élèves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► Un mot sur les synthèses + la notion de « difficulté souhaitable »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► Présentation des </w:t>
      </w:r>
      <w:proofErr w:type="spell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flashcards</w:t>
      </w:r>
      <w:proofErr w:type="spellEnd"/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Coût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 25 euros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Durée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 : 1h30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lang w:eastAsia="fr-BE"/>
        </w:rPr>
      </w:pPr>
    </w:p>
    <w:p w:rsidR="00C24AD3" w:rsidRPr="007C27F9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</w:pPr>
      <w:r w:rsidRPr="007C27F9"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  <w:t>Atelier 3 : Comment favoriser le feedback des apprentissages ?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lang w:eastAsia="fr-BE"/>
        </w:rPr>
      </w:pPr>
    </w:p>
    <w:p w:rsidR="00C24AD3" w:rsidRPr="00C24AD3" w:rsidRDefault="00C24AD3" w:rsidP="00C24AD3">
      <w:pPr>
        <w:rPr>
          <w:rFonts w:asciiTheme="majorHAnsi" w:hAnsiTheme="majorHAnsi" w:cstheme="minorHAnsi"/>
          <w:color w:val="333333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Les objectifs de l'atelier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</w:rPr>
        <w:t>► Présentation de l’approche métacognitive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► Un autre regard sur l’erreur. </w:t>
      </w:r>
      <w:proofErr w:type="gram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Un</w:t>
      </w:r>
      <w:proofErr w:type="gramEnd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 croyance indispensable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lastRenderedPageBreak/>
        <w:t>► Présentation d’une grille de feedback des apprentissages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 xml:space="preserve">►Le </w:t>
      </w:r>
      <w:proofErr w:type="spellStart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testing</w:t>
      </w:r>
      <w:proofErr w:type="spellEnd"/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 un outil de feedback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 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Coût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 25 euros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theme="minorHAnsi"/>
          <w:color w:val="333333"/>
          <w:lang w:eastAsia="fr-BE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Durée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 : 1h30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lang w:eastAsia="fr-BE"/>
        </w:rPr>
      </w:pPr>
    </w:p>
    <w:p w:rsidR="00C24AD3" w:rsidRPr="007C27F9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</w:pPr>
      <w:r w:rsidRPr="007C27F9"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  <w:t>Atelier 4 : Comment consolider ses connaissances ?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lang w:eastAsia="fr-BE"/>
        </w:rPr>
      </w:pPr>
    </w:p>
    <w:p w:rsidR="00C24AD3" w:rsidRPr="00C24AD3" w:rsidRDefault="00C24AD3" w:rsidP="00C24AD3">
      <w:pPr>
        <w:rPr>
          <w:rFonts w:asciiTheme="majorHAnsi" w:hAnsiTheme="majorHAnsi" w:cs="Courier New"/>
          <w:color w:val="333333"/>
        </w:rPr>
      </w:pPr>
      <w:r w:rsidRPr="00C24AD3">
        <w:rPr>
          <w:rFonts w:asciiTheme="majorHAnsi" w:eastAsia="Times New Roman" w:hAnsiTheme="majorHAnsi" w:cstheme="minorHAnsi"/>
          <w:color w:val="333333"/>
          <w:u w:val="single"/>
          <w:lang w:eastAsia="fr-BE"/>
        </w:rPr>
        <w:t>Les objectifs de l'atelier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t>:</w:t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theme="minorHAnsi"/>
          <w:color w:val="333333"/>
          <w:lang w:eastAsia="fr-BE"/>
        </w:rPr>
        <w:br/>
      </w:r>
      <w:r w:rsidRPr="00C24AD3">
        <w:rPr>
          <w:rFonts w:asciiTheme="majorHAnsi" w:eastAsia="Times New Roman" w:hAnsiTheme="majorHAnsi" w:cs="Courier New"/>
          <w:color w:val="333333"/>
        </w:rPr>
        <w:t>► Automatisation progressive et effort attentionnel</w:t>
      </w: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► Apprentissage distribué et massé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► Les réactivations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► La plasticité cérébrale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► La place du sommeil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► Des outils et approches pédagogiques pour consolider les apprentissages.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Pr="00C24AD3" w:rsidRDefault="00C24AD3" w:rsidP="00C24AD3">
      <w:pPr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fr-BE"/>
        </w:rPr>
      </w:pPr>
      <w:r w:rsidRPr="00C24AD3">
        <w:rPr>
          <w:rFonts w:ascii="Courier New" w:eastAsia="Times New Roman" w:hAnsi="Courier New" w:cs="Courier New"/>
          <w:color w:val="333333"/>
          <w:sz w:val="20"/>
          <w:szCs w:val="20"/>
          <w:lang w:eastAsia="fr-BE"/>
        </w:rPr>
        <w:t> </w:t>
      </w:r>
    </w:p>
    <w:p w:rsidR="007C27F9" w:rsidRPr="007C27F9" w:rsidRDefault="00C24AD3" w:rsidP="00C24AD3">
      <w:pPr>
        <w:spacing w:after="0" w:line="240" w:lineRule="auto"/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</w:pPr>
      <w:r w:rsidRPr="00C24AD3"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  <w:t>Comm</w:t>
      </w:r>
      <w:r w:rsidR="007C27F9" w:rsidRPr="007C27F9">
        <w:rPr>
          <w:rFonts w:asciiTheme="majorHAnsi" w:eastAsia="Times New Roman" w:hAnsiTheme="majorHAnsi" w:cs="Courier New"/>
          <w:b/>
          <w:color w:val="333333"/>
          <w:sz w:val="24"/>
          <w:szCs w:val="24"/>
          <w:lang w:eastAsia="fr-BE"/>
        </w:rPr>
        <w:t>ent s'inscrire ?</w:t>
      </w:r>
    </w:p>
    <w:p w:rsidR="007C27F9" w:rsidRDefault="007C27F9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</w:p>
    <w:p w:rsidR="00C24AD3" w:rsidRPr="00C24AD3" w:rsidRDefault="007C27F9" w:rsidP="007C27F9">
      <w:pPr>
        <w:spacing w:after="0" w:line="360" w:lineRule="auto"/>
        <w:rPr>
          <w:rFonts w:asciiTheme="majorHAnsi" w:eastAsia="Times New Roman" w:hAnsiTheme="majorHAnsi" w:cs="Courier New"/>
          <w:color w:val="333333"/>
          <w:lang w:eastAsia="fr-BE"/>
        </w:rPr>
      </w:pPr>
      <w:r>
        <w:rPr>
          <w:rFonts w:asciiTheme="majorHAnsi" w:eastAsia="Times New Roman" w:hAnsiTheme="majorHAnsi" w:cs="Courier New"/>
          <w:color w:val="333333"/>
          <w:lang w:eastAsia="fr-BE"/>
        </w:rPr>
        <w:t>Vous envoyez un</w:t>
      </w:r>
      <w:r w:rsidR="00C24AD3" w:rsidRPr="00C24AD3">
        <w:rPr>
          <w:rFonts w:asciiTheme="majorHAnsi" w:eastAsia="Times New Roman" w:hAnsiTheme="majorHAnsi" w:cs="Courier New"/>
          <w:color w:val="333333"/>
          <w:lang w:eastAsia="fr-BE"/>
        </w:rPr>
        <w:t xml:space="preserve"> mail à</w:t>
      </w:r>
      <w:r>
        <w:rPr>
          <w:rFonts w:asciiTheme="majorHAnsi" w:eastAsia="Times New Roman" w:hAnsiTheme="majorHAnsi" w:cs="Courier New"/>
          <w:color w:val="333333"/>
          <w:lang w:eastAsia="fr-BE"/>
        </w:rPr>
        <w:t xml:space="preserve"> l’adresse suivante</w:t>
      </w:r>
      <w:r w:rsidR="00C24AD3" w:rsidRPr="00C24AD3">
        <w:rPr>
          <w:rFonts w:asciiTheme="majorHAnsi" w:eastAsia="Times New Roman" w:hAnsiTheme="majorHAnsi" w:cs="Courier New"/>
          <w:color w:val="333333"/>
          <w:lang w:eastAsia="fr-BE"/>
        </w:rPr>
        <w:t xml:space="preserve"> </w:t>
      </w:r>
      <w:r w:rsidR="00C24AD3" w:rsidRPr="00C24AD3">
        <w:rPr>
          <w:rFonts w:asciiTheme="majorHAnsi" w:eastAsia="Times New Roman" w:hAnsiTheme="majorHAnsi" w:cs="Courier New"/>
          <w:color w:val="4BACC6" w:themeColor="accent5"/>
          <w:u w:val="single"/>
          <w:lang w:eastAsia="fr-BE"/>
        </w:rPr>
        <w:t>methode.evocation@gmail.com</w:t>
      </w:r>
      <w:r w:rsidR="00C24AD3" w:rsidRPr="00C24AD3">
        <w:rPr>
          <w:rFonts w:asciiTheme="majorHAnsi" w:eastAsia="Times New Roman" w:hAnsiTheme="majorHAnsi" w:cs="Courier New"/>
          <w:color w:val="4BACC6" w:themeColor="accent5"/>
          <w:lang w:eastAsia="fr-BE"/>
        </w:rPr>
        <w:t> </w:t>
      </w:r>
      <w:r>
        <w:rPr>
          <w:rFonts w:asciiTheme="majorHAnsi" w:eastAsia="Times New Roman" w:hAnsiTheme="majorHAnsi" w:cs="Courier New"/>
          <w:color w:val="333333"/>
          <w:lang w:eastAsia="fr-BE"/>
        </w:rPr>
        <w:t>pour confirmer votre inscription. En retour de ce mail, je vous enverrai l</w:t>
      </w:r>
      <w:r w:rsidR="00C24AD3" w:rsidRPr="00C24AD3">
        <w:rPr>
          <w:rFonts w:asciiTheme="majorHAnsi" w:eastAsia="Times New Roman" w:hAnsiTheme="majorHAnsi" w:cs="Courier New"/>
          <w:color w:val="333333"/>
          <w:lang w:eastAsia="fr-BE"/>
        </w:rPr>
        <w:t>es coordonnées bancaires par mail. Dès récepti</w:t>
      </w:r>
      <w:r>
        <w:rPr>
          <w:rFonts w:asciiTheme="majorHAnsi" w:eastAsia="Times New Roman" w:hAnsiTheme="majorHAnsi" w:cs="Courier New"/>
          <w:color w:val="333333"/>
          <w:lang w:eastAsia="fr-BE"/>
        </w:rPr>
        <w:t>on du payement, vous recevrez une invitation zoom pour rejoindre l’atelier</w:t>
      </w:r>
    </w:p>
    <w:p w:rsidR="00C24AD3" w:rsidRPr="00C24AD3" w:rsidRDefault="00C24AD3" w:rsidP="00C24AD3">
      <w:pPr>
        <w:spacing w:after="0" w:line="24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 </w:t>
      </w:r>
    </w:p>
    <w:p w:rsidR="00C24AD3" w:rsidRPr="00C24AD3" w:rsidRDefault="00C24AD3" w:rsidP="007C27F9">
      <w:pPr>
        <w:spacing w:after="0" w:line="360" w:lineRule="auto"/>
        <w:rPr>
          <w:rFonts w:asciiTheme="majorHAnsi" w:eastAsia="Times New Roman" w:hAnsiTheme="majorHAnsi" w:cs="Courier New"/>
          <w:color w:val="333333"/>
          <w:lang w:eastAsia="fr-BE"/>
        </w:rPr>
      </w:pPr>
      <w:r w:rsidRPr="00C24AD3">
        <w:rPr>
          <w:rFonts w:asciiTheme="majorHAnsi" w:eastAsia="Times New Roman" w:hAnsiTheme="majorHAnsi" w:cs="Courier New"/>
          <w:color w:val="333333"/>
          <w:lang w:eastAsia="fr-BE"/>
        </w:rPr>
        <w:t>Les documents utilisés durant l'atelier seront envoyés par mail aux participants à la fin de l'atelier.</w:t>
      </w:r>
    </w:p>
    <w:p w:rsidR="00C24AD3" w:rsidRPr="00C24AD3" w:rsidRDefault="00C24AD3" w:rsidP="00C24AD3">
      <w:pPr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fr-BE"/>
        </w:rPr>
      </w:pPr>
      <w:r w:rsidRPr="00C24AD3">
        <w:rPr>
          <w:rFonts w:ascii="Courier New" w:eastAsia="Times New Roman" w:hAnsi="Courier New" w:cs="Courier New"/>
          <w:color w:val="333333"/>
          <w:sz w:val="20"/>
          <w:szCs w:val="20"/>
          <w:lang w:eastAsia="fr-BE"/>
        </w:rPr>
        <w:t> </w:t>
      </w:r>
    </w:p>
    <w:p w:rsidR="00F84B16" w:rsidRDefault="00F84B16">
      <w:bookmarkStart w:id="0" w:name="_GoBack"/>
      <w:bookmarkEnd w:id="0"/>
    </w:p>
    <w:sectPr w:rsidR="00F84B16" w:rsidSect="004332ED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16"/>
    <w:rsid w:val="00006F26"/>
    <w:rsid w:val="004332ED"/>
    <w:rsid w:val="007C27F9"/>
    <w:rsid w:val="00C24AD3"/>
    <w:rsid w:val="00DA2F5F"/>
    <w:rsid w:val="00F8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2020-05-15T08:36:00Z</dcterms:created>
  <dcterms:modified xsi:type="dcterms:W3CDTF">2020-05-15T11:36:00Z</dcterms:modified>
</cp:coreProperties>
</file>