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D0" w:rsidRPr="001C2414" w:rsidRDefault="00DA1DD0" w:rsidP="00FC077F">
      <w:pPr>
        <w:rPr>
          <w:rFonts w:ascii="NewsGoth BT" w:hAnsi="NewsGoth BT"/>
          <w:iCs/>
          <w:sz w:val="20"/>
          <w:szCs w:val="20"/>
        </w:rPr>
      </w:pPr>
      <w:bookmarkStart w:id="0" w:name="_GoBack"/>
      <w:bookmarkEnd w:id="0"/>
    </w:p>
    <w:p w:rsidR="00DA1DD0" w:rsidRPr="00060939" w:rsidRDefault="003509D0" w:rsidP="00FC077F">
      <w:pPr>
        <w:rPr>
          <w:rFonts w:ascii="NewsGoth BT" w:hAnsi="NewsGoth BT"/>
          <w:iCs/>
          <w:sz w:val="44"/>
          <w:szCs w:val="44"/>
        </w:rPr>
      </w:pPr>
      <w:r>
        <w:rPr>
          <w:rFonts w:ascii="NewsGoth BT" w:hAnsi="NewsGoth BT"/>
          <w:iCs/>
          <w:noProof/>
          <w:sz w:val="44"/>
          <w:szCs w:val="44"/>
          <w:lang w:eastAsia="en-GB"/>
        </w:rPr>
        <w:drawing>
          <wp:anchor distT="0" distB="0" distL="114300" distR="114300" simplePos="0" relativeHeight="251658240" behindDoc="0" locked="0" layoutInCell="1" allowOverlap="1">
            <wp:simplePos x="0" y="0"/>
            <wp:positionH relativeFrom="column">
              <wp:posOffset>4834890</wp:posOffset>
            </wp:positionH>
            <wp:positionV relativeFrom="paragraph">
              <wp:posOffset>-525780</wp:posOffset>
            </wp:positionV>
            <wp:extent cx="2578735" cy="1130300"/>
            <wp:effectExtent l="0" t="0" r="0" b="0"/>
            <wp:wrapSquare wrapText="bothSides"/>
            <wp:docPr id="7" name="Picture 7"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A_Primary Logo_RGB_P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73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DD0" w:rsidRPr="00060939">
        <w:rPr>
          <w:rFonts w:ascii="NewsGoth BT" w:hAnsi="NewsGoth BT"/>
          <w:iCs/>
          <w:sz w:val="44"/>
          <w:szCs w:val="44"/>
        </w:rPr>
        <w:t>A guide to</w:t>
      </w:r>
    </w:p>
    <w:p w:rsidR="00DA1DD0" w:rsidRDefault="00CD6444" w:rsidP="00FA576A">
      <w:pPr>
        <w:rPr>
          <w:rFonts w:ascii="NewsGoth BT" w:hAnsi="NewsGoth BT"/>
          <w:iCs/>
          <w:sz w:val="52"/>
          <w:szCs w:val="52"/>
        </w:rPr>
      </w:pPr>
      <w:r>
        <w:rPr>
          <w:rFonts w:ascii="NewsGoth BT" w:hAnsi="NewsGoth BT"/>
          <w:iCs/>
          <w:sz w:val="52"/>
          <w:szCs w:val="52"/>
        </w:rPr>
        <w:t>Budget 201</w:t>
      </w:r>
      <w:r w:rsidR="00142648">
        <w:rPr>
          <w:rFonts w:ascii="NewsGoth BT" w:hAnsi="NewsGoth BT"/>
          <w:iCs/>
          <w:sz w:val="52"/>
          <w:szCs w:val="52"/>
        </w:rPr>
        <w:t>6</w:t>
      </w:r>
    </w:p>
    <w:p w:rsidR="00DA1DD0" w:rsidRDefault="00DA1DD0" w:rsidP="00FA576A">
      <w:pPr>
        <w:pStyle w:val="Heading3"/>
        <w:spacing w:before="0" w:after="0"/>
        <w:rPr>
          <w:rFonts w:ascii="NewsGoth BT" w:hAnsi="NewsGoth BT"/>
          <w:bCs w:val="0"/>
          <w:sz w:val="20"/>
        </w:rPr>
      </w:pPr>
    </w:p>
    <w:p w:rsidR="00DA1DD0" w:rsidRDefault="00DA1DD0" w:rsidP="00FA576A">
      <w:pPr>
        <w:pStyle w:val="Heading3"/>
        <w:spacing w:before="0" w:after="0"/>
        <w:rPr>
          <w:rFonts w:ascii="NewsGoth BT" w:hAnsi="NewsGoth BT"/>
          <w:bCs w:val="0"/>
          <w:sz w:val="20"/>
        </w:rPr>
      </w:pPr>
    </w:p>
    <w:p w:rsidR="00DA1DD0" w:rsidRPr="00BF7EAD" w:rsidRDefault="00DA1DD0" w:rsidP="00845527">
      <w:pPr>
        <w:pStyle w:val="Heading3"/>
        <w:spacing w:before="0" w:after="0"/>
        <w:rPr>
          <w:bCs w:val="0"/>
          <w:sz w:val="20"/>
          <w:szCs w:val="20"/>
        </w:rPr>
      </w:pPr>
      <w:r w:rsidRPr="00BF7EAD">
        <w:rPr>
          <w:bCs w:val="0"/>
          <w:sz w:val="20"/>
          <w:szCs w:val="20"/>
        </w:rPr>
        <w:t>A</w:t>
      </w:r>
      <w:r w:rsidR="00CD6444" w:rsidRPr="00BF7EAD">
        <w:rPr>
          <w:bCs w:val="0"/>
          <w:sz w:val="20"/>
          <w:szCs w:val="20"/>
        </w:rPr>
        <w:t xml:space="preserve"> SIMPLE GUIDE TO THE BUDGET 201</w:t>
      </w:r>
      <w:r w:rsidR="00142648" w:rsidRPr="00BF7EAD">
        <w:rPr>
          <w:bCs w:val="0"/>
          <w:sz w:val="20"/>
          <w:szCs w:val="20"/>
        </w:rPr>
        <w:t>6</w:t>
      </w:r>
    </w:p>
    <w:p w:rsidR="00DA1DD0" w:rsidRPr="00BF7EAD" w:rsidRDefault="00DA1DD0" w:rsidP="00845527">
      <w:pPr>
        <w:rPr>
          <w:rFonts w:ascii="Arial" w:hAnsi="Arial" w:cs="Arial"/>
          <w:sz w:val="20"/>
          <w:szCs w:val="20"/>
        </w:rPr>
      </w:pPr>
      <w:r w:rsidRPr="00BF7EAD">
        <w:rPr>
          <w:rFonts w:ascii="Arial" w:hAnsi="Arial" w:cs="Arial"/>
          <w:sz w:val="20"/>
          <w:szCs w:val="20"/>
        </w:rPr>
        <w:t>This is a basic guide, prepared by ACCA’s Technical Advisory team, for members and their colleagues or clients.</w:t>
      </w:r>
    </w:p>
    <w:p w:rsidR="00534D0F" w:rsidRDefault="00534D0F" w:rsidP="00845527">
      <w:pPr>
        <w:rPr>
          <w:rFonts w:ascii="Arial" w:hAnsi="Arial" w:cs="Arial"/>
          <w:sz w:val="20"/>
          <w:szCs w:val="20"/>
        </w:rPr>
      </w:pPr>
    </w:p>
    <w:p w:rsidR="00DA1DD0" w:rsidRPr="00BF7EAD" w:rsidRDefault="00DA1DD0" w:rsidP="00845527">
      <w:pPr>
        <w:rPr>
          <w:rFonts w:ascii="Arial" w:hAnsi="Arial" w:cs="Arial"/>
          <w:sz w:val="20"/>
          <w:szCs w:val="20"/>
        </w:rPr>
      </w:pPr>
      <w:r w:rsidRPr="00BF7EAD">
        <w:rPr>
          <w:rFonts w:ascii="Arial" w:hAnsi="Arial" w:cs="Arial"/>
          <w:sz w:val="20"/>
          <w:szCs w:val="20"/>
        </w:rPr>
        <w:t>It is an introduction only and should not be used as a definitive guide, since individual circumstances may vary. Specific advice should be obtained, where necessary.</w:t>
      </w:r>
    </w:p>
    <w:p w:rsidR="00FC5354" w:rsidRPr="00BF7EAD" w:rsidRDefault="00FC5354" w:rsidP="00845527">
      <w:pPr>
        <w:rPr>
          <w:rFonts w:ascii="Arial" w:hAnsi="Arial" w:cs="Arial"/>
          <w:sz w:val="20"/>
          <w:szCs w:val="20"/>
        </w:rPr>
      </w:pPr>
    </w:p>
    <w:p w:rsidR="003509D0" w:rsidRPr="00BF7EAD" w:rsidRDefault="003509D0" w:rsidP="00845527">
      <w:pPr>
        <w:rPr>
          <w:rFonts w:ascii="Arial" w:hAnsi="Arial" w:cs="Arial"/>
          <w:sz w:val="20"/>
          <w:szCs w:val="20"/>
        </w:rPr>
      </w:pPr>
    </w:p>
    <w:p w:rsidR="003509D0" w:rsidRPr="00BF7EAD" w:rsidRDefault="003509D0" w:rsidP="00845527">
      <w:pPr>
        <w:rPr>
          <w:rFonts w:ascii="Arial" w:hAnsi="Arial" w:cs="Arial"/>
          <w:b/>
          <w:sz w:val="20"/>
          <w:szCs w:val="20"/>
        </w:rPr>
      </w:pPr>
      <w:r w:rsidRPr="00BF7EAD">
        <w:rPr>
          <w:rFonts w:ascii="Arial" w:hAnsi="Arial" w:cs="Arial"/>
          <w:b/>
          <w:sz w:val="20"/>
          <w:szCs w:val="20"/>
        </w:rPr>
        <w:t>Rates and allowances</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9"/>
        <w:gridCol w:w="1984"/>
        <w:gridCol w:w="1985"/>
      </w:tblGrid>
      <w:tr w:rsidR="006D4580" w:rsidRPr="00BF7EAD" w:rsidTr="00142648">
        <w:trPr>
          <w:trHeight w:val="255"/>
        </w:trPr>
        <w:tc>
          <w:tcPr>
            <w:tcW w:w="5969" w:type="dxa"/>
            <w:shd w:val="clear" w:color="auto" w:fill="D9D9D9"/>
            <w:noWrap/>
            <w:vAlign w:val="bottom"/>
          </w:tcPr>
          <w:p w:rsidR="006D4580" w:rsidRPr="00BF7EAD" w:rsidRDefault="006D4580" w:rsidP="00142648">
            <w:pPr>
              <w:rPr>
                <w:rFonts w:ascii="Arial" w:hAnsi="Arial" w:cs="Arial"/>
                <w:sz w:val="20"/>
                <w:szCs w:val="20"/>
                <w:lang w:eastAsia="en-GB"/>
              </w:rPr>
            </w:pPr>
          </w:p>
        </w:tc>
        <w:tc>
          <w:tcPr>
            <w:tcW w:w="1984" w:type="dxa"/>
            <w:shd w:val="clear" w:color="auto" w:fill="D9D9D9"/>
            <w:noWrap/>
            <w:vAlign w:val="bottom"/>
          </w:tcPr>
          <w:p w:rsidR="006D4580" w:rsidRPr="00BF7EAD" w:rsidRDefault="00142648" w:rsidP="00142648">
            <w:pPr>
              <w:jc w:val="center"/>
              <w:rPr>
                <w:rFonts w:ascii="Arial" w:hAnsi="Arial" w:cs="Arial"/>
                <w:b/>
                <w:bCs/>
                <w:sz w:val="20"/>
                <w:szCs w:val="20"/>
                <w:lang w:eastAsia="en-GB"/>
              </w:rPr>
            </w:pPr>
            <w:r w:rsidRPr="00BF7EAD">
              <w:rPr>
                <w:rFonts w:ascii="Arial" w:hAnsi="Arial" w:cs="Arial"/>
                <w:b/>
                <w:bCs/>
                <w:sz w:val="20"/>
                <w:szCs w:val="20"/>
                <w:lang w:eastAsia="en-GB"/>
              </w:rPr>
              <w:t>2016</w:t>
            </w:r>
            <w:r w:rsidR="006D4580" w:rsidRPr="00BF7EAD">
              <w:rPr>
                <w:rFonts w:ascii="Arial" w:hAnsi="Arial" w:cs="Arial"/>
                <w:b/>
                <w:bCs/>
                <w:sz w:val="20"/>
                <w:szCs w:val="20"/>
                <w:lang w:eastAsia="en-GB"/>
              </w:rPr>
              <w:t>/1</w:t>
            </w:r>
            <w:r w:rsidRPr="00BF7EAD">
              <w:rPr>
                <w:rFonts w:ascii="Arial" w:hAnsi="Arial" w:cs="Arial"/>
                <w:b/>
                <w:bCs/>
                <w:sz w:val="20"/>
                <w:szCs w:val="20"/>
                <w:lang w:eastAsia="en-GB"/>
              </w:rPr>
              <w:t>7</w:t>
            </w:r>
          </w:p>
        </w:tc>
        <w:tc>
          <w:tcPr>
            <w:tcW w:w="1985" w:type="dxa"/>
            <w:shd w:val="clear" w:color="auto" w:fill="D9D9D9"/>
            <w:noWrap/>
            <w:vAlign w:val="bottom"/>
          </w:tcPr>
          <w:p w:rsidR="006D4580" w:rsidRPr="00BF7EAD" w:rsidRDefault="006D4580" w:rsidP="00142648">
            <w:pPr>
              <w:jc w:val="center"/>
              <w:rPr>
                <w:rFonts w:ascii="Arial" w:hAnsi="Arial" w:cs="Arial"/>
                <w:b/>
                <w:bCs/>
                <w:sz w:val="20"/>
                <w:szCs w:val="20"/>
                <w:lang w:eastAsia="en-GB"/>
              </w:rPr>
            </w:pPr>
            <w:r w:rsidRPr="00BF7EAD">
              <w:rPr>
                <w:rFonts w:ascii="Arial" w:hAnsi="Arial" w:cs="Arial"/>
                <w:b/>
                <w:bCs/>
                <w:sz w:val="20"/>
                <w:szCs w:val="20"/>
                <w:lang w:eastAsia="en-GB"/>
              </w:rPr>
              <w:t>2015/16</w:t>
            </w:r>
          </w:p>
        </w:tc>
      </w:tr>
      <w:tr w:rsidR="006D4580" w:rsidRPr="00BF7EAD" w:rsidTr="00142648">
        <w:trPr>
          <w:trHeight w:val="255"/>
        </w:trPr>
        <w:tc>
          <w:tcPr>
            <w:tcW w:w="5969" w:type="dxa"/>
            <w:noWrap/>
            <w:vAlign w:val="bottom"/>
          </w:tcPr>
          <w:p w:rsidR="006D4580" w:rsidRPr="00BF7EAD" w:rsidRDefault="006D4580" w:rsidP="00142648">
            <w:pPr>
              <w:rPr>
                <w:rFonts w:ascii="Arial" w:hAnsi="Arial" w:cs="Arial"/>
                <w:sz w:val="20"/>
                <w:szCs w:val="20"/>
                <w:lang w:eastAsia="en-GB"/>
              </w:rPr>
            </w:pPr>
          </w:p>
        </w:tc>
        <w:tc>
          <w:tcPr>
            <w:tcW w:w="1984" w:type="dxa"/>
            <w:noWrap/>
            <w:vAlign w:val="bottom"/>
          </w:tcPr>
          <w:p w:rsidR="006D4580" w:rsidRPr="00BF7EAD" w:rsidRDefault="006D4580" w:rsidP="00142648">
            <w:pPr>
              <w:jc w:val="center"/>
              <w:rPr>
                <w:rFonts w:ascii="Arial" w:hAnsi="Arial" w:cs="Arial"/>
                <w:b/>
                <w:bCs/>
                <w:sz w:val="20"/>
                <w:szCs w:val="20"/>
                <w:lang w:eastAsia="en-GB"/>
              </w:rPr>
            </w:pPr>
            <w:r w:rsidRPr="00BF7EAD">
              <w:rPr>
                <w:rFonts w:ascii="Arial" w:hAnsi="Arial" w:cs="Arial"/>
                <w:b/>
                <w:bCs/>
                <w:sz w:val="20"/>
                <w:szCs w:val="20"/>
                <w:lang w:eastAsia="en-GB"/>
              </w:rPr>
              <w:t>£</w:t>
            </w:r>
          </w:p>
        </w:tc>
        <w:tc>
          <w:tcPr>
            <w:tcW w:w="1985" w:type="dxa"/>
            <w:noWrap/>
            <w:vAlign w:val="bottom"/>
          </w:tcPr>
          <w:p w:rsidR="006D4580" w:rsidRPr="00BF7EAD" w:rsidRDefault="006D4580" w:rsidP="00142648">
            <w:pPr>
              <w:jc w:val="center"/>
              <w:rPr>
                <w:rFonts w:ascii="Arial" w:hAnsi="Arial" w:cs="Arial"/>
                <w:b/>
                <w:bCs/>
                <w:sz w:val="20"/>
                <w:szCs w:val="20"/>
                <w:lang w:eastAsia="en-GB"/>
              </w:rPr>
            </w:pPr>
            <w:r w:rsidRPr="00BF7EAD">
              <w:rPr>
                <w:rFonts w:ascii="Arial" w:hAnsi="Arial" w:cs="Arial"/>
                <w:b/>
                <w:bCs/>
                <w:sz w:val="20"/>
                <w:szCs w:val="20"/>
                <w:lang w:eastAsia="en-GB"/>
              </w:rPr>
              <w:t>£</w:t>
            </w:r>
          </w:p>
        </w:tc>
      </w:tr>
      <w:tr w:rsidR="006D4580" w:rsidRPr="00BF7EAD" w:rsidTr="00142648">
        <w:trPr>
          <w:trHeight w:val="255"/>
        </w:trPr>
        <w:tc>
          <w:tcPr>
            <w:tcW w:w="9938" w:type="dxa"/>
            <w:gridSpan w:val="3"/>
            <w:shd w:val="clear" w:color="auto" w:fill="D9D9D9"/>
            <w:noWrap/>
            <w:vAlign w:val="bottom"/>
          </w:tcPr>
          <w:p w:rsidR="006D4580" w:rsidRPr="00BF7EAD" w:rsidRDefault="006D4580" w:rsidP="00142648">
            <w:pPr>
              <w:rPr>
                <w:rFonts w:ascii="Arial" w:hAnsi="Arial" w:cs="Arial"/>
                <w:sz w:val="20"/>
                <w:szCs w:val="20"/>
                <w:lang w:eastAsia="en-GB"/>
              </w:rPr>
            </w:pPr>
            <w:r w:rsidRPr="00BF7EAD">
              <w:rPr>
                <w:rFonts w:ascii="Arial" w:hAnsi="Arial" w:cs="Arial"/>
                <w:b/>
                <w:bCs/>
                <w:sz w:val="20"/>
                <w:szCs w:val="20"/>
                <w:lang w:eastAsia="en-GB"/>
              </w:rPr>
              <w:t>Income tax rates - (non-dividend income)</w:t>
            </w:r>
          </w:p>
        </w:tc>
      </w:tr>
      <w:tr w:rsidR="006D4580" w:rsidRPr="00BF7EAD" w:rsidTr="00142648">
        <w:trPr>
          <w:trHeight w:val="255"/>
        </w:trPr>
        <w:tc>
          <w:tcPr>
            <w:tcW w:w="5969" w:type="dxa"/>
            <w:noWrap/>
            <w:vAlign w:val="bottom"/>
          </w:tcPr>
          <w:p w:rsidR="006D4580" w:rsidRPr="00BF7EAD" w:rsidRDefault="006D4580" w:rsidP="00142648">
            <w:pPr>
              <w:rPr>
                <w:rFonts w:ascii="Arial" w:hAnsi="Arial" w:cs="Arial"/>
                <w:sz w:val="20"/>
                <w:szCs w:val="20"/>
                <w:lang w:eastAsia="en-GB"/>
              </w:rPr>
            </w:pPr>
            <w:r w:rsidRPr="00BF7EAD">
              <w:rPr>
                <w:rFonts w:ascii="Arial" w:hAnsi="Arial" w:cs="Arial"/>
                <w:sz w:val="20"/>
                <w:szCs w:val="20"/>
                <w:lang w:eastAsia="en-GB"/>
              </w:rPr>
              <w:t>10% lower rate tax - savings rate only</w:t>
            </w:r>
          </w:p>
        </w:tc>
        <w:tc>
          <w:tcPr>
            <w:tcW w:w="1984" w:type="dxa"/>
            <w:noWrap/>
            <w:vAlign w:val="bottom"/>
          </w:tcPr>
          <w:p w:rsidR="006D4580" w:rsidRPr="00BF7EAD" w:rsidRDefault="006D4580" w:rsidP="00142648">
            <w:pPr>
              <w:jc w:val="center"/>
              <w:rPr>
                <w:rFonts w:ascii="Arial" w:hAnsi="Arial" w:cs="Arial"/>
                <w:sz w:val="20"/>
                <w:szCs w:val="20"/>
              </w:rPr>
            </w:pPr>
            <w:r w:rsidRPr="00BF7EAD">
              <w:rPr>
                <w:rFonts w:ascii="Arial" w:hAnsi="Arial" w:cs="Arial"/>
                <w:sz w:val="20"/>
                <w:szCs w:val="20"/>
              </w:rPr>
              <w:t xml:space="preserve">Up to </w:t>
            </w:r>
            <w:r w:rsidR="00927182" w:rsidRPr="00BF7EAD">
              <w:rPr>
                <w:rFonts w:ascii="Arial" w:hAnsi="Arial" w:cs="Arial"/>
                <w:sz w:val="20"/>
                <w:szCs w:val="20"/>
              </w:rPr>
              <w:t>5,000</w:t>
            </w:r>
          </w:p>
        </w:tc>
        <w:tc>
          <w:tcPr>
            <w:tcW w:w="1985" w:type="dxa"/>
            <w:noWrap/>
            <w:vAlign w:val="bottom"/>
          </w:tcPr>
          <w:p w:rsidR="006D4580" w:rsidRPr="00BF7EAD" w:rsidRDefault="006D4580" w:rsidP="00142648">
            <w:pPr>
              <w:jc w:val="center"/>
              <w:rPr>
                <w:rFonts w:ascii="Arial" w:hAnsi="Arial" w:cs="Arial"/>
                <w:sz w:val="20"/>
                <w:szCs w:val="20"/>
              </w:rPr>
            </w:pPr>
            <w:r w:rsidRPr="00BF7EAD">
              <w:rPr>
                <w:rFonts w:ascii="Arial" w:hAnsi="Arial" w:cs="Arial"/>
                <w:sz w:val="20"/>
                <w:szCs w:val="20"/>
              </w:rPr>
              <w:t>Up to 5,000</w:t>
            </w:r>
          </w:p>
        </w:tc>
      </w:tr>
      <w:tr w:rsidR="006D4580" w:rsidRPr="00BF7EAD" w:rsidTr="00142648">
        <w:trPr>
          <w:trHeight w:val="255"/>
        </w:trPr>
        <w:tc>
          <w:tcPr>
            <w:tcW w:w="5969" w:type="dxa"/>
            <w:noWrap/>
            <w:vAlign w:val="bottom"/>
          </w:tcPr>
          <w:p w:rsidR="006D4580" w:rsidRPr="00BF7EAD" w:rsidRDefault="006D4580" w:rsidP="00142648">
            <w:pPr>
              <w:rPr>
                <w:rFonts w:ascii="Arial" w:hAnsi="Arial" w:cs="Arial"/>
                <w:sz w:val="20"/>
                <w:szCs w:val="20"/>
                <w:lang w:eastAsia="en-GB"/>
              </w:rPr>
            </w:pPr>
            <w:r w:rsidRPr="00BF7EAD">
              <w:rPr>
                <w:rFonts w:ascii="Arial" w:hAnsi="Arial" w:cs="Arial"/>
                <w:sz w:val="20"/>
                <w:szCs w:val="20"/>
                <w:lang w:eastAsia="en-GB"/>
              </w:rPr>
              <w:t>20% basic rate tax</w:t>
            </w:r>
          </w:p>
        </w:tc>
        <w:tc>
          <w:tcPr>
            <w:tcW w:w="1984" w:type="dxa"/>
            <w:noWrap/>
            <w:vAlign w:val="bottom"/>
          </w:tcPr>
          <w:p w:rsidR="006D4580" w:rsidRPr="00BF7EAD" w:rsidRDefault="006D4580" w:rsidP="00142648">
            <w:pPr>
              <w:jc w:val="center"/>
              <w:rPr>
                <w:rFonts w:ascii="Arial" w:hAnsi="Arial" w:cs="Arial"/>
                <w:sz w:val="20"/>
                <w:szCs w:val="20"/>
              </w:rPr>
            </w:pPr>
            <w:r w:rsidRPr="00BF7EAD">
              <w:rPr>
                <w:rFonts w:ascii="Arial" w:hAnsi="Arial" w:cs="Arial"/>
                <w:sz w:val="20"/>
                <w:szCs w:val="20"/>
              </w:rPr>
              <w:t xml:space="preserve">Up to </w:t>
            </w:r>
            <w:r w:rsidR="00927182" w:rsidRPr="00BF7EAD">
              <w:rPr>
                <w:rFonts w:ascii="Arial" w:hAnsi="Arial" w:cs="Arial"/>
                <w:sz w:val="20"/>
                <w:szCs w:val="20"/>
              </w:rPr>
              <w:t>32,000</w:t>
            </w:r>
          </w:p>
        </w:tc>
        <w:tc>
          <w:tcPr>
            <w:tcW w:w="1985" w:type="dxa"/>
            <w:noWrap/>
            <w:vAlign w:val="bottom"/>
          </w:tcPr>
          <w:p w:rsidR="006D4580" w:rsidRPr="00BF7EAD" w:rsidRDefault="006D4580" w:rsidP="00142648">
            <w:pPr>
              <w:jc w:val="center"/>
              <w:rPr>
                <w:rFonts w:ascii="Arial" w:hAnsi="Arial" w:cs="Arial"/>
                <w:sz w:val="20"/>
                <w:szCs w:val="20"/>
              </w:rPr>
            </w:pPr>
            <w:r w:rsidRPr="00BF7EAD">
              <w:rPr>
                <w:rFonts w:ascii="Arial" w:hAnsi="Arial" w:cs="Arial"/>
                <w:sz w:val="20"/>
                <w:szCs w:val="20"/>
              </w:rPr>
              <w:t>Up to 31,785</w:t>
            </w:r>
          </w:p>
        </w:tc>
      </w:tr>
      <w:tr w:rsidR="006D4580" w:rsidRPr="00BF7EAD" w:rsidTr="00142648">
        <w:trPr>
          <w:trHeight w:val="255"/>
        </w:trPr>
        <w:tc>
          <w:tcPr>
            <w:tcW w:w="5969" w:type="dxa"/>
            <w:noWrap/>
            <w:vAlign w:val="bottom"/>
          </w:tcPr>
          <w:p w:rsidR="006D4580" w:rsidRPr="00BF7EAD" w:rsidRDefault="006D4580" w:rsidP="00142648">
            <w:pPr>
              <w:rPr>
                <w:rFonts w:ascii="Arial" w:hAnsi="Arial" w:cs="Arial"/>
                <w:sz w:val="20"/>
                <w:szCs w:val="20"/>
                <w:lang w:eastAsia="en-GB"/>
              </w:rPr>
            </w:pPr>
            <w:r w:rsidRPr="00BF7EAD">
              <w:rPr>
                <w:rFonts w:ascii="Arial" w:hAnsi="Arial" w:cs="Arial"/>
                <w:sz w:val="20"/>
                <w:szCs w:val="20"/>
                <w:lang w:eastAsia="en-GB"/>
              </w:rPr>
              <w:t>40% higher rate tax</w:t>
            </w:r>
          </w:p>
        </w:tc>
        <w:tc>
          <w:tcPr>
            <w:tcW w:w="1984" w:type="dxa"/>
            <w:noWrap/>
            <w:vAlign w:val="bottom"/>
          </w:tcPr>
          <w:p w:rsidR="006D4580" w:rsidRPr="00BF7EAD" w:rsidRDefault="00927182" w:rsidP="00142648">
            <w:pPr>
              <w:jc w:val="center"/>
              <w:rPr>
                <w:rFonts w:ascii="Arial" w:hAnsi="Arial" w:cs="Arial"/>
                <w:sz w:val="20"/>
                <w:szCs w:val="20"/>
              </w:rPr>
            </w:pPr>
            <w:r w:rsidRPr="00BF7EAD">
              <w:rPr>
                <w:rFonts w:ascii="Arial" w:hAnsi="Arial" w:cs="Arial"/>
                <w:sz w:val="20"/>
                <w:szCs w:val="20"/>
              </w:rPr>
              <w:t>32,000 – 150,000</w:t>
            </w:r>
          </w:p>
        </w:tc>
        <w:tc>
          <w:tcPr>
            <w:tcW w:w="1985" w:type="dxa"/>
            <w:noWrap/>
            <w:vAlign w:val="bottom"/>
          </w:tcPr>
          <w:p w:rsidR="006D4580" w:rsidRPr="00BF7EAD" w:rsidRDefault="006D4580" w:rsidP="00142648">
            <w:pPr>
              <w:jc w:val="center"/>
              <w:rPr>
                <w:rFonts w:ascii="Arial" w:hAnsi="Arial" w:cs="Arial"/>
                <w:sz w:val="20"/>
                <w:szCs w:val="20"/>
              </w:rPr>
            </w:pPr>
            <w:r w:rsidRPr="00BF7EAD">
              <w:rPr>
                <w:rFonts w:ascii="Arial" w:hAnsi="Arial" w:cs="Arial"/>
                <w:sz w:val="20"/>
                <w:szCs w:val="20"/>
              </w:rPr>
              <w:t>31,786 - 150,000</w:t>
            </w:r>
          </w:p>
        </w:tc>
      </w:tr>
      <w:tr w:rsidR="006D4580" w:rsidRPr="00BF7EAD" w:rsidTr="00142648">
        <w:trPr>
          <w:trHeight w:val="255"/>
        </w:trPr>
        <w:tc>
          <w:tcPr>
            <w:tcW w:w="5969" w:type="dxa"/>
            <w:noWrap/>
            <w:vAlign w:val="bottom"/>
          </w:tcPr>
          <w:p w:rsidR="006D4580" w:rsidRPr="00BF7EAD" w:rsidRDefault="006D4580" w:rsidP="00142648">
            <w:pPr>
              <w:rPr>
                <w:rFonts w:ascii="Arial" w:hAnsi="Arial" w:cs="Arial"/>
                <w:sz w:val="20"/>
                <w:szCs w:val="20"/>
                <w:lang w:eastAsia="en-GB"/>
              </w:rPr>
            </w:pPr>
            <w:r w:rsidRPr="00BF7EAD">
              <w:rPr>
                <w:rFonts w:ascii="Arial" w:hAnsi="Arial" w:cs="Arial"/>
                <w:sz w:val="20"/>
                <w:szCs w:val="20"/>
                <w:lang w:eastAsia="en-GB"/>
              </w:rPr>
              <w:t>45% additional rate tax</w:t>
            </w:r>
          </w:p>
        </w:tc>
        <w:tc>
          <w:tcPr>
            <w:tcW w:w="1984" w:type="dxa"/>
            <w:noWrap/>
            <w:vAlign w:val="bottom"/>
          </w:tcPr>
          <w:p w:rsidR="006D4580" w:rsidRPr="00BF7EAD" w:rsidRDefault="00927182" w:rsidP="00142648">
            <w:pPr>
              <w:jc w:val="center"/>
              <w:rPr>
                <w:rFonts w:ascii="Arial" w:hAnsi="Arial" w:cs="Arial"/>
                <w:sz w:val="20"/>
                <w:szCs w:val="20"/>
              </w:rPr>
            </w:pPr>
            <w:r w:rsidRPr="00BF7EAD">
              <w:rPr>
                <w:rFonts w:ascii="Arial" w:hAnsi="Arial" w:cs="Arial"/>
                <w:sz w:val="20"/>
                <w:szCs w:val="20"/>
              </w:rPr>
              <w:t>Above 150,000</w:t>
            </w:r>
          </w:p>
        </w:tc>
        <w:tc>
          <w:tcPr>
            <w:tcW w:w="1985" w:type="dxa"/>
            <w:noWrap/>
            <w:vAlign w:val="bottom"/>
          </w:tcPr>
          <w:p w:rsidR="006D4580" w:rsidRPr="00BF7EAD" w:rsidRDefault="00927182" w:rsidP="00142648">
            <w:pPr>
              <w:jc w:val="center"/>
              <w:rPr>
                <w:rFonts w:ascii="Arial" w:hAnsi="Arial" w:cs="Arial"/>
                <w:sz w:val="20"/>
                <w:szCs w:val="20"/>
              </w:rPr>
            </w:pPr>
            <w:r w:rsidRPr="00BF7EAD">
              <w:rPr>
                <w:rFonts w:ascii="Arial" w:hAnsi="Arial" w:cs="Arial"/>
                <w:sz w:val="20"/>
                <w:szCs w:val="20"/>
              </w:rPr>
              <w:t xml:space="preserve">Above </w:t>
            </w:r>
            <w:r w:rsidR="006D4580" w:rsidRPr="00BF7EAD">
              <w:rPr>
                <w:rFonts w:ascii="Arial" w:hAnsi="Arial" w:cs="Arial"/>
                <w:sz w:val="20"/>
                <w:szCs w:val="20"/>
              </w:rPr>
              <w:t>150,000</w:t>
            </w:r>
          </w:p>
        </w:tc>
      </w:tr>
      <w:tr w:rsidR="006D4580" w:rsidRPr="00BF7EAD" w:rsidTr="00142648">
        <w:trPr>
          <w:trHeight w:val="255"/>
        </w:trPr>
        <w:tc>
          <w:tcPr>
            <w:tcW w:w="9938" w:type="dxa"/>
            <w:gridSpan w:val="3"/>
            <w:shd w:val="clear" w:color="auto" w:fill="D9D9D9"/>
            <w:noWrap/>
            <w:vAlign w:val="bottom"/>
          </w:tcPr>
          <w:p w:rsidR="006D4580" w:rsidRPr="00BF7EAD" w:rsidRDefault="006D4580" w:rsidP="00142648">
            <w:pPr>
              <w:rPr>
                <w:rFonts w:ascii="Arial" w:hAnsi="Arial" w:cs="Arial"/>
                <w:sz w:val="20"/>
                <w:szCs w:val="20"/>
                <w:lang w:eastAsia="en-GB"/>
              </w:rPr>
            </w:pPr>
            <w:r w:rsidRPr="00BF7EAD">
              <w:rPr>
                <w:rFonts w:ascii="Arial" w:hAnsi="Arial" w:cs="Arial"/>
                <w:b/>
                <w:bCs/>
                <w:sz w:val="20"/>
                <w:szCs w:val="20"/>
                <w:lang w:eastAsia="en-GB"/>
              </w:rPr>
              <w:t>Personal allowance</w:t>
            </w:r>
          </w:p>
        </w:tc>
      </w:tr>
      <w:tr w:rsidR="006D4580" w:rsidRPr="00BF7EAD" w:rsidTr="00142648">
        <w:trPr>
          <w:trHeight w:val="255"/>
        </w:trPr>
        <w:tc>
          <w:tcPr>
            <w:tcW w:w="5969" w:type="dxa"/>
            <w:noWrap/>
            <w:vAlign w:val="bottom"/>
          </w:tcPr>
          <w:p w:rsidR="006D4580" w:rsidRPr="00BF7EAD" w:rsidRDefault="006D4580" w:rsidP="00142648">
            <w:pPr>
              <w:rPr>
                <w:rFonts w:ascii="Arial" w:hAnsi="Arial" w:cs="Arial"/>
                <w:sz w:val="20"/>
                <w:szCs w:val="20"/>
              </w:rPr>
            </w:pPr>
            <w:r w:rsidRPr="00BF7EAD">
              <w:rPr>
                <w:rFonts w:ascii="Arial" w:hAnsi="Arial" w:cs="Arial"/>
                <w:sz w:val="20"/>
                <w:szCs w:val="20"/>
              </w:rPr>
              <w:t>Personal allowance those born after 5 April 1948</w:t>
            </w:r>
          </w:p>
        </w:tc>
        <w:tc>
          <w:tcPr>
            <w:tcW w:w="1984" w:type="dxa"/>
            <w:noWrap/>
            <w:vAlign w:val="bottom"/>
          </w:tcPr>
          <w:p w:rsidR="006D4580" w:rsidRPr="00BF7EAD" w:rsidRDefault="002F54B8" w:rsidP="00142648">
            <w:pPr>
              <w:jc w:val="center"/>
              <w:rPr>
                <w:rFonts w:ascii="Arial" w:hAnsi="Arial" w:cs="Arial"/>
                <w:sz w:val="20"/>
                <w:szCs w:val="20"/>
              </w:rPr>
            </w:pPr>
            <w:r w:rsidRPr="00BF7EAD">
              <w:rPr>
                <w:rFonts w:ascii="Arial" w:hAnsi="Arial" w:cs="Arial"/>
                <w:sz w:val="20"/>
                <w:szCs w:val="20"/>
              </w:rPr>
              <w:t>11,000</w:t>
            </w:r>
          </w:p>
        </w:tc>
        <w:tc>
          <w:tcPr>
            <w:tcW w:w="1985" w:type="dxa"/>
            <w:noWrap/>
            <w:vAlign w:val="bottom"/>
          </w:tcPr>
          <w:p w:rsidR="006D4580" w:rsidRPr="00BF7EAD" w:rsidRDefault="006D4580" w:rsidP="00142648">
            <w:pPr>
              <w:jc w:val="center"/>
              <w:rPr>
                <w:rFonts w:ascii="Arial" w:hAnsi="Arial" w:cs="Arial"/>
                <w:sz w:val="20"/>
                <w:szCs w:val="20"/>
              </w:rPr>
            </w:pPr>
            <w:r w:rsidRPr="00BF7EAD">
              <w:rPr>
                <w:rFonts w:ascii="Arial" w:hAnsi="Arial" w:cs="Arial"/>
                <w:sz w:val="20"/>
                <w:szCs w:val="20"/>
              </w:rPr>
              <w:t>10,600</w:t>
            </w:r>
          </w:p>
        </w:tc>
      </w:tr>
    </w:tbl>
    <w:p w:rsidR="007B4D64" w:rsidRDefault="007B4D64" w:rsidP="003509D0">
      <w:pPr>
        <w:autoSpaceDE w:val="0"/>
        <w:autoSpaceDN w:val="0"/>
        <w:rPr>
          <w:rFonts w:ascii="Arial" w:hAnsi="Arial" w:cs="Arial"/>
          <w:b/>
          <w:bCs/>
          <w:sz w:val="20"/>
          <w:szCs w:val="20"/>
        </w:rPr>
      </w:pPr>
    </w:p>
    <w:p w:rsidR="003509D0" w:rsidRPr="00BF7EAD" w:rsidRDefault="003509D0" w:rsidP="003509D0">
      <w:pPr>
        <w:autoSpaceDE w:val="0"/>
        <w:autoSpaceDN w:val="0"/>
        <w:rPr>
          <w:rFonts w:ascii="Arial" w:hAnsi="Arial" w:cs="Arial"/>
          <w:color w:val="000000"/>
          <w:sz w:val="20"/>
          <w:szCs w:val="20"/>
        </w:rPr>
      </w:pPr>
      <w:r w:rsidRPr="00BF7EAD">
        <w:rPr>
          <w:rFonts w:ascii="Arial" w:hAnsi="Arial" w:cs="Arial"/>
          <w:b/>
          <w:bCs/>
          <w:sz w:val="20"/>
          <w:szCs w:val="20"/>
        </w:rPr>
        <w:t>Corporation tax</w:t>
      </w:r>
    </w:p>
    <w:p w:rsidR="00951402" w:rsidRDefault="00927182" w:rsidP="003509D0">
      <w:pPr>
        <w:autoSpaceDE w:val="0"/>
        <w:autoSpaceDN w:val="0"/>
        <w:adjustRightInd w:val="0"/>
        <w:rPr>
          <w:rFonts w:ascii="Arial" w:hAnsi="Arial" w:cs="Arial"/>
          <w:color w:val="000000"/>
          <w:sz w:val="20"/>
          <w:szCs w:val="20"/>
        </w:rPr>
      </w:pPr>
      <w:r w:rsidRPr="00BF7EAD">
        <w:rPr>
          <w:rFonts w:ascii="Arial" w:hAnsi="Arial" w:cs="Arial"/>
          <w:color w:val="000000"/>
          <w:sz w:val="20"/>
          <w:szCs w:val="20"/>
        </w:rPr>
        <w:t>T</w:t>
      </w:r>
      <w:r w:rsidR="003509D0" w:rsidRPr="00BF7EAD">
        <w:rPr>
          <w:rFonts w:ascii="Arial" w:hAnsi="Arial" w:cs="Arial"/>
          <w:color w:val="000000"/>
          <w:sz w:val="20"/>
          <w:szCs w:val="20"/>
        </w:rPr>
        <w:t xml:space="preserve">he main rate of corporation tax </w:t>
      </w:r>
      <w:r w:rsidRPr="00BF7EAD">
        <w:rPr>
          <w:rFonts w:ascii="Arial" w:hAnsi="Arial" w:cs="Arial"/>
          <w:color w:val="000000"/>
          <w:sz w:val="20"/>
          <w:szCs w:val="20"/>
        </w:rPr>
        <w:t xml:space="preserve">is </w:t>
      </w:r>
      <w:r w:rsidR="003509D0" w:rsidRPr="00BF7EAD">
        <w:rPr>
          <w:rFonts w:ascii="Arial" w:hAnsi="Arial" w:cs="Arial"/>
          <w:color w:val="000000"/>
          <w:sz w:val="20"/>
          <w:szCs w:val="20"/>
        </w:rPr>
        <w:t xml:space="preserve">20% </w:t>
      </w:r>
      <w:r w:rsidRPr="00BF7EAD">
        <w:rPr>
          <w:rFonts w:ascii="Arial" w:hAnsi="Arial" w:cs="Arial"/>
          <w:color w:val="000000"/>
          <w:sz w:val="20"/>
          <w:szCs w:val="20"/>
        </w:rPr>
        <w:t>and from April 2017 to 19%</w:t>
      </w:r>
      <w:r w:rsidR="003509D0" w:rsidRPr="00BF7EAD">
        <w:rPr>
          <w:rFonts w:ascii="Arial" w:hAnsi="Arial" w:cs="Arial"/>
          <w:color w:val="000000"/>
          <w:sz w:val="20"/>
          <w:szCs w:val="20"/>
        </w:rPr>
        <w:t>.</w:t>
      </w:r>
    </w:p>
    <w:p w:rsidR="007B4D64" w:rsidRDefault="007B4D64" w:rsidP="007B4D64">
      <w:pPr>
        <w:rPr>
          <w:rFonts w:ascii="Arial" w:hAnsi="Arial" w:cs="Arial"/>
          <w:b/>
          <w:sz w:val="20"/>
          <w:szCs w:val="20"/>
        </w:rPr>
      </w:pPr>
    </w:p>
    <w:p w:rsidR="007B4D64" w:rsidRPr="00265E7F" w:rsidRDefault="007B4D64" w:rsidP="007B4D64">
      <w:pPr>
        <w:rPr>
          <w:rFonts w:ascii="Arial" w:hAnsi="Arial" w:cs="Arial"/>
          <w:b/>
          <w:sz w:val="20"/>
          <w:szCs w:val="20"/>
        </w:rPr>
      </w:pPr>
      <w:r w:rsidRPr="00265E7F">
        <w:rPr>
          <w:rFonts w:ascii="Arial" w:hAnsi="Arial" w:cs="Arial"/>
          <w:b/>
          <w:sz w:val="20"/>
          <w:szCs w:val="20"/>
        </w:rPr>
        <w:t>Annual Investment Allowance</w:t>
      </w:r>
    </w:p>
    <w:p w:rsidR="007B4D64" w:rsidRPr="00265E7F" w:rsidRDefault="007B4D64" w:rsidP="007B4D64">
      <w:pPr>
        <w:rPr>
          <w:rFonts w:ascii="Arial" w:hAnsi="Arial" w:cs="Arial"/>
          <w:sz w:val="20"/>
          <w:szCs w:val="20"/>
        </w:rPr>
      </w:pPr>
      <w:r w:rsidRPr="00265E7F">
        <w:rPr>
          <w:rFonts w:ascii="Arial" w:hAnsi="Arial" w:cs="Arial"/>
          <w:sz w:val="20"/>
          <w:szCs w:val="20"/>
        </w:rPr>
        <w:t>The annual investment allowance is £200,000 per annum and is available for companies and for unincorporated businesses</w:t>
      </w:r>
      <w:r>
        <w:rPr>
          <w:rFonts w:ascii="Arial" w:hAnsi="Arial" w:cs="Arial"/>
          <w:sz w:val="20"/>
          <w:szCs w:val="20"/>
        </w:rPr>
        <w:t>. It applied from 1 January 2016.</w:t>
      </w:r>
      <w:r w:rsidRPr="00265E7F">
        <w:rPr>
          <w:rFonts w:ascii="Arial" w:hAnsi="Arial" w:cs="Arial"/>
          <w:sz w:val="20"/>
          <w:szCs w:val="20"/>
        </w:rPr>
        <w:t xml:space="preserve"> </w:t>
      </w:r>
    </w:p>
    <w:p w:rsidR="00C40289" w:rsidRPr="007B4D64" w:rsidRDefault="003509D0" w:rsidP="00951402">
      <w:pPr>
        <w:autoSpaceDE w:val="0"/>
        <w:autoSpaceDN w:val="0"/>
        <w:adjustRightInd w:val="0"/>
        <w:rPr>
          <w:rFonts w:ascii="Arial" w:hAnsi="Arial" w:cs="Arial"/>
          <w:color w:val="000000"/>
          <w:sz w:val="20"/>
          <w:szCs w:val="20"/>
        </w:rPr>
      </w:pPr>
      <w:r w:rsidRPr="00BF7EAD">
        <w:rPr>
          <w:rFonts w:ascii="Arial" w:hAnsi="Arial" w:cs="Arial"/>
          <w:color w:val="000000"/>
          <w:sz w:val="20"/>
          <w:szCs w:val="20"/>
        </w:rPr>
        <w:t xml:space="preserve"> </w:t>
      </w:r>
    </w:p>
    <w:p w:rsidR="00C40289" w:rsidRPr="00BF7EAD" w:rsidRDefault="00C40289" w:rsidP="00951402">
      <w:pPr>
        <w:autoSpaceDE w:val="0"/>
        <w:autoSpaceDN w:val="0"/>
        <w:adjustRightInd w:val="0"/>
        <w:rPr>
          <w:rFonts w:ascii="Arial" w:hAnsi="Arial" w:cs="Arial"/>
          <w:b/>
          <w:sz w:val="20"/>
          <w:szCs w:val="20"/>
        </w:rPr>
      </w:pPr>
      <w:r w:rsidRPr="00BF7EAD">
        <w:rPr>
          <w:rFonts w:ascii="Arial" w:hAnsi="Arial" w:cs="Arial"/>
          <w:b/>
          <w:sz w:val="20"/>
          <w:szCs w:val="20"/>
        </w:rPr>
        <w:t>Dividends</w:t>
      </w:r>
    </w:p>
    <w:p w:rsidR="00C40289" w:rsidRPr="00BF7EAD" w:rsidRDefault="00C40289" w:rsidP="00C40289">
      <w:pPr>
        <w:rPr>
          <w:rFonts w:ascii="Arial" w:hAnsi="Arial" w:cs="Arial"/>
          <w:sz w:val="20"/>
          <w:szCs w:val="20"/>
        </w:rPr>
      </w:pPr>
      <w:r w:rsidRPr="00BF7EAD">
        <w:rPr>
          <w:rFonts w:ascii="Arial" w:hAnsi="Arial" w:cs="Arial"/>
          <w:sz w:val="20"/>
          <w:szCs w:val="20"/>
        </w:rPr>
        <w:t>Tax is payable on dividends over £5,000 at the following rates:</w:t>
      </w:r>
    </w:p>
    <w:p w:rsidR="00C40289" w:rsidRPr="00BF7EAD" w:rsidRDefault="00C40289" w:rsidP="00C40289">
      <w:pPr>
        <w:rPr>
          <w:rFonts w:ascii="Arial" w:hAnsi="Arial" w:cs="Arial"/>
          <w:sz w:val="20"/>
          <w:szCs w:val="20"/>
        </w:rPr>
      </w:pPr>
      <w:r w:rsidRPr="00BF7EAD">
        <w:rPr>
          <w:rFonts w:ascii="Arial" w:hAnsi="Arial" w:cs="Arial"/>
          <w:sz w:val="20"/>
          <w:szCs w:val="20"/>
        </w:rPr>
        <w:t>7.5% on dividend income within the basic rate band</w:t>
      </w:r>
    </w:p>
    <w:p w:rsidR="00C40289" w:rsidRPr="00BF7EAD" w:rsidRDefault="00C40289" w:rsidP="00C40289">
      <w:pPr>
        <w:rPr>
          <w:rFonts w:ascii="Arial" w:hAnsi="Arial" w:cs="Arial"/>
          <w:sz w:val="20"/>
          <w:szCs w:val="20"/>
        </w:rPr>
      </w:pPr>
      <w:r w:rsidRPr="00BF7EAD">
        <w:rPr>
          <w:rFonts w:ascii="Arial" w:hAnsi="Arial" w:cs="Arial"/>
          <w:sz w:val="20"/>
          <w:szCs w:val="20"/>
        </w:rPr>
        <w:t>32.5% on dividend income within the higher rate band</w:t>
      </w:r>
    </w:p>
    <w:p w:rsidR="00C40289" w:rsidRPr="00BF7EAD" w:rsidRDefault="00C40289" w:rsidP="00C40289">
      <w:pPr>
        <w:rPr>
          <w:rFonts w:ascii="Arial" w:hAnsi="Arial" w:cs="Arial"/>
          <w:sz w:val="20"/>
          <w:szCs w:val="20"/>
        </w:rPr>
      </w:pPr>
      <w:r w:rsidRPr="00BF7EAD">
        <w:rPr>
          <w:rFonts w:ascii="Arial" w:hAnsi="Arial" w:cs="Arial"/>
          <w:sz w:val="20"/>
          <w:szCs w:val="20"/>
        </w:rPr>
        <w:t>38.1% on dividend income within the additional rate band</w:t>
      </w:r>
    </w:p>
    <w:p w:rsidR="00C40289" w:rsidRPr="00BF7EAD" w:rsidRDefault="00C40289" w:rsidP="00951402">
      <w:pPr>
        <w:autoSpaceDE w:val="0"/>
        <w:autoSpaceDN w:val="0"/>
        <w:adjustRightInd w:val="0"/>
        <w:rPr>
          <w:rFonts w:ascii="Arial" w:hAnsi="Arial" w:cs="Arial"/>
          <w:b/>
          <w:sz w:val="20"/>
          <w:szCs w:val="20"/>
        </w:rPr>
      </w:pPr>
    </w:p>
    <w:p w:rsidR="00C40289" w:rsidRPr="00BF7EAD" w:rsidRDefault="00C40289" w:rsidP="00C40289">
      <w:pPr>
        <w:rPr>
          <w:rFonts w:ascii="Arial" w:hAnsi="Arial" w:cs="Arial"/>
          <w:b/>
          <w:sz w:val="20"/>
          <w:szCs w:val="20"/>
        </w:rPr>
      </w:pPr>
      <w:r w:rsidRPr="00BF7EAD">
        <w:rPr>
          <w:rFonts w:ascii="Arial" w:hAnsi="Arial" w:cs="Arial"/>
          <w:b/>
          <w:sz w:val="20"/>
          <w:szCs w:val="20"/>
        </w:rPr>
        <w:t>Personal Savings Allowance</w:t>
      </w:r>
    </w:p>
    <w:p w:rsidR="00C40289" w:rsidRPr="00BF7EAD" w:rsidRDefault="00C40289" w:rsidP="00C40289">
      <w:pPr>
        <w:rPr>
          <w:rFonts w:ascii="Arial" w:hAnsi="Arial" w:cs="Arial"/>
          <w:sz w:val="20"/>
          <w:szCs w:val="20"/>
        </w:rPr>
      </w:pPr>
      <w:r w:rsidRPr="00BF7EAD">
        <w:rPr>
          <w:rFonts w:ascii="Arial" w:hAnsi="Arial" w:cs="Arial"/>
          <w:sz w:val="20"/>
          <w:szCs w:val="20"/>
        </w:rPr>
        <w:t>A basic rate taxpayer will be able to receive up to £1,000 of interest per year tax free on their savings.</w:t>
      </w:r>
    </w:p>
    <w:p w:rsidR="00C40289" w:rsidRPr="00BF7EAD" w:rsidRDefault="00C40289" w:rsidP="00C40289">
      <w:pPr>
        <w:rPr>
          <w:rFonts w:ascii="Arial" w:hAnsi="Arial" w:cs="Arial"/>
          <w:sz w:val="20"/>
          <w:szCs w:val="20"/>
        </w:rPr>
      </w:pPr>
      <w:r w:rsidRPr="00BF7EAD">
        <w:rPr>
          <w:rFonts w:ascii="Arial" w:hAnsi="Arial" w:cs="Arial"/>
          <w:sz w:val="20"/>
          <w:szCs w:val="20"/>
        </w:rPr>
        <w:t>A higher rate taxpayer will be able to receive up to £500 of interest per year tax free on their savings.</w:t>
      </w:r>
    </w:p>
    <w:p w:rsidR="00C40289" w:rsidRPr="00BF7EAD" w:rsidRDefault="00C40289" w:rsidP="00C40289">
      <w:pPr>
        <w:rPr>
          <w:rFonts w:ascii="Arial" w:hAnsi="Arial" w:cs="Arial"/>
          <w:sz w:val="20"/>
          <w:szCs w:val="20"/>
        </w:rPr>
      </w:pPr>
      <w:r w:rsidRPr="00BF7EAD">
        <w:rPr>
          <w:rFonts w:ascii="Arial" w:hAnsi="Arial" w:cs="Arial"/>
          <w:sz w:val="20"/>
          <w:szCs w:val="20"/>
        </w:rPr>
        <w:lastRenderedPageBreak/>
        <w:t>An additional rate tax payer will not have a Personal Savings Allowance.</w:t>
      </w:r>
    </w:p>
    <w:p w:rsidR="00C40289" w:rsidRPr="00BF7EAD" w:rsidRDefault="00C40289" w:rsidP="00C40289">
      <w:pPr>
        <w:rPr>
          <w:rFonts w:ascii="Arial" w:hAnsi="Arial" w:cs="Arial"/>
          <w:sz w:val="20"/>
          <w:szCs w:val="20"/>
        </w:rPr>
      </w:pPr>
      <w:r w:rsidRPr="00BF7EAD">
        <w:rPr>
          <w:rFonts w:ascii="Arial" w:hAnsi="Arial" w:cs="Arial"/>
          <w:sz w:val="20"/>
          <w:szCs w:val="20"/>
        </w:rPr>
        <w:t>Any amount received above these limits will be charged at the marginal rate.</w:t>
      </w:r>
    </w:p>
    <w:p w:rsidR="00C40289" w:rsidRPr="00BF7EAD" w:rsidRDefault="00C40289" w:rsidP="00C40289">
      <w:pPr>
        <w:rPr>
          <w:rFonts w:ascii="Arial" w:hAnsi="Arial" w:cs="Arial"/>
          <w:sz w:val="20"/>
          <w:szCs w:val="20"/>
        </w:rPr>
      </w:pPr>
    </w:p>
    <w:p w:rsidR="00C40289" w:rsidRPr="00BF7EAD" w:rsidRDefault="00C40289" w:rsidP="00C40289">
      <w:pPr>
        <w:rPr>
          <w:rFonts w:ascii="Arial" w:hAnsi="Arial" w:cs="Arial"/>
          <w:b/>
          <w:sz w:val="20"/>
          <w:szCs w:val="20"/>
        </w:rPr>
      </w:pPr>
      <w:r w:rsidRPr="00BF7EAD">
        <w:rPr>
          <w:rFonts w:ascii="Arial" w:hAnsi="Arial" w:cs="Arial"/>
          <w:b/>
          <w:sz w:val="20"/>
          <w:szCs w:val="20"/>
        </w:rPr>
        <w:t>Directors overdrawn loan account tax increase</w:t>
      </w:r>
    </w:p>
    <w:p w:rsidR="00C40289" w:rsidRPr="00BF7EAD" w:rsidRDefault="00C40289" w:rsidP="00C40289">
      <w:pPr>
        <w:rPr>
          <w:rFonts w:ascii="Arial" w:hAnsi="Arial" w:cs="Arial"/>
          <w:sz w:val="20"/>
          <w:szCs w:val="20"/>
        </w:rPr>
      </w:pPr>
      <w:r w:rsidRPr="00BF7EAD">
        <w:rPr>
          <w:rFonts w:ascii="Arial" w:hAnsi="Arial" w:cs="Arial"/>
          <w:sz w:val="20"/>
          <w:szCs w:val="20"/>
        </w:rPr>
        <w:t>Rate of tax charged on loans to participators increases. From 6 April 2016 the rate of tax charged on loans to participators (currently 25%) will increase to 32.5%.</w:t>
      </w:r>
    </w:p>
    <w:p w:rsidR="007B4D64" w:rsidRDefault="007B4D64" w:rsidP="007B4D64">
      <w:pPr>
        <w:rPr>
          <w:rFonts w:ascii="Arial" w:hAnsi="Arial" w:cs="Arial"/>
          <w:b/>
          <w:sz w:val="20"/>
          <w:szCs w:val="20"/>
        </w:rPr>
      </w:pPr>
    </w:p>
    <w:p w:rsidR="007B4D64" w:rsidRPr="00BF7EAD" w:rsidRDefault="007B4D64" w:rsidP="007B4D64">
      <w:pPr>
        <w:rPr>
          <w:rFonts w:ascii="Arial" w:hAnsi="Arial" w:cs="Arial"/>
          <w:b/>
          <w:sz w:val="20"/>
          <w:szCs w:val="20"/>
        </w:rPr>
      </w:pPr>
      <w:r w:rsidRPr="00BF7EAD">
        <w:rPr>
          <w:rFonts w:ascii="Arial" w:hAnsi="Arial" w:cs="Arial"/>
          <w:b/>
          <w:sz w:val="20"/>
          <w:szCs w:val="20"/>
        </w:rPr>
        <w:t xml:space="preserve">Capital gain tax reduction </w:t>
      </w:r>
    </w:p>
    <w:p w:rsidR="007B4D64" w:rsidRPr="00BF7EAD" w:rsidRDefault="007B4D64" w:rsidP="007B4D64">
      <w:pPr>
        <w:autoSpaceDE w:val="0"/>
        <w:autoSpaceDN w:val="0"/>
        <w:adjustRightInd w:val="0"/>
        <w:rPr>
          <w:rFonts w:ascii="Arial" w:hAnsi="Arial" w:cs="Arial"/>
          <w:sz w:val="20"/>
          <w:szCs w:val="20"/>
        </w:rPr>
      </w:pPr>
      <w:r w:rsidRPr="00BF7EAD">
        <w:rPr>
          <w:rFonts w:ascii="Arial" w:hAnsi="Arial" w:cs="Arial"/>
          <w:sz w:val="20"/>
          <w:szCs w:val="20"/>
        </w:rPr>
        <w:t>Legislation will be introduced in Finance Bill 2016 to reduce the 18% and 28% rates in those provisi</w:t>
      </w:r>
      <w:r>
        <w:rPr>
          <w:rFonts w:ascii="Arial" w:hAnsi="Arial" w:cs="Arial"/>
          <w:sz w:val="20"/>
          <w:szCs w:val="20"/>
        </w:rPr>
        <w:t xml:space="preserve">ons to 10% and 20% respectively, </w:t>
      </w:r>
      <w:r w:rsidRPr="00265E7F">
        <w:rPr>
          <w:rFonts w:ascii="Arial" w:hAnsi="Arial" w:cs="Arial"/>
          <w:sz w:val="20"/>
          <w:szCs w:val="20"/>
        </w:rPr>
        <w:t>subject to exclusions for chargeable gains on disposals of residential property.</w:t>
      </w:r>
    </w:p>
    <w:p w:rsidR="007B4D64" w:rsidRPr="00BF7EAD" w:rsidRDefault="007B4D64" w:rsidP="007B4D64">
      <w:pPr>
        <w:rPr>
          <w:rFonts w:ascii="Arial" w:hAnsi="Arial" w:cs="Arial"/>
          <w:sz w:val="20"/>
          <w:szCs w:val="20"/>
        </w:rPr>
      </w:pPr>
    </w:p>
    <w:p w:rsidR="007B4D64" w:rsidRPr="00BF7EAD" w:rsidRDefault="007B4D64" w:rsidP="007B4D64">
      <w:pPr>
        <w:rPr>
          <w:rFonts w:ascii="Arial" w:hAnsi="Arial" w:cs="Arial"/>
          <w:b/>
          <w:sz w:val="20"/>
          <w:szCs w:val="20"/>
        </w:rPr>
      </w:pPr>
      <w:r w:rsidRPr="00BF7EAD">
        <w:rPr>
          <w:rStyle w:val="title7"/>
          <w:rFonts w:ascii="Arial" w:hAnsi="Arial" w:cs="Arial"/>
          <w:b/>
          <w:color w:val="auto"/>
          <w:sz w:val="20"/>
          <w:szCs w:val="20"/>
        </w:rPr>
        <w:t>Marriage allowance</w:t>
      </w:r>
      <w:r w:rsidRPr="00BF7EAD">
        <w:rPr>
          <w:rFonts w:ascii="Arial" w:hAnsi="Arial" w:cs="Arial"/>
          <w:b/>
          <w:sz w:val="20"/>
          <w:szCs w:val="20"/>
        </w:rPr>
        <w:t xml:space="preserve"> </w:t>
      </w:r>
    </w:p>
    <w:tbl>
      <w:tblPr>
        <w:tblW w:w="500" w:type="pct"/>
        <w:tblCellSpacing w:w="0" w:type="dxa"/>
        <w:tblCellMar>
          <w:left w:w="0" w:type="dxa"/>
          <w:right w:w="0" w:type="dxa"/>
        </w:tblCellMar>
        <w:tblLook w:val="04A0" w:firstRow="1" w:lastRow="0" w:firstColumn="1" w:lastColumn="0" w:noHBand="0" w:noVBand="1"/>
      </w:tblPr>
      <w:tblGrid>
        <w:gridCol w:w="964"/>
      </w:tblGrid>
      <w:tr w:rsidR="007B4D64" w:rsidRPr="00BF7EAD" w:rsidTr="00534D0F">
        <w:trPr>
          <w:tblCellSpacing w:w="0" w:type="dxa"/>
        </w:trPr>
        <w:tc>
          <w:tcPr>
            <w:tcW w:w="0" w:type="auto"/>
            <w:vAlign w:val="center"/>
            <w:hideMark/>
          </w:tcPr>
          <w:p w:rsidR="007B4D64" w:rsidRPr="00BF7EAD" w:rsidRDefault="007B4D64" w:rsidP="00534D0F">
            <w:pPr>
              <w:spacing w:line="15" w:lineRule="atLeast"/>
              <w:rPr>
                <w:rFonts w:ascii="Arial" w:hAnsi="Arial" w:cs="Arial"/>
                <w:sz w:val="20"/>
                <w:szCs w:val="20"/>
              </w:rPr>
            </w:pPr>
            <w:r w:rsidRPr="00BF7EAD">
              <w:rPr>
                <w:rFonts w:ascii="Arial" w:hAnsi="Arial" w:cs="Arial"/>
                <w:noProof/>
                <w:sz w:val="20"/>
                <w:szCs w:val="20"/>
                <w:lang w:eastAsia="en-GB"/>
              </w:rPr>
              <w:drawing>
                <wp:inline distT="0" distB="0" distL="0" distR="0" wp14:anchorId="6297B99F" wp14:editId="71B8E8E4">
                  <wp:extent cx="190500" cy="9525"/>
                  <wp:effectExtent l="0" t="0" r="0" b="0"/>
                  <wp:docPr id="2" name="Picture 2" descr="http://accainpractice.newsweaver.co.uk/nwstati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ccainpractice.newsweaver.co.uk/nwstatic/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r>
    </w:tbl>
    <w:p w:rsidR="007B4D64" w:rsidRPr="00BF7EAD" w:rsidRDefault="007B4D64" w:rsidP="007B4D64">
      <w:pPr>
        <w:pStyle w:val="default"/>
        <w:spacing w:after="240"/>
        <w:rPr>
          <w:rFonts w:ascii="Arial" w:hAnsi="Arial" w:cs="Arial"/>
          <w:sz w:val="20"/>
          <w:szCs w:val="20"/>
        </w:rPr>
      </w:pPr>
      <w:r w:rsidRPr="00BF7EAD">
        <w:rPr>
          <w:rFonts w:ascii="Arial" w:hAnsi="Arial" w:cs="Arial"/>
          <w:sz w:val="20"/>
          <w:szCs w:val="20"/>
        </w:rPr>
        <w:t>This change applies from 6 April and allows for the transfer of £1,100 of a personal allowance to a spouse or partner where the transferor’s income is less than £11,000 and the recipient doesn’t pay tax at the higher or additional rate. </w:t>
      </w:r>
    </w:p>
    <w:p w:rsidR="007B4D64" w:rsidRDefault="003509D0" w:rsidP="007B4D64">
      <w:pPr>
        <w:pStyle w:val="NormalWeb"/>
        <w:spacing w:before="0" w:beforeAutospacing="0" w:after="0" w:afterAutospacing="0"/>
        <w:rPr>
          <w:rStyle w:val="Strong"/>
          <w:rFonts w:ascii="Arial" w:hAnsi="Arial" w:cs="Arial"/>
          <w:sz w:val="20"/>
          <w:szCs w:val="20"/>
        </w:rPr>
      </w:pPr>
      <w:r w:rsidRPr="00BF7EAD">
        <w:rPr>
          <w:rStyle w:val="Strong"/>
          <w:rFonts w:ascii="Arial" w:hAnsi="Arial" w:cs="Arial"/>
          <w:sz w:val="20"/>
          <w:szCs w:val="20"/>
        </w:rPr>
        <w:t xml:space="preserve">Employment Allowance </w:t>
      </w:r>
    </w:p>
    <w:p w:rsidR="00694815" w:rsidRPr="007B4D64" w:rsidRDefault="00927182" w:rsidP="007B4D64">
      <w:pPr>
        <w:pStyle w:val="NormalWeb"/>
        <w:spacing w:before="0" w:beforeAutospacing="0" w:after="0" w:afterAutospacing="0"/>
        <w:rPr>
          <w:rFonts w:ascii="Arial" w:hAnsi="Arial" w:cs="Arial"/>
          <w:b/>
          <w:bCs/>
          <w:sz w:val="20"/>
          <w:szCs w:val="20"/>
        </w:rPr>
      </w:pPr>
      <w:r w:rsidRPr="00BF7EAD">
        <w:rPr>
          <w:rFonts w:ascii="Arial" w:hAnsi="Arial" w:cs="Arial"/>
          <w:color w:val="000000"/>
          <w:sz w:val="20"/>
          <w:szCs w:val="20"/>
        </w:rPr>
        <w:t xml:space="preserve">The Employment Allowance (Increase of Maximum Amount) Regulations 2016 increase the employment allowance from £2,000 to £3,000 while </w:t>
      </w:r>
      <w:r w:rsidRPr="00BF7EAD">
        <w:rPr>
          <w:rFonts w:ascii="Arial" w:hAnsi="Arial" w:cs="Arial"/>
          <w:color w:val="000000"/>
          <w:sz w:val="20"/>
          <w:szCs w:val="20"/>
          <w:shd w:val="clear" w:color="auto" w:fill="FFFFFF"/>
        </w:rPr>
        <w:t xml:space="preserve">The Employment Allowance (Excluded Companies) Regulations 2016 now </w:t>
      </w:r>
      <w:r w:rsidRPr="00BF7EAD">
        <w:rPr>
          <w:rFonts w:ascii="Arial" w:hAnsi="Arial" w:cs="Arial"/>
          <w:color w:val="000000"/>
          <w:sz w:val="20"/>
          <w:szCs w:val="20"/>
        </w:rPr>
        <w:t>excludes limited companies where the director is the sole paid employee from April.</w:t>
      </w:r>
    </w:p>
    <w:p w:rsidR="00951402" w:rsidRPr="00BF7EAD" w:rsidRDefault="00951402" w:rsidP="00951402">
      <w:pPr>
        <w:rPr>
          <w:rFonts w:ascii="Arial" w:hAnsi="Arial" w:cs="Arial"/>
          <w:b/>
          <w:sz w:val="20"/>
          <w:szCs w:val="20"/>
        </w:rPr>
      </w:pPr>
    </w:p>
    <w:p w:rsidR="00951402" w:rsidRPr="00BF7EAD" w:rsidRDefault="00951402" w:rsidP="00951402">
      <w:pPr>
        <w:rPr>
          <w:rFonts w:ascii="Arial" w:hAnsi="Arial" w:cs="Arial"/>
          <w:b/>
          <w:sz w:val="20"/>
          <w:szCs w:val="20"/>
        </w:rPr>
      </w:pPr>
      <w:r w:rsidRPr="00BF7EAD">
        <w:rPr>
          <w:rFonts w:ascii="Arial" w:hAnsi="Arial" w:cs="Arial"/>
          <w:b/>
          <w:sz w:val="20"/>
          <w:szCs w:val="20"/>
        </w:rPr>
        <w:t>Restriction on mortgage interest deduction</w:t>
      </w:r>
    </w:p>
    <w:p w:rsidR="00534D0F" w:rsidRDefault="00951402" w:rsidP="00951402">
      <w:pPr>
        <w:rPr>
          <w:rFonts w:ascii="Arial" w:hAnsi="Arial" w:cs="Arial"/>
          <w:sz w:val="20"/>
          <w:szCs w:val="20"/>
        </w:rPr>
      </w:pPr>
      <w:r w:rsidRPr="00BF7EAD">
        <w:rPr>
          <w:rFonts w:ascii="Arial" w:hAnsi="Arial" w:cs="Arial"/>
          <w:sz w:val="20"/>
          <w:szCs w:val="20"/>
        </w:rPr>
        <w:t>Landlords will no longer be able to deduct all of their finance costs from their property income to arrive at their rental profits. The relief in respect of finance costs will be restricted as follows:</w:t>
      </w:r>
    </w:p>
    <w:p w:rsidR="00951402" w:rsidRPr="00BF7EAD" w:rsidRDefault="00951402" w:rsidP="00951402">
      <w:pPr>
        <w:rPr>
          <w:rFonts w:ascii="Arial" w:hAnsi="Arial" w:cs="Arial"/>
          <w:b/>
          <w:bCs/>
          <w:sz w:val="20"/>
          <w:szCs w:val="20"/>
        </w:rPr>
      </w:pPr>
      <w:r w:rsidRPr="00BF7EAD">
        <w:rPr>
          <w:rFonts w:ascii="Arial" w:hAnsi="Arial" w:cs="Arial"/>
          <w:b/>
          <w:bCs/>
          <w:sz w:val="20"/>
          <w:szCs w:val="20"/>
        </w:rPr>
        <w:t> </w:t>
      </w:r>
      <w:r w:rsidRPr="00BF7EAD">
        <w:rPr>
          <w:rFonts w:ascii="Arial" w:hAnsi="Arial" w:cs="Arial"/>
          <w:sz w:val="20"/>
          <w:szCs w:val="20"/>
        </w:rPr>
        <w:fldChar w:fldCharType="begin"/>
      </w:r>
      <w:r w:rsidRPr="00BF7EAD">
        <w:rPr>
          <w:rFonts w:ascii="Arial" w:hAnsi="Arial" w:cs="Arial"/>
          <w:sz w:val="20"/>
          <w:szCs w:val="20"/>
        </w:rPr>
        <w:instrText xml:space="preserve"> LINK Excel.Sheet.12 "Book1" "Sheet1!R4C1:R7C3" \a \f 4 \h  \* MERGEFORMAT </w:instrText>
      </w:r>
      <w:r w:rsidRPr="00BF7EAD">
        <w:rPr>
          <w:rFonts w:ascii="Arial" w:hAnsi="Arial" w:cs="Arial"/>
          <w:sz w:val="20"/>
          <w:szCs w:val="20"/>
        </w:rPr>
        <w:fldChar w:fldCharType="separate"/>
      </w:r>
    </w:p>
    <w:tbl>
      <w:tblPr>
        <w:tblW w:w="8828" w:type="dxa"/>
        <w:tblInd w:w="108" w:type="dxa"/>
        <w:tblLook w:val="04A0" w:firstRow="1" w:lastRow="0" w:firstColumn="1" w:lastColumn="0" w:noHBand="0" w:noVBand="1"/>
      </w:tblPr>
      <w:tblGrid>
        <w:gridCol w:w="1839"/>
        <w:gridCol w:w="3679"/>
        <w:gridCol w:w="3310"/>
      </w:tblGrid>
      <w:tr w:rsidR="00951402" w:rsidRPr="00BF7EAD" w:rsidTr="00951402">
        <w:trPr>
          <w:trHeight w:val="364"/>
        </w:trPr>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2017/18</w:t>
            </w:r>
          </w:p>
        </w:tc>
        <w:tc>
          <w:tcPr>
            <w:tcW w:w="3679" w:type="dxa"/>
            <w:tcBorders>
              <w:top w:val="single" w:sz="4" w:space="0" w:color="000000"/>
              <w:left w:val="nil"/>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75% allowed</w:t>
            </w:r>
          </w:p>
        </w:tc>
        <w:tc>
          <w:tcPr>
            <w:tcW w:w="3310" w:type="dxa"/>
            <w:tcBorders>
              <w:top w:val="single" w:sz="4" w:space="0" w:color="000000"/>
              <w:left w:val="nil"/>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25% basic rate</w:t>
            </w:r>
          </w:p>
        </w:tc>
      </w:tr>
      <w:tr w:rsidR="00951402" w:rsidRPr="00BF7EAD" w:rsidTr="00951402">
        <w:trPr>
          <w:trHeight w:val="364"/>
        </w:trPr>
        <w:tc>
          <w:tcPr>
            <w:tcW w:w="1839" w:type="dxa"/>
            <w:tcBorders>
              <w:top w:val="nil"/>
              <w:left w:val="single" w:sz="4" w:space="0" w:color="000000"/>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2018/19</w:t>
            </w:r>
          </w:p>
        </w:tc>
        <w:tc>
          <w:tcPr>
            <w:tcW w:w="3679" w:type="dxa"/>
            <w:tcBorders>
              <w:top w:val="nil"/>
              <w:left w:val="nil"/>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50% allowed</w:t>
            </w:r>
          </w:p>
        </w:tc>
        <w:tc>
          <w:tcPr>
            <w:tcW w:w="3310" w:type="dxa"/>
            <w:tcBorders>
              <w:top w:val="nil"/>
              <w:left w:val="nil"/>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50% basic rate</w:t>
            </w:r>
          </w:p>
        </w:tc>
      </w:tr>
      <w:tr w:rsidR="00951402" w:rsidRPr="00BF7EAD" w:rsidTr="00951402">
        <w:trPr>
          <w:trHeight w:val="364"/>
        </w:trPr>
        <w:tc>
          <w:tcPr>
            <w:tcW w:w="1839" w:type="dxa"/>
            <w:tcBorders>
              <w:top w:val="nil"/>
              <w:left w:val="single" w:sz="4" w:space="0" w:color="000000"/>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2019/20</w:t>
            </w:r>
          </w:p>
        </w:tc>
        <w:tc>
          <w:tcPr>
            <w:tcW w:w="3679" w:type="dxa"/>
            <w:tcBorders>
              <w:top w:val="nil"/>
              <w:left w:val="nil"/>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25% allowed</w:t>
            </w:r>
          </w:p>
        </w:tc>
        <w:tc>
          <w:tcPr>
            <w:tcW w:w="3310" w:type="dxa"/>
            <w:tcBorders>
              <w:top w:val="nil"/>
              <w:left w:val="nil"/>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75% basic rate</w:t>
            </w:r>
          </w:p>
        </w:tc>
      </w:tr>
      <w:tr w:rsidR="00951402" w:rsidRPr="00BF7EAD" w:rsidTr="00951402">
        <w:trPr>
          <w:trHeight w:val="364"/>
        </w:trPr>
        <w:tc>
          <w:tcPr>
            <w:tcW w:w="1839" w:type="dxa"/>
            <w:tcBorders>
              <w:top w:val="nil"/>
              <w:left w:val="single" w:sz="4" w:space="0" w:color="000000"/>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2020/21</w:t>
            </w:r>
          </w:p>
        </w:tc>
        <w:tc>
          <w:tcPr>
            <w:tcW w:w="3679" w:type="dxa"/>
            <w:tcBorders>
              <w:top w:val="nil"/>
              <w:left w:val="nil"/>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Nil</w:t>
            </w:r>
          </w:p>
        </w:tc>
        <w:tc>
          <w:tcPr>
            <w:tcW w:w="3310" w:type="dxa"/>
            <w:tcBorders>
              <w:top w:val="nil"/>
              <w:left w:val="nil"/>
              <w:bottom w:val="single" w:sz="4" w:space="0" w:color="000000"/>
              <w:right w:val="single" w:sz="4" w:space="0" w:color="000000"/>
            </w:tcBorders>
            <w:shd w:val="clear" w:color="auto" w:fill="auto"/>
            <w:vAlign w:val="center"/>
            <w:hideMark/>
          </w:tcPr>
          <w:p w:rsidR="00951402" w:rsidRPr="00BF7EAD" w:rsidRDefault="00951402" w:rsidP="00951402">
            <w:pPr>
              <w:rPr>
                <w:rFonts w:ascii="Arial" w:hAnsi="Arial" w:cs="Arial"/>
                <w:color w:val="000000"/>
                <w:sz w:val="20"/>
                <w:szCs w:val="20"/>
                <w:lang w:eastAsia="en-GB"/>
              </w:rPr>
            </w:pPr>
            <w:r w:rsidRPr="00BF7EAD">
              <w:rPr>
                <w:rFonts w:ascii="Arial" w:hAnsi="Arial" w:cs="Arial"/>
                <w:color w:val="000000"/>
                <w:sz w:val="20"/>
                <w:szCs w:val="20"/>
                <w:lang w:eastAsia="en-GB"/>
              </w:rPr>
              <w:t>100% basic rate</w:t>
            </w:r>
          </w:p>
        </w:tc>
      </w:tr>
    </w:tbl>
    <w:p w:rsidR="00951402" w:rsidRPr="00BF7EAD" w:rsidRDefault="00951402" w:rsidP="00951402">
      <w:pPr>
        <w:rPr>
          <w:rFonts w:ascii="Arial" w:hAnsi="Arial" w:cs="Arial"/>
          <w:b/>
          <w:bCs/>
          <w:sz w:val="20"/>
          <w:szCs w:val="20"/>
        </w:rPr>
      </w:pPr>
      <w:r w:rsidRPr="00BF7EAD">
        <w:rPr>
          <w:rFonts w:ascii="Arial" w:hAnsi="Arial" w:cs="Arial"/>
          <w:b/>
          <w:bCs/>
          <w:sz w:val="20"/>
          <w:szCs w:val="20"/>
        </w:rPr>
        <w:fldChar w:fldCharType="end"/>
      </w:r>
    </w:p>
    <w:p w:rsidR="00951402" w:rsidRPr="00BF7EAD" w:rsidRDefault="00951402" w:rsidP="00951402">
      <w:pPr>
        <w:rPr>
          <w:rFonts w:ascii="Arial" w:hAnsi="Arial" w:cs="Arial"/>
          <w:b/>
          <w:sz w:val="20"/>
          <w:szCs w:val="20"/>
        </w:rPr>
      </w:pPr>
      <w:r w:rsidRPr="00BF7EAD">
        <w:rPr>
          <w:rFonts w:ascii="Arial" w:hAnsi="Arial" w:cs="Arial"/>
          <w:b/>
          <w:sz w:val="20"/>
          <w:szCs w:val="20"/>
        </w:rPr>
        <w:t>The end of wear and tear allowance</w:t>
      </w:r>
    </w:p>
    <w:p w:rsidR="00951402" w:rsidRPr="00BF7EAD" w:rsidRDefault="00951402" w:rsidP="00951402">
      <w:pPr>
        <w:rPr>
          <w:rFonts w:ascii="Arial" w:hAnsi="Arial" w:cs="Arial"/>
          <w:sz w:val="20"/>
          <w:szCs w:val="20"/>
        </w:rPr>
      </w:pPr>
      <w:r w:rsidRPr="00BF7EAD">
        <w:rPr>
          <w:rFonts w:ascii="Arial" w:hAnsi="Arial" w:cs="Arial"/>
          <w:sz w:val="20"/>
          <w:szCs w:val="20"/>
        </w:rPr>
        <w:t>From 5 April 2016 wear and tear allowance and the renewable allowance for property business will be replaced by a system allowing landlords of residential property to deduct only the actual costs incurred on replacing furnishings in the tax year. Capital allowances for furnished holiday lets will not be affected.</w:t>
      </w:r>
    </w:p>
    <w:p w:rsidR="00DA1DD0" w:rsidRPr="00BF7EAD" w:rsidRDefault="00DA1DD0" w:rsidP="00845527">
      <w:pPr>
        <w:rPr>
          <w:rFonts w:ascii="Arial" w:hAnsi="Arial" w:cs="Arial"/>
          <w:sz w:val="20"/>
          <w:szCs w:val="20"/>
        </w:rPr>
      </w:pPr>
    </w:p>
    <w:p w:rsidR="003509D0" w:rsidRPr="00BF7EAD" w:rsidRDefault="003509D0" w:rsidP="003509D0">
      <w:pPr>
        <w:rPr>
          <w:rFonts w:ascii="Arial" w:hAnsi="Arial" w:cs="Arial"/>
          <w:b/>
          <w:sz w:val="20"/>
          <w:szCs w:val="20"/>
        </w:rPr>
      </w:pPr>
      <w:r w:rsidRPr="00BF7EAD">
        <w:rPr>
          <w:rFonts w:ascii="Arial" w:hAnsi="Arial" w:cs="Arial"/>
          <w:b/>
          <w:sz w:val="20"/>
          <w:szCs w:val="20"/>
        </w:rPr>
        <w:t>Farmers averaging</w:t>
      </w:r>
    </w:p>
    <w:p w:rsidR="003509D0" w:rsidRPr="00BF7EAD" w:rsidRDefault="00142648" w:rsidP="003509D0">
      <w:pPr>
        <w:rPr>
          <w:rFonts w:ascii="Arial" w:hAnsi="Arial" w:cs="Arial"/>
          <w:sz w:val="20"/>
          <w:szCs w:val="20"/>
        </w:rPr>
      </w:pPr>
      <w:r w:rsidRPr="00BF7EAD">
        <w:rPr>
          <w:rFonts w:ascii="Arial" w:hAnsi="Arial" w:cs="Arial"/>
          <w:sz w:val="20"/>
          <w:szCs w:val="20"/>
        </w:rPr>
        <w:t>F</w:t>
      </w:r>
      <w:r w:rsidR="003509D0" w:rsidRPr="00BF7EAD">
        <w:rPr>
          <w:rFonts w:ascii="Arial" w:hAnsi="Arial" w:cs="Arial"/>
          <w:sz w:val="20"/>
          <w:szCs w:val="20"/>
        </w:rPr>
        <w:t xml:space="preserve">rom April 2016 the period over which they can average will be increased from the current two year years to five years. </w:t>
      </w:r>
    </w:p>
    <w:p w:rsidR="003509D0" w:rsidRPr="00BF7EAD" w:rsidRDefault="003509D0" w:rsidP="002555B6">
      <w:pPr>
        <w:rPr>
          <w:rFonts w:ascii="Arial" w:hAnsi="Arial" w:cs="Arial"/>
          <w:color w:val="333333"/>
          <w:sz w:val="20"/>
          <w:szCs w:val="20"/>
          <w:lang w:eastAsia="en-GB"/>
        </w:rPr>
      </w:pPr>
    </w:p>
    <w:p w:rsidR="000B0CAF" w:rsidRPr="00BF7EAD" w:rsidRDefault="000B0CAF" w:rsidP="000B0CAF">
      <w:pPr>
        <w:rPr>
          <w:rFonts w:ascii="Arial" w:hAnsi="Arial" w:cs="Arial"/>
          <w:b/>
          <w:sz w:val="20"/>
          <w:szCs w:val="20"/>
        </w:rPr>
      </w:pPr>
      <w:r w:rsidRPr="00BF7EAD">
        <w:rPr>
          <w:rFonts w:ascii="Arial" w:hAnsi="Arial" w:cs="Arial"/>
          <w:b/>
          <w:sz w:val="20"/>
          <w:szCs w:val="20"/>
        </w:rPr>
        <w:t>Lifetime ISA for first home purchases</w:t>
      </w:r>
    </w:p>
    <w:p w:rsidR="000B0CAF" w:rsidRPr="00BF7EAD" w:rsidRDefault="000B0CAF" w:rsidP="000B0CAF">
      <w:pPr>
        <w:rPr>
          <w:rFonts w:ascii="Arial" w:hAnsi="Arial" w:cs="Arial"/>
          <w:sz w:val="20"/>
          <w:szCs w:val="20"/>
        </w:rPr>
      </w:pPr>
      <w:r w:rsidRPr="00BF7EAD">
        <w:rPr>
          <w:rFonts w:ascii="Arial" w:hAnsi="Arial" w:cs="Arial"/>
          <w:sz w:val="20"/>
          <w:szCs w:val="20"/>
        </w:rPr>
        <w:t>From April 2017, any adult under 40 will be able to open a new Lifetime ISA. Up to £4,000 can be saved each year and the government will pay in a 25% bonus on these contributions at the end of the tax year. The funds, including the government bonus, can be withdrawn from the Lifetime ISA from age 60 for any other purpose.</w:t>
      </w:r>
    </w:p>
    <w:p w:rsidR="00951402" w:rsidRPr="00BF7EAD" w:rsidRDefault="00951402" w:rsidP="000B0CAF">
      <w:pPr>
        <w:rPr>
          <w:rFonts w:ascii="Arial" w:hAnsi="Arial" w:cs="Arial"/>
          <w:b/>
          <w:sz w:val="20"/>
          <w:szCs w:val="20"/>
        </w:rPr>
      </w:pPr>
    </w:p>
    <w:p w:rsidR="00951402" w:rsidRPr="00BF7EAD" w:rsidRDefault="00951402" w:rsidP="000B0CAF">
      <w:pPr>
        <w:rPr>
          <w:rFonts w:ascii="Arial" w:hAnsi="Arial" w:cs="Arial"/>
          <w:b/>
          <w:sz w:val="20"/>
          <w:szCs w:val="20"/>
        </w:rPr>
      </w:pPr>
      <w:r w:rsidRPr="00BF7EAD">
        <w:rPr>
          <w:rFonts w:ascii="Arial" w:hAnsi="Arial" w:cs="Arial"/>
          <w:b/>
          <w:sz w:val="20"/>
          <w:szCs w:val="20"/>
        </w:rPr>
        <w:t>Entrepreneurs’ relief</w:t>
      </w:r>
    </w:p>
    <w:p w:rsidR="00951402" w:rsidRPr="00265E7F" w:rsidRDefault="00951402" w:rsidP="000B0CAF">
      <w:pPr>
        <w:rPr>
          <w:rFonts w:ascii="Arial" w:hAnsi="Arial" w:cs="Arial"/>
          <w:sz w:val="20"/>
          <w:szCs w:val="20"/>
        </w:rPr>
      </w:pPr>
      <w:r w:rsidRPr="00265E7F">
        <w:rPr>
          <w:rFonts w:ascii="Arial" w:hAnsi="Arial" w:cs="Arial"/>
          <w:sz w:val="20"/>
          <w:szCs w:val="20"/>
        </w:rPr>
        <w:t xml:space="preserve">Entrepreneurs’ relief is available to external investors in unlisted </w:t>
      </w:r>
      <w:r w:rsidR="000C6099" w:rsidRPr="00265E7F">
        <w:rPr>
          <w:rFonts w:ascii="Arial" w:hAnsi="Arial" w:cs="Arial"/>
          <w:sz w:val="20"/>
          <w:szCs w:val="20"/>
        </w:rPr>
        <w:t>trading companies, where a gain is made on Goodwill on Incorporation</w:t>
      </w:r>
      <w:r w:rsidR="00265E7F" w:rsidRPr="00265E7F">
        <w:rPr>
          <w:rFonts w:ascii="Arial" w:hAnsi="Arial" w:cs="Arial"/>
          <w:sz w:val="20"/>
          <w:szCs w:val="20"/>
        </w:rPr>
        <w:t xml:space="preserve"> and on an ‘associated disposal’ of a privately-held asset when the accompanying disposal of business assets is to a family member.</w:t>
      </w:r>
    </w:p>
    <w:p w:rsidR="00951402" w:rsidRPr="00BF7EAD" w:rsidRDefault="00951402" w:rsidP="00DE6100">
      <w:pPr>
        <w:rPr>
          <w:rFonts w:ascii="Arial" w:hAnsi="Arial" w:cs="Arial"/>
          <w:sz w:val="20"/>
          <w:szCs w:val="20"/>
        </w:rPr>
      </w:pPr>
    </w:p>
    <w:p w:rsidR="00951402" w:rsidRPr="00BF7EAD" w:rsidRDefault="00951402" w:rsidP="00951402">
      <w:pPr>
        <w:rPr>
          <w:rFonts w:ascii="Arial" w:hAnsi="Arial" w:cs="Arial"/>
          <w:b/>
          <w:sz w:val="20"/>
          <w:szCs w:val="20"/>
        </w:rPr>
      </w:pPr>
      <w:r w:rsidRPr="00BF7EAD">
        <w:rPr>
          <w:rFonts w:ascii="Arial" w:hAnsi="Arial" w:cs="Arial"/>
          <w:b/>
          <w:sz w:val="20"/>
          <w:szCs w:val="20"/>
        </w:rPr>
        <w:t>IR35</w:t>
      </w:r>
    </w:p>
    <w:p w:rsidR="00951402" w:rsidRDefault="00951402" w:rsidP="00951402">
      <w:pPr>
        <w:rPr>
          <w:rFonts w:ascii="Arial" w:hAnsi="Arial" w:cs="Arial"/>
          <w:sz w:val="20"/>
          <w:szCs w:val="20"/>
          <w:lang w:val="en"/>
        </w:rPr>
      </w:pPr>
      <w:r w:rsidRPr="00BF7EAD">
        <w:rPr>
          <w:rFonts w:ascii="Arial" w:hAnsi="Arial" w:cs="Arial"/>
          <w:sz w:val="20"/>
          <w:szCs w:val="20"/>
          <w:lang w:val="en"/>
        </w:rPr>
        <w:t xml:space="preserve">The government will introduce in Finance bill 2017 legislation that will move the liability to pay the correct employment taxes from a worker’s own company to the public sector body or agency / third party paying the company. </w:t>
      </w:r>
    </w:p>
    <w:p w:rsidR="007B4D64" w:rsidRDefault="007B4D64" w:rsidP="007B4D64">
      <w:pPr>
        <w:rPr>
          <w:rFonts w:ascii="Arial" w:hAnsi="Arial" w:cs="Arial"/>
          <w:b/>
          <w:sz w:val="20"/>
          <w:szCs w:val="20"/>
        </w:rPr>
      </w:pPr>
    </w:p>
    <w:p w:rsidR="007B4D64" w:rsidRPr="00BF7EAD" w:rsidRDefault="007B4D64" w:rsidP="007B4D64">
      <w:pPr>
        <w:rPr>
          <w:rFonts w:ascii="Arial" w:hAnsi="Arial" w:cs="Arial"/>
          <w:b/>
          <w:sz w:val="20"/>
          <w:szCs w:val="20"/>
        </w:rPr>
      </w:pPr>
      <w:r w:rsidRPr="00BF7EAD">
        <w:rPr>
          <w:rFonts w:ascii="Arial" w:hAnsi="Arial" w:cs="Arial"/>
          <w:b/>
          <w:sz w:val="20"/>
          <w:szCs w:val="20"/>
        </w:rPr>
        <w:t>SEIS</w:t>
      </w:r>
    </w:p>
    <w:p w:rsidR="007B4D64" w:rsidRPr="00BF7EAD" w:rsidRDefault="007B4D64" w:rsidP="007B4D64">
      <w:pPr>
        <w:rPr>
          <w:rFonts w:ascii="Arial" w:hAnsi="Arial" w:cs="Arial"/>
          <w:color w:val="000000"/>
          <w:sz w:val="20"/>
          <w:szCs w:val="20"/>
        </w:rPr>
      </w:pPr>
      <w:r w:rsidRPr="00BF7EAD">
        <w:rPr>
          <w:rFonts w:ascii="Arial" w:hAnsi="Arial" w:cs="Arial"/>
          <w:color w:val="000000"/>
          <w:sz w:val="20"/>
          <w:szCs w:val="20"/>
        </w:rPr>
        <w:lastRenderedPageBreak/>
        <w:t>The Scheme was not permanent, and runs until 5 April 2017. The investment limit for a qualifying individual in a fiscal year is £100,000 and cannot claim tax relief until the company has spent at least 70% of the money invested. </w:t>
      </w:r>
      <w:r w:rsidRPr="00BF7EAD">
        <w:rPr>
          <w:rFonts w:ascii="Arial" w:hAnsi="Arial" w:cs="Arial"/>
          <w:sz w:val="20"/>
          <w:szCs w:val="20"/>
        </w:rPr>
        <w:t>The scheme will be affected by the new rules, which include the requirement for companies to be less than 12 years old when receiving their investment.</w:t>
      </w:r>
    </w:p>
    <w:p w:rsidR="007B4D64" w:rsidRPr="00BF7EAD" w:rsidRDefault="007B4D64" w:rsidP="00951402">
      <w:pPr>
        <w:rPr>
          <w:rFonts w:ascii="Arial" w:hAnsi="Arial" w:cs="Arial"/>
          <w:b/>
          <w:sz w:val="20"/>
          <w:szCs w:val="20"/>
        </w:rPr>
      </w:pPr>
    </w:p>
    <w:p w:rsidR="003509D0" w:rsidRPr="00BF7EAD" w:rsidRDefault="003509D0" w:rsidP="002555B6">
      <w:pPr>
        <w:rPr>
          <w:rFonts w:ascii="Arial" w:hAnsi="Arial" w:cs="Arial"/>
          <w:b/>
          <w:sz w:val="20"/>
          <w:szCs w:val="20"/>
          <w:lang w:eastAsia="en-GB"/>
        </w:rPr>
      </w:pPr>
    </w:p>
    <w:p w:rsidR="003509D0" w:rsidRPr="00BF7EAD" w:rsidRDefault="003509D0" w:rsidP="002555B6">
      <w:pPr>
        <w:rPr>
          <w:rFonts w:ascii="Arial" w:hAnsi="Arial" w:cs="Arial"/>
          <w:b/>
          <w:sz w:val="20"/>
          <w:szCs w:val="20"/>
          <w:lang w:eastAsia="en-GB"/>
        </w:rPr>
      </w:pPr>
      <w:r w:rsidRPr="00BF7EAD">
        <w:rPr>
          <w:rFonts w:ascii="Arial" w:hAnsi="Arial" w:cs="Arial"/>
          <w:b/>
          <w:sz w:val="20"/>
          <w:szCs w:val="20"/>
          <w:lang w:eastAsia="en-GB"/>
        </w:rPr>
        <w:t>VAT</w:t>
      </w:r>
    </w:p>
    <w:p w:rsidR="00694815" w:rsidRPr="00BF7EAD" w:rsidRDefault="00694815" w:rsidP="002555B6">
      <w:pPr>
        <w:rPr>
          <w:rFonts w:ascii="Arial" w:hAnsi="Arial" w:cs="Arial"/>
          <w:b/>
          <w:sz w:val="20"/>
          <w:szCs w:val="20"/>
          <w:lang w:eastAsia="en-GB"/>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6"/>
        <w:gridCol w:w="1830"/>
        <w:gridCol w:w="1672"/>
      </w:tblGrid>
      <w:tr w:rsidR="006D4580" w:rsidRPr="00BF7EAD" w:rsidTr="006D4580">
        <w:trPr>
          <w:trHeight w:val="255"/>
        </w:trPr>
        <w:tc>
          <w:tcPr>
            <w:tcW w:w="6436" w:type="dxa"/>
            <w:shd w:val="clear" w:color="auto" w:fill="D9D9D9"/>
            <w:noWrap/>
            <w:vAlign w:val="bottom"/>
          </w:tcPr>
          <w:p w:rsidR="006D4580" w:rsidRPr="00BF7EAD" w:rsidRDefault="006D4580" w:rsidP="00142648">
            <w:pPr>
              <w:rPr>
                <w:rFonts w:ascii="Arial" w:hAnsi="Arial" w:cs="Arial"/>
                <w:sz w:val="20"/>
                <w:szCs w:val="20"/>
                <w:lang w:eastAsia="en-GB"/>
              </w:rPr>
            </w:pPr>
          </w:p>
        </w:tc>
        <w:tc>
          <w:tcPr>
            <w:tcW w:w="1830" w:type="dxa"/>
            <w:shd w:val="clear" w:color="auto" w:fill="D9D9D9"/>
            <w:noWrap/>
            <w:vAlign w:val="bottom"/>
          </w:tcPr>
          <w:p w:rsidR="006D4580" w:rsidRPr="00BF7EAD" w:rsidRDefault="00142648" w:rsidP="00142648">
            <w:pPr>
              <w:jc w:val="center"/>
              <w:rPr>
                <w:rFonts w:ascii="Arial" w:hAnsi="Arial" w:cs="Arial"/>
                <w:b/>
                <w:bCs/>
                <w:sz w:val="20"/>
                <w:szCs w:val="20"/>
                <w:lang w:eastAsia="en-GB"/>
              </w:rPr>
            </w:pPr>
            <w:r w:rsidRPr="00BF7EAD">
              <w:rPr>
                <w:rFonts w:ascii="Arial" w:hAnsi="Arial" w:cs="Arial"/>
                <w:b/>
                <w:bCs/>
                <w:sz w:val="20"/>
                <w:szCs w:val="20"/>
                <w:lang w:eastAsia="en-GB"/>
              </w:rPr>
              <w:t>2016</w:t>
            </w:r>
            <w:r w:rsidR="006D4580" w:rsidRPr="00BF7EAD">
              <w:rPr>
                <w:rFonts w:ascii="Arial" w:hAnsi="Arial" w:cs="Arial"/>
                <w:b/>
                <w:bCs/>
                <w:sz w:val="20"/>
                <w:szCs w:val="20"/>
                <w:lang w:eastAsia="en-GB"/>
              </w:rPr>
              <w:t>/1</w:t>
            </w:r>
            <w:r w:rsidRPr="00BF7EAD">
              <w:rPr>
                <w:rFonts w:ascii="Arial" w:hAnsi="Arial" w:cs="Arial"/>
                <w:b/>
                <w:bCs/>
                <w:sz w:val="20"/>
                <w:szCs w:val="20"/>
                <w:lang w:eastAsia="en-GB"/>
              </w:rPr>
              <w:t>7</w:t>
            </w:r>
          </w:p>
        </w:tc>
        <w:tc>
          <w:tcPr>
            <w:tcW w:w="1672" w:type="dxa"/>
            <w:shd w:val="clear" w:color="auto" w:fill="D9D9D9"/>
            <w:noWrap/>
            <w:vAlign w:val="bottom"/>
          </w:tcPr>
          <w:p w:rsidR="006D4580" w:rsidRPr="00BF7EAD" w:rsidRDefault="006D4580" w:rsidP="00142648">
            <w:pPr>
              <w:jc w:val="center"/>
              <w:rPr>
                <w:rFonts w:ascii="Arial" w:hAnsi="Arial" w:cs="Arial"/>
                <w:b/>
                <w:bCs/>
                <w:sz w:val="20"/>
                <w:szCs w:val="20"/>
                <w:lang w:eastAsia="en-GB"/>
              </w:rPr>
            </w:pPr>
            <w:r w:rsidRPr="00BF7EAD">
              <w:rPr>
                <w:rFonts w:ascii="Arial" w:hAnsi="Arial" w:cs="Arial"/>
                <w:b/>
                <w:bCs/>
                <w:sz w:val="20"/>
                <w:szCs w:val="20"/>
                <w:lang w:eastAsia="en-GB"/>
              </w:rPr>
              <w:t>2015/16</w:t>
            </w:r>
          </w:p>
        </w:tc>
      </w:tr>
      <w:tr w:rsidR="006D4580" w:rsidRPr="00BF7EAD" w:rsidTr="006D4580">
        <w:trPr>
          <w:trHeight w:val="255"/>
        </w:trPr>
        <w:tc>
          <w:tcPr>
            <w:tcW w:w="6436" w:type="dxa"/>
            <w:noWrap/>
            <w:vAlign w:val="bottom"/>
          </w:tcPr>
          <w:p w:rsidR="006D4580" w:rsidRPr="00BF7EAD" w:rsidRDefault="006D4580" w:rsidP="00142648">
            <w:pPr>
              <w:rPr>
                <w:rFonts w:ascii="Arial" w:hAnsi="Arial" w:cs="Arial"/>
                <w:sz w:val="20"/>
                <w:szCs w:val="20"/>
                <w:lang w:eastAsia="en-GB"/>
              </w:rPr>
            </w:pPr>
          </w:p>
        </w:tc>
        <w:tc>
          <w:tcPr>
            <w:tcW w:w="1830" w:type="dxa"/>
            <w:noWrap/>
            <w:vAlign w:val="bottom"/>
          </w:tcPr>
          <w:p w:rsidR="006D4580" w:rsidRPr="00BF7EAD" w:rsidRDefault="006D4580" w:rsidP="00142648">
            <w:pPr>
              <w:jc w:val="center"/>
              <w:rPr>
                <w:rFonts w:ascii="Arial" w:hAnsi="Arial" w:cs="Arial"/>
                <w:b/>
                <w:bCs/>
                <w:sz w:val="20"/>
                <w:szCs w:val="20"/>
                <w:lang w:eastAsia="en-GB"/>
              </w:rPr>
            </w:pPr>
            <w:r w:rsidRPr="00BF7EAD">
              <w:rPr>
                <w:rFonts w:ascii="Arial" w:hAnsi="Arial" w:cs="Arial"/>
                <w:b/>
                <w:bCs/>
                <w:sz w:val="20"/>
                <w:szCs w:val="20"/>
                <w:lang w:eastAsia="en-GB"/>
              </w:rPr>
              <w:t>£</w:t>
            </w:r>
          </w:p>
        </w:tc>
        <w:tc>
          <w:tcPr>
            <w:tcW w:w="1672" w:type="dxa"/>
            <w:noWrap/>
            <w:vAlign w:val="bottom"/>
          </w:tcPr>
          <w:p w:rsidR="006D4580" w:rsidRPr="00BF7EAD" w:rsidRDefault="006D4580" w:rsidP="00142648">
            <w:pPr>
              <w:jc w:val="center"/>
              <w:rPr>
                <w:rFonts w:ascii="Arial" w:hAnsi="Arial" w:cs="Arial"/>
                <w:b/>
                <w:bCs/>
                <w:sz w:val="20"/>
                <w:szCs w:val="20"/>
                <w:lang w:eastAsia="en-GB"/>
              </w:rPr>
            </w:pPr>
            <w:r w:rsidRPr="00BF7EAD">
              <w:rPr>
                <w:rFonts w:ascii="Arial" w:hAnsi="Arial" w:cs="Arial"/>
                <w:b/>
                <w:bCs/>
                <w:sz w:val="20"/>
                <w:szCs w:val="20"/>
                <w:lang w:eastAsia="en-GB"/>
              </w:rPr>
              <w:t>£</w:t>
            </w:r>
          </w:p>
        </w:tc>
      </w:tr>
      <w:tr w:rsidR="006D4580" w:rsidRPr="00BF7EAD" w:rsidTr="006D4580">
        <w:trPr>
          <w:trHeight w:val="255"/>
        </w:trPr>
        <w:tc>
          <w:tcPr>
            <w:tcW w:w="9938" w:type="dxa"/>
            <w:gridSpan w:val="3"/>
            <w:shd w:val="clear" w:color="auto" w:fill="D9D9D9"/>
            <w:noWrap/>
            <w:vAlign w:val="bottom"/>
          </w:tcPr>
          <w:p w:rsidR="006D4580" w:rsidRPr="00BF7EAD" w:rsidRDefault="006D4580" w:rsidP="00142648">
            <w:pPr>
              <w:rPr>
                <w:rFonts w:ascii="Arial" w:hAnsi="Arial" w:cs="Arial"/>
                <w:sz w:val="20"/>
                <w:szCs w:val="20"/>
                <w:lang w:eastAsia="en-GB"/>
              </w:rPr>
            </w:pPr>
            <w:r w:rsidRPr="00BF7EAD">
              <w:rPr>
                <w:rFonts w:ascii="Arial" w:hAnsi="Arial" w:cs="Arial"/>
                <w:b/>
                <w:bCs/>
                <w:sz w:val="20"/>
                <w:szCs w:val="20"/>
                <w:lang w:eastAsia="en-GB"/>
              </w:rPr>
              <w:t>VAT</w:t>
            </w:r>
          </w:p>
        </w:tc>
      </w:tr>
      <w:tr w:rsidR="006D4580" w:rsidRPr="00BF7EAD" w:rsidTr="006D4580">
        <w:trPr>
          <w:trHeight w:val="255"/>
        </w:trPr>
        <w:tc>
          <w:tcPr>
            <w:tcW w:w="6436" w:type="dxa"/>
            <w:noWrap/>
            <w:vAlign w:val="bottom"/>
          </w:tcPr>
          <w:p w:rsidR="006D4580" w:rsidRPr="00BF7EAD" w:rsidRDefault="006D4580" w:rsidP="00142648">
            <w:pPr>
              <w:rPr>
                <w:rFonts w:ascii="Arial" w:hAnsi="Arial" w:cs="Arial"/>
                <w:sz w:val="20"/>
                <w:szCs w:val="20"/>
                <w:lang w:eastAsia="en-GB"/>
              </w:rPr>
            </w:pPr>
            <w:r w:rsidRPr="00BF7EAD">
              <w:rPr>
                <w:rFonts w:ascii="Arial" w:hAnsi="Arial" w:cs="Arial"/>
                <w:sz w:val="20"/>
                <w:szCs w:val="20"/>
                <w:lang w:eastAsia="en-GB"/>
              </w:rPr>
              <w:t>Standard rate</w:t>
            </w:r>
          </w:p>
        </w:tc>
        <w:tc>
          <w:tcPr>
            <w:tcW w:w="1830" w:type="dxa"/>
            <w:noWrap/>
            <w:vAlign w:val="bottom"/>
          </w:tcPr>
          <w:p w:rsidR="006D4580" w:rsidRPr="00BF7EAD" w:rsidRDefault="006D4580" w:rsidP="00142648">
            <w:pPr>
              <w:jc w:val="center"/>
              <w:rPr>
                <w:rFonts w:ascii="Arial" w:hAnsi="Arial" w:cs="Arial"/>
                <w:sz w:val="20"/>
                <w:szCs w:val="20"/>
                <w:lang w:eastAsia="en-GB"/>
              </w:rPr>
            </w:pPr>
            <w:r w:rsidRPr="00BF7EAD">
              <w:rPr>
                <w:rFonts w:ascii="Arial" w:hAnsi="Arial" w:cs="Arial"/>
                <w:sz w:val="20"/>
                <w:szCs w:val="20"/>
                <w:lang w:eastAsia="en-GB"/>
              </w:rPr>
              <w:t>20%</w:t>
            </w:r>
          </w:p>
        </w:tc>
        <w:tc>
          <w:tcPr>
            <w:tcW w:w="1672" w:type="dxa"/>
            <w:noWrap/>
            <w:vAlign w:val="bottom"/>
          </w:tcPr>
          <w:p w:rsidR="006D4580" w:rsidRPr="00BF7EAD" w:rsidRDefault="006D4580" w:rsidP="00142648">
            <w:pPr>
              <w:jc w:val="center"/>
              <w:rPr>
                <w:rFonts w:ascii="Arial" w:hAnsi="Arial" w:cs="Arial"/>
                <w:sz w:val="20"/>
                <w:szCs w:val="20"/>
                <w:lang w:eastAsia="en-GB"/>
              </w:rPr>
            </w:pPr>
            <w:r w:rsidRPr="00BF7EAD">
              <w:rPr>
                <w:rFonts w:ascii="Arial" w:hAnsi="Arial" w:cs="Arial"/>
                <w:sz w:val="20"/>
                <w:szCs w:val="20"/>
                <w:lang w:eastAsia="en-GB"/>
              </w:rPr>
              <w:t>20%</w:t>
            </w:r>
          </w:p>
        </w:tc>
      </w:tr>
      <w:tr w:rsidR="006D4580" w:rsidRPr="00BF7EAD" w:rsidTr="006D4580">
        <w:trPr>
          <w:trHeight w:val="255"/>
        </w:trPr>
        <w:tc>
          <w:tcPr>
            <w:tcW w:w="6436" w:type="dxa"/>
            <w:noWrap/>
            <w:vAlign w:val="bottom"/>
          </w:tcPr>
          <w:p w:rsidR="006D4580" w:rsidRPr="00BF7EAD" w:rsidRDefault="006D4580" w:rsidP="00142648">
            <w:pPr>
              <w:rPr>
                <w:rFonts w:ascii="Arial" w:hAnsi="Arial" w:cs="Arial"/>
                <w:sz w:val="20"/>
                <w:szCs w:val="20"/>
                <w:lang w:eastAsia="en-GB"/>
              </w:rPr>
            </w:pPr>
            <w:r w:rsidRPr="00BF7EAD">
              <w:rPr>
                <w:rFonts w:ascii="Arial" w:hAnsi="Arial" w:cs="Arial"/>
                <w:sz w:val="20"/>
                <w:szCs w:val="20"/>
                <w:lang w:eastAsia="en-GB"/>
              </w:rPr>
              <w:t>Registration threshold</w:t>
            </w:r>
          </w:p>
        </w:tc>
        <w:tc>
          <w:tcPr>
            <w:tcW w:w="1830" w:type="dxa"/>
            <w:noWrap/>
            <w:vAlign w:val="bottom"/>
          </w:tcPr>
          <w:p w:rsidR="006D4580" w:rsidRPr="00BF7EAD" w:rsidRDefault="000B0CAF" w:rsidP="00142648">
            <w:pPr>
              <w:jc w:val="center"/>
              <w:rPr>
                <w:rFonts w:ascii="Arial" w:hAnsi="Arial" w:cs="Arial"/>
                <w:sz w:val="20"/>
                <w:szCs w:val="20"/>
                <w:lang w:eastAsia="en-GB"/>
              </w:rPr>
            </w:pPr>
            <w:r w:rsidRPr="00BF7EAD">
              <w:rPr>
                <w:rFonts w:ascii="Arial" w:hAnsi="Arial" w:cs="Arial"/>
                <w:sz w:val="20"/>
                <w:szCs w:val="20"/>
                <w:lang w:eastAsia="en-GB"/>
              </w:rPr>
              <w:t>83,000</w:t>
            </w:r>
          </w:p>
        </w:tc>
        <w:tc>
          <w:tcPr>
            <w:tcW w:w="1672" w:type="dxa"/>
            <w:noWrap/>
            <w:vAlign w:val="bottom"/>
          </w:tcPr>
          <w:p w:rsidR="006D4580" w:rsidRPr="00BF7EAD" w:rsidRDefault="006D4580" w:rsidP="00142648">
            <w:pPr>
              <w:jc w:val="center"/>
              <w:rPr>
                <w:rFonts w:ascii="Arial" w:hAnsi="Arial" w:cs="Arial"/>
                <w:sz w:val="20"/>
                <w:szCs w:val="20"/>
                <w:lang w:eastAsia="en-GB"/>
              </w:rPr>
            </w:pPr>
            <w:r w:rsidRPr="00BF7EAD">
              <w:rPr>
                <w:rFonts w:ascii="Arial" w:hAnsi="Arial" w:cs="Arial"/>
                <w:sz w:val="20"/>
                <w:szCs w:val="20"/>
                <w:lang w:eastAsia="en-GB"/>
              </w:rPr>
              <w:t>82,000</w:t>
            </w:r>
          </w:p>
        </w:tc>
      </w:tr>
      <w:tr w:rsidR="006D4580" w:rsidRPr="00BF7EAD" w:rsidTr="006D4580">
        <w:trPr>
          <w:trHeight w:val="255"/>
        </w:trPr>
        <w:tc>
          <w:tcPr>
            <w:tcW w:w="6436" w:type="dxa"/>
            <w:noWrap/>
            <w:vAlign w:val="bottom"/>
          </w:tcPr>
          <w:p w:rsidR="006D4580" w:rsidRPr="00BF7EAD" w:rsidRDefault="006D4580" w:rsidP="00142648">
            <w:pPr>
              <w:rPr>
                <w:rFonts w:ascii="Arial" w:hAnsi="Arial" w:cs="Arial"/>
                <w:sz w:val="20"/>
                <w:szCs w:val="20"/>
                <w:lang w:eastAsia="en-GB"/>
              </w:rPr>
            </w:pPr>
            <w:r w:rsidRPr="00BF7EAD">
              <w:rPr>
                <w:rFonts w:ascii="Arial" w:hAnsi="Arial" w:cs="Arial"/>
                <w:sz w:val="20"/>
                <w:szCs w:val="20"/>
                <w:lang w:eastAsia="en-GB"/>
              </w:rPr>
              <w:t>Deregistration threshold</w:t>
            </w:r>
          </w:p>
        </w:tc>
        <w:tc>
          <w:tcPr>
            <w:tcW w:w="1830" w:type="dxa"/>
            <w:noWrap/>
            <w:vAlign w:val="bottom"/>
          </w:tcPr>
          <w:p w:rsidR="006D4580" w:rsidRPr="00BF7EAD" w:rsidRDefault="000B0CAF" w:rsidP="00142648">
            <w:pPr>
              <w:jc w:val="center"/>
              <w:rPr>
                <w:rFonts w:ascii="Arial" w:hAnsi="Arial" w:cs="Arial"/>
                <w:sz w:val="20"/>
                <w:szCs w:val="20"/>
                <w:lang w:eastAsia="en-GB"/>
              </w:rPr>
            </w:pPr>
            <w:r w:rsidRPr="00BF7EAD">
              <w:rPr>
                <w:rFonts w:ascii="Arial" w:hAnsi="Arial" w:cs="Arial"/>
                <w:sz w:val="20"/>
                <w:szCs w:val="20"/>
                <w:lang w:eastAsia="en-GB"/>
              </w:rPr>
              <w:t>81,000</w:t>
            </w:r>
          </w:p>
        </w:tc>
        <w:tc>
          <w:tcPr>
            <w:tcW w:w="1672" w:type="dxa"/>
            <w:noWrap/>
            <w:vAlign w:val="bottom"/>
          </w:tcPr>
          <w:p w:rsidR="006D4580" w:rsidRPr="00BF7EAD" w:rsidRDefault="006D4580" w:rsidP="00142648">
            <w:pPr>
              <w:jc w:val="center"/>
              <w:rPr>
                <w:rFonts w:ascii="Arial" w:hAnsi="Arial" w:cs="Arial"/>
                <w:sz w:val="20"/>
                <w:szCs w:val="20"/>
                <w:lang w:eastAsia="en-GB"/>
              </w:rPr>
            </w:pPr>
            <w:r w:rsidRPr="00BF7EAD">
              <w:rPr>
                <w:rFonts w:ascii="Arial" w:hAnsi="Arial" w:cs="Arial"/>
                <w:sz w:val="20"/>
                <w:szCs w:val="20"/>
                <w:lang w:eastAsia="en-GB"/>
              </w:rPr>
              <w:t>80,000</w:t>
            </w:r>
          </w:p>
        </w:tc>
      </w:tr>
    </w:tbl>
    <w:p w:rsidR="007C632E" w:rsidRPr="00BF7EAD" w:rsidRDefault="007C632E" w:rsidP="00845527">
      <w:pPr>
        <w:autoSpaceDE w:val="0"/>
        <w:autoSpaceDN w:val="0"/>
        <w:rPr>
          <w:rFonts w:ascii="Arial" w:hAnsi="Arial" w:cs="Arial"/>
          <w:b/>
          <w:bCs/>
          <w:sz w:val="20"/>
          <w:szCs w:val="20"/>
        </w:rPr>
      </w:pPr>
    </w:p>
    <w:p w:rsidR="00FC5354" w:rsidRPr="00BF7EAD" w:rsidRDefault="00FC5354" w:rsidP="00845527">
      <w:pPr>
        <w:rPr>
          <w:rFonts w:ascii="Arial" w:hAnsi="Arial" w:cs="Arial"/>
          <w:sz w:val="20"/>
          <w:szCs w:val="20"/>
        </w:rPr>
      </w:pPr>
    </w:p>
    <w:p w:rsidR="003509D0" w:rsidRPr="00BF7EAD" w:rsidRDefault="003509D0" w:rsidP="003509D0">
      <w:pPr>
        <w:rPr>
          <w:rFonts w:ascii="Arial" w:hAnsi="Arial" w:cs="Arial"/>
          <w:b/>
          <w:sz w:val="20"/>
          <w:szCs w:val="20"/>
          <w:lang w:eastAsia="en-GB"/>
        </w:rPr>
      </w:pPr>
      <w:r w:rsidRPr="00BF7EAD">
        <w:rPr>
          <w:rFonts w:ascii="Arial" w:hAnsi="Arial" w:cs="Arial"/>
          <w:b/>
          <w:sz w:val="20"/>
          <w:szCs w:val="20"/>
          <w:lang w:eastAsia="en-GB"/>
        </w:rPr>
        <w:t xml:space="preserve">Changes to pensions </w:t>
      </w:r>
    </w:p>
    <w:tbl>
      <w:tblPr>
        <w:tblW w:w="500" w:type="pct"/>
        <w:tblCellSpacing w:w="0" w:type="dxa"/>
        <w:tblCellMar>
          <w:left w:w="0" w:type="dxa"/>
          <w:right w:w="0" w:type="dxa"/>
        </w:tblCellMar>
        <w:tblLook w:val="04A0" w:firstRow="1" w:lastRow="0" w:firstColumn="1" w:lastColumn="0" w:noHBand="0" w:noVBand="1"/>
      </w:tblPr>
      <w:tblGrid>
        <w:gridCol w:w="964"/>
      </w:tblGrid>
      <w:tr w:rsidR="003509D0" w:rsidRPr="00BF7EAD" w:rsidTr="00142648">
        <w:trPr>
          <w:tblCellSpacing w:w="0" w:type="dxa"/>
        </w:trPr>
        <w:tc>
          <w:tcPr>
            <w:tcW w:w="0" w:type="auto"/>
            <w:vAlign w:val="center"/>
            <w:hideMark/>
          </w:tcPr>
          <w:p w:rsidR="003509D0" w:rsidRPr="00BF7EAD" w:rsidRDefault="003509D0" w:rsidP="00142648">
            <w:pPr>
              <w:spacing w:line="15" w:lineRule="atLeast"/>
              <w:rPr>
                <w:rFonts w:ascii="Arial" w:hAnsi="Arial" w:cs="Arial"/>
                <w:color w:val="000000"/>
                <w:sz w:val="20"/>
                <w:szCs w:val="20"/>
                <w:lang w:eastAsia="en-GB"/>
              </w:rPr>
            </w:pPr>
            <w:r w:rsidRPr="00BF7EAD">
              <w:rPr>
                <w:rFonts w:ascii="Arial" w:hAnsi="Arial" w:cs="Arial"/>
                <w:noProof/>
                <w:color w:val="000000"/>
                <w:sz w:val="20"/>
                <w:szCs w:val="20"/>
                <w:lang w:eastAsia="en-GB"/>
              </w:rPr>
              <w:drawing>
                <wp:inline distT="0" distB="0" distL="0" distR="0" wp14:anchorId="1B970876" wp14:editId="0C2C5031">
                  <wp:extent cx="190500" cy="9525"/>
                  <wp:effectExtent l="0" t="0" r="0" b="0"/>
                  <wp:docPr id="10" name="Picture 10" descr="http://accainpractice.newsweaver.co.uk/nwstati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ccainpractice.newsweaver.co.uk/nwstatic/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r>
    </w:tbl>
    <w:p w:rsidR="00694815" w:rsidRDefault="003509D0" w:rsidP="00FA576A">
      <w:pPr>
        <w:rPr>
          <w:rFonts w:ascii="Arial" w:hAnsi="Arial" w:cs="Arial"/>
          <w:sz w:val="20"/>
          <w:szCs w:val="20"/>
          <w:lang w:eastAsia="en-GB"/>
        </w:rPr>
      </w:pPr>
      <w:r w:rsidRPr="00BF7EAD">
        <w:rPr>
          <w:rFonts w:ascii="Arial" w:hAnsi="Arial" w:cs="Arial"/>
          <w:sz w:val="20"/>
          <w:szCs w:val="20"/>
          <w:lang w:eastAsia="en-GB"/>
        </w:rPr>
        <w:t>People with defined contribution schemes who are at least 55 years old can make withdrawals up to the value of the funds invested in the scheme. The first 25% will be tax free. An individual who makes a withdrawal will be restricted to making future pension contributions of no more than £10,000. </w:t>
      </w:r>
    </w:p>
    <w:p w:rsidR="00534D0F" w:rsidRDefault="00534D0F" w:rsidP="00FA576A">
      <w:pPr>
        <w:rPr>
          <w:rFonts w:ascii="Arial" w:hAnsi="Arial" w:cs="Arial"/>
          <w:sz w:val="20"/>
          <w:szCs w:val="20"/>
        </w:rPr>
      </w:pPr>
    </w:p>
    <w:p w:rsidR="00265E7F" w:rsidRDefault="00265E7F" w:rsidP="00FA576A">
      <w:pPr>
        <w:rPr>
          <w:rFonts w:ascii="Arial" w:hAnsi="Arial" w:cs="Arial"/>
          <w:sz w:val="20"/>
          <w:szCs w:val="20"/>
        </w:rPr>
      </w:pPr>
      <w:r w:rsidRPr="00265E7F">
        <w:rPr>
          <w:rFonts w:ascii="Arial" w:hAnsi="Arial" w:cs="Arial"/>
          <w:sz w:val="20"/>
          <w:szCs w:val="20"/>
        </w:rPr>
        <w:t xml:space="preserve">Where an individual has taken flexible benefits which include income, such as an </w:t>
      </w:r>
      <w:r w:rsidR="00534D0F">
        <w:rPr>
          <w:rFonts w:ascii="Arial" w:hAnsi="Arial" w:cs="Arial"/>
          <w:sz w:val="20"/>
          <w:szCs w:val="20"/>
        </w:rPr>
        <w:t>‘</w:t>
      </w:r>
      <w:r w:rsidRPr="00265E7F">
        <w:rPr>
          <w:rFonts w:ascii="Arial" w:hAnsi="Arial" w:cs="Arial"/>
          <w:sz w:val="20"/>
          <w:szCs w:val="20"/>
        </w:rPr>
        <w:t xml:space="preserve">uncrystallised </w:t>
      </w:r>
      <w:r w:rsidR="00534D0F">
        <w:rPr>
          <w:rFonts w:ascii="Arial" w:hAnsi="Arial" w:cs="Arial"/>
          <w:sz w:val="20"/>
          <w:szCs w:val="20"/>
        </w:rPr>
        <w:t>f</w:t>
      </w:r>
      <w:r w:rsidRPr="00265E7F">
        <w:rPr>
          <w:rFonts w:ascii="Arial" w:hAnsi="Arial" w:cs="Arial"/>
          <w:sz w:val="20"/>
          <w:szCs w:val="20"/>
        </w:rPr>
        <w:t xml:space="preserve">unds pension </w:t>
      </w:r>
      <w:r w:rsidR="00534D0F">
        <w:rPr>
          <w:rFonts w:ascii="Arial" w:hAnsi="Arial" w:cs="Arial"/>
          <w:sz w:val="20"/>
          <w:szCs w:val="20"/>
        </w:rPr>
        <w:t>l</w:t>
      </w:r>
      <w:r w:rsidRPr="00265E7F">
        <w:rPr>
          <w:rFonts w:ascii="Arial" w:hAnsi="Arial" w:cs="Arial"/>
          <w:sz w:val="20"/>
          <w:szCs w:val="20"/>
        </w:rPr>
        <w:t xml:space="preserve">ump </w:t>
      </w:r>
      <w:r w:rsidR="00534D0F">
        <w:rPr>
          <w:rFonts w:ascii="Arial" w:hAnsi="Arial" w:cs="Arial"/>
          <w:sz w:val="20"/>
          <w:szCs w:val="20"/>
        </w:rPr>
        <w:t>s</w:t>
      </w:r>
      <w:r w:rsidRPr="00265E7F">
        <w:rPr>
          <w:rFonts w:ascii="Arial" w:hAnsi="Arial" w:cs="Arial"/>
          <w:sz w:val="20"/>
          <w:szCs w:val="20"/>
        </w:rPr>
        <w:t>um</w:t>
      </w:r>
      <w:r w:rsidR="00534D0F">
        <w:rPr>
          <w:rFonts w:ascii="Arial" w:hAnsi="Arial" w:cs="Arial"/>
          <w:sz w:val="20"/>
          <w:szCs w:val="20"/>
        </w:rPr>
        <w:t>’</w:t>
      </w:r>
      <w:r w:rsidRPr="00265E7F">
        <w:rPr>
          <w:rFonts w:ascii="Arial" w:hAnsi="Arial" w:cs="Arial"/>
          <w:sz w:val="20"/>
          <w:szCs w:val="20"/>
        </w:rPr>
        <w:t xml:space="preserve"> or flexible drawdown with income, and that individual wants to continue paying contributions to a defined contribution pension scheme then a reduced annual allowance of £10,000 will apply towards that individuals defined contribution benefits. The reduced allowance will apply if the individual has withdrawn more than the 25% tax free pension commencement lump sum (PCLS).</w:t>
      </w:r>
    </w:p>
    <w:p w:rsidR="00C74B27" w:rsidRPr="00265E7F" w:rsidRDefault="00C74B27" w:rsidP="00FA576A">
      <w:pPr>
        <w:rPr>
          <w:rFonts w:ascii="Arial" w:hAnsi="Arial" w:cs="Arial"/>
          <w:sz w:val="20"/>
          <w:szCs w:val="20"/>
          <w:lang w:eastAsia="en-GB"/>
        </w:rPr>
      </w:pPr>
    </w:p>
    <w:p w:rsidR="00A05020" w:rsidRPr="00265E7F" w:rsidRDefault="003509D0" w:rsidP="00FA576A">
      <w:pPr>
        <w:rPr>
          <w:rFonts w:ascii="Arial" w:hAnsi="Arial" w:cs="Arial"/>
          <w:sz w:val="20"/>
          <w:szCs w:val="20"/>
        </w:rPr>
      </w:pPr>
      <w:r w:rsidRPr="00265E7F">
        <w:rPr>
          <w:rFonts w:ascii="Arial" w:hAnsi="Arial" w:cs="Arial"/>
          <w:sz w:val="20"/>
          <w:szCs w:val="20"/>
        </w:rPr>
        <w:t>The lifetime allowance for pension contributions will reduce from £1.25m to £1m from 6 April 2016.</w:t>
      </w:r>
    </w:p>
    <w:p w:rsidR="00265E7F" w:rsidRDefault="00265E7F" w:rsidP="00265E7F">
      <w:pPr>
        <w:rPr>
          <w:rFonts w:ascii="Arial" w:hAnsi="Arial" w:cs="Arial"/>
          <w:color w:val="000000"/>
          <w:sz w:val="20"/>
          <w:szCs w:val="20"/>
        </w:rPr>
      </w:pPr>
    </w:p>
    <w:p w:rsidR="00265E7F" w:rsidRPr="00265E7F" w:rsidRDefault="00265E7F" w:rsidP="00265E7F">
      <w:pPr>
        <w:rPr>
          <w:rFonts w:ascii="Arial" w:hAnsi="Arial" w:cs="Arial"/>
          <w:b/>
          <w:color w:val="000000"/>
          <w:sz w:val="20"/>
          <w:szCs w:val="20"/>
        </w:rPr>
      </w:pPr>
      <w:r w:rsidRPr="00265E7F">
        <w:rPr>
          <w:rFonts w:ascii="Arial" w:hAnsi="Arial" w:cs="Arial"/>
          <w:b/>
          <w:color w:val="000000"/>
          <w:sz w:val="20"/>
          <w:szCs w:val="20"/>
        </w:rPr>
        <w:t>SDLT increases</w:t>
      </w:r>
    </w:p>
    <w:p w:rsidR="00265E7F" w:rsidRPr="00265E7F" w:rsidRDefault="00265E7F" w:rsidP="00265E7F">
      <w:pPr>
        <w:rPr>
          <w:rFonts w:ascii="Arial" w:hAnsi="Arial" w:cs="Arial"/>
          <w:color w:val="000000"/>
          <w:sz w:val="20"/>
          <w:szCs w:val="20"/>
        </w:rPr>
      </w:pPr>
      <w:r w:rsidRPr="00265E7F">
        <w:rPr>
          <w:rFonts w:ascii="Arial" w:hAnsi="Arial" w:cs="Arial"/>
          <w:color w:val="000000"/>
          <w:sz w:val="20"/>
          <w:szCs w:val="20"/>
        </w:rPr>
        <w:t>The higher rates (3% above the current SDLT) will apply to additional residential properties purchased on or after 1 April 2016 if at the end of the day of the transaction, an individual owns 2 or more properties and has not replaced their main residence.</w:t>
      </w:r>
    </w:p>
    <w:p w:rsidR="00694815" w:rsidRPr="00BF7EAD" w:rsidRDefault="00694815" w:rsidP="00FA576A">
      <w:pPr>
        <w:rPr>
          <w:rFonts w:ascii="Arial" w:hAnsi="Arial" w:cs="Arial"/>
          <w:color w:val="333333"/>
          <w:sz w:val="20"/>
          <w:szCs w:val="20"/>
        </w:rPr>
      </w:pPr>
    </w:p>
    <w:p w:rsidR="00A05020" w:rsidRDefault="006E11F4" w:rsidP="00FA576A">
      <w:pPr>
        <w:rPr>
          <w:rFonts w:ascii="Arial" w:hAnsi="Arial" w:cs="Arial"/>
          <w:b/>
          <w:sz w:val="20"/>
          <w:szCs w:val="20"/>
        </w:rPr>
      </w:pPr>
      <w:r w:rsidRPr="00BF7EAD">
        <w:rPr>
          <w:rFonts w:ascii="Arial" w:hAnsi="Arial" w:cs="Arial"/>
          <w:b/>
          <w:sz w:val="20"/>
          <w:szCs w:val="20"/>
        </w:rPr>
        <w:t>ATED</w:t>
      </w:r>
    </w:p>
    <w:p w:rsidR="00265E7F" w:rsidRPr="00265E7F" w:rsidRDefault="00265E7F" w:rsidP="00FA576A">
      <w:pPr>
        <w:rPr>
          <w:rFonts w:ascii="Arial" w:hAnsi="Arial" w:cs="Arial"/>
          <w:sz w:val="20"/>
          <w:szCs w:val="20"/>
        </w:rPr>
      </w:pPr>
      <w:r w:rsidRPr="00265E7F">
        <w:rPr>
          <w:rFonts w:ascii="Arial" w:hAnsi="Arial" w:cs="Arial"/>
          <w:sz w:val="20"/>
          <w:szCs w:val="20"/>
        </w:rPr>
        <w:t>A new band for properties between £500,000 and £1m has been introduced. The annual charge is £3,500</w:t>
      </w:r>
      <w:r w:rsidR="00534D0F">
        <w:rPr>
          <w:rFonts w:ascii="Arial" w:hAnsi="Arial" w:cs="Arial"/>
          <w:sz w:val="20"/>
          <w:szCs w:val="20"/>
        </w:rPr>
        <w:t>.</w:t>
      </w:r>
    </w:p>
    <w:p w:rsidR="006D4580" w:rsidRPr="00BF7EAD" w:rsidRDefault="006D4580" w:rsidP="00FA576A">
      <w:pPr>
        <w:rPr>
          <w:rFonts w:ascii="Arial" w:hAnsi="Arial" w:cs="Arial"/>
          <w:sz w:val="20"/>
          <w:szCs w:val="20"/>
        </w:rPr>
      </w:pPr>
    </w:p>
    <w:p w:rsidR="00A05020" w:rsidRPr="00BF7EAD" w:rsidRDefault="002555B6" w:rsidP="006D4580">
      <w:pPr>
        <w:spacing w:after="240"/>
        <w:rPr>
          <w:rFonts w:ascii="Arial" w:hAnsi="Arial" w:cs="Arial"/>
          <w:color w:val="333333"/>
          <w:sz w:val="20"/>
          <w:szCs w:val="20"/>
          <w:lang w:eastAsia="en-GB"/>
        </w:rPr>
      </w:pPr>
      <w:r w:rsidRPr="00BF7EAD">
        <w:rPr>
          <w:rFonts w:ascii="Arial" w:hAnsi="Arial" w:cs="Arial"/>
          <w:color w:val="333333"/>
          <w:sz w:val="20"/>
          <w:szCs w:val="20"/>
          <w:lang w:eastAsia="en-GB"/>
        </w:rPr>
        <w:br/>
      </w:r>
      <w:r w:rsidRPr="00BF7EAD">
        <w:rPr>
          <w:rFonts w:ascii="Arial" w:hAnsi="Arial" w:cs="Arial"/>
          <w:color w:val="333333"/>
          <w:sz w:val="20"/>
          <w:szCs w:val="20"/>
          <w:lang w:eastAsia="en-GB"/>
        </w:rPr>
        <w:br/>
      </w:r>
    </w:p>
    <w:p w:rsidR="003509D0" w:rsidRPr="00BF7EAD" w:rsidRDefault="003509D0" w:rsidP="006D4580">
      <w:pPr>
        <w:spacing w:after="240"/>
        <w:rPr>
          <w:rFonts w:ascii="Arial" w:hAnsi="Arial" w:cs="Arial"/>
          <w:color w:val="333333"/>
          <w:sz w:val="20"/>
          <w:szCs w:val="20"/>
          <w:lang w:eastAsia="en-GB"/>
        </w:rPr>
      </w:pPr>
    </w:p>
    <w:p w:rsidR="003509D0" w:rsidRPr="00BF7EAD" w:rsidRDefault="003509D0" w:rsidP="006D4580">
      <w:pPr>
        <w:spacing w:after="240"/>
        <w:rPr>
          <w:rFonts w:ascii="Arial" w:hAnsi="Arial" w:cs="Arial"/>
          <w:color w:val="333333"/>
          <w:sz w:val="20"/>
          <w:szCs w:val="20"/>
          <w:lang w:eastAsia="en-GB"/>
        </w:rPr>
      </w:pPr>
    </w:p>
    <w:p w:rsidR="003509D0" w:rsidRPr="00BF7EAD" w:rsidRDefault="003509D0" w:rsidP="006D4580">
      <w:pPr>
        <w:spacing w:after="240"/>
        <w:rPr>
          <w:rFonts w:ascii="Arial" w:hAnsi="Arial" w:cs="Arial"/>
          <w:color w:val="333333"/>
          <w:sz w:val="20"/>
          <w:szCs w:val="20"/>
          <w:lang w:eastAsia="en-GB"/>
        </w:rPr>
      </w:pPr>
    </w:p>
    <w:p w:rsidR="003509D0" w:rsidRDefault="003509D0" w:rsidP="006D4580">
      <w:pPr>
        <w:spacing w:after="240"/>
        <w:rPr>
          <w:rFonts w:ascii="NewsGoth BT" w:hAnsi="NewsGoth BT" w:cs="Arial"/>
          <w:color w:val="333333"/>
          <w:sz w:val="20"/>
          <w:szCs w:val="20"/>
          <w:lang w:eastAsia="en-GB"/>
        </w:rPr>
      </w:pPr>
    </w:p>
    <w:p w:rsidR="003509D0" w:rsidRDefault="003509D0" w:rsidP="006D4580">
      <w:pPr>
        <w:spacing w:after="240"/>
        <w:rPr>
          <w:rFonts w:ascii="NewsGoth BT" w:hAnsi="NewsGoth BT" w:cs="Arial"/>
          <w:color w:val="333333"/>
          <w:sz w:val="20"/>
          <w:szCs w:val="20"/>
          <w:lang w:eastAsia="en-GB"/>
        </w:rPr>
      </w:pPr>
    </w:p>
    <w:p w:rsidR="003509D0" w:rsidRDefault="003509D0" w:rsidP="006D4580">
      <w:pPr>
        <w:spacing w:after="240"/>
        <w:rPr>
          <w:rFonts w:ascii="NewsGoth BT" w:hAnsi="NewsGoth BT" w:cs="Arial"/>
          <w:color w:val="333333"/>
          <w:sz w:val="20"/>
          <w:szCs w:val="20"/>
          <w:lang w:eastAsia="en-GB"/>
        </w:rPr>
      </w:pPr>
    </w:p>
    <w:p w:rsidR="003509D0" w:rsidRDefault="003509D0" w:rsidP="006D4580">
      <w:pPr>
        <w:spacing w:after="240"/>
        <w:rPr>
          <w:rFonts w:ascii="NewsGoth BT" w:hAnsi="NewsGoth BT" w:cs="Arial"/>
          <w:color w:val="333333"/>
          <w:sz w:val="20"/>
          <w:szCs w:val="20"/>
          <w:lang w:eastAsia="en-GB"/>
        </w:rPr>
      </w:pPr>
    </w:p>
    <w:p w:rsidR="003509D0" w:rsidRDefault="003509D0" w:rsidP="006D4580">
      <w:pPr>
        <w:spacing w:after="240"/>
        <w:rPr>
          <w:rFonts w:ascii="NewsGoth BT" w:hAnsi="NewsGoth BT" w:cs="Arial"/>
          <w:color w:val="333333"/>
          <w:sz w:val="20"/>
          <w:szCs w:val="20"/>
          <w:lang w:eastAsia="en-GB"/>
        </w:rPr>
      </w:pPr>
    </w:p>
    <w:p w:rsidR="003509D0" w:rsidRPr="006D4580" w:rsidRDefault="003509D0" w:rsidP="006D4580">
      <w:pPr>
        <w:spacing w:after="240"/>
        <w:rPr>
          <w:rFonts w:ascii="NewsGoth BT" w:hAnsi="NewsGoth BT" w:cs="Arial"/>
          <w:color w:val="333333"/>
          <w:sz w:val="20"/>
          <w:szCs w:val="20"/>
          <w:lang w:eastAsia="en-GB"/>
        </w:rPr>
      </w:pPr>
    </w:p>
    <w:p w:rsidR="00A05020" w:rsidRDefault="00A05020" w:rsidP="00FA576A">
      <w:pPr>
        <w:rPr>
          <w:rFonts w:ascii="NewsGoth BT" w:hAnsi="NewsGoth BT"/>
          <w:sz w:val="20"/>
          <w:szCs w:val="20"/>
        </w:rPr>
      </w:pPr>
    </w:p>
    <w:p w:rsidR="00DA1DD0" w:rsidRDefault="00DA1DD0" w:rsidP="00FA576A">
      <w:pPr>
        <w:rPr>
          <w:rFonts w:ascii="NewsGoth BT" w:hAnsi="NewsGoth BT"/>
          <w:b/>
          <w:sz w:val="16"/>
          <w:szCs w:val="16"/>
        </w:rPr>
      </w:pPr>
      <w:r w:rsidRPr="005537FD">
        <w:rPr>
          <w:rFonts w:ascii="NewsGoth BT" w:hAnsi="NewsGoth BT"/>
          <w:b/>
          <w:sz w:val="16"/>
          <w:szCs w:val="16"/>
        </w:rPr>
        <w:t>ACCA LEGAL NOTICE</w:t>
      </w:r>
    </w:p>
    <w:p w:rsidR="00DA1DD0" w:rsidRPr="00BC1501" w:rsidRDefault="00DA1DD0" w:rsidP="00FA576A">
      <w:pPr>
        <w:rPr>
          <w:rFonts w:ascii="NewsGoth BT" w:hAnsi="NewsGoth BT"/>
          <w:b/>
          <w:sz w:val="16"/>
          <w:szCs w:val="16"/>
        </w:rPr>
      </w:pPr>
      <w:r w:rsidRPr="00A4433F">
        <w:rPr>
          <w:rFonts w:ascii="NewsGoth BT" w:hAnsi="NewsGoth BT" w:cs="Arial"/>
          <w:b/>
          <w:sz w:val="16"/>
          <w:szCs w:val="16"/>
        </w:rPr>
        <w:t xml:space="preserve">This is a basic guide prepared by the </w:t>
      </w:r>
      <w:r w:rsidRPr="00A4433F">
        <w:rPr>
          <w:rStyle w:val="Emphasis"/>
          <w:rFonts w:ascii="NewsGoth BT" w:hAnsi="NewsGoth BT" w:cs="Arial"/>
          <w:b/>
          <w:iCs/>
          <w:sz w:val="16"/>
          <w:szCs w:val="16"/>
        </w:rPr>
        <w:t>ACCA UK</w:t>
      </w:r>
      <w:r w:rsidRPr="00A4433F">
        <w:rPr>
          <w:rFonts w:ascii="NewsGoth BT" w:hAnsi="NewsGoth BT" w:cs="Arial"/>
          <w:b/>
          <w:sz w:val="16"/>
          <w:szCs w:val="16"/>
        </w:rPr>
        <w:t>'s Technical Advisory Service for members and their clients. It should not be used as a definitive guide, since individual circumstances may vary. Specific advice should be obtained, where necessary.</w:t>
      </w:r>
    </w:p>
    <w:sectPr w:rsidR="00DA1DD0" w:rsidRPr="00BC1501" w:rsidSect="00742988">
      <w:headerReference w:type="default" r:id="rId10"/>
      <w:footerReference w:type="default" r:id="rId11"/>
      <w:headerReference w:type="first" r:id="rId12"/>
      <w:footerReference w:type="first" r:id="rId13"/>
      <w:pgSz w:w="11907" w:h="16840" w:code="9"/>
      <w:pgMar w:top="1134" w:right="1134" w:bottom="1134" w:left="1134" w:header="113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DD" w:rsidRDefault="009330DD">
      <w:r>
        <w:separator/>
      </w:r>
    </w:p>
  </w:endnote>
  <w:endnote w:type="continuationSeparator" w:id="0">
    <w:p w:rsidR="009330DD" w:rsidRDefault="0093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Goth BT">
    <w:altName w:val="Microsoft YaHe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F" w:rsidRDefault="00534D0F">
    <w:pPr>
      <w:pStyle w:val="Footer"/>
      <w:jc w:val="center"/>
      <w:rPr>
        <w:rFonts w:ascii="NewsGoth BT" w:hAnsi="NewsGoth BT"/>
        <w:sz w:val="20"/>
        <w:szCs w:val="20"/>
      </w:rPr>
    </w:pPr>
  </w:p>
  <w:p w:rsidR="00534D0F" w:rsidRPr="00060939" w:rsidRDefault="00534D0F">
    <w:pPr>
      <w:pStyle w:val="Footer"/>
      <w:jc w:val="center"/>
      <w:rPr>
        <w:rFonts w:ascii="NewsGoth BT" w:hAnsi="NewsGoth BT"/>
        <w:sz w:val="20"/>
        <w:szCs w:val="20"/>
      </w:rPr>
    </w:pPr>
    <w:r w:rsidRPr="00060939">
      <w:rPr>
        <w:rFonts w:ascii="NewsGoth BT" w:hAnsi="NewsGoth BT"/>
        <w:sz w:val="20"/>
        <w:szCs w:val="20"/>
      </w:rPr>
      <w:fldChar w:fldCharType="begin"/>
    </w:r>
    <w:r w:rsidRPr="00060939">
      <w:rPr>
        <w:rFonts w:ascii="NewsGoth BT" w:hAnsi="NewsGoth BT"/>
        <w:sz w:val="20"/>
        <w:szCs w:val="20"/>
      </w:rPr>
      <w:instrText xml:space="preserve"> PAGE   \* MERGEFORMAT </w:instrText>
    </w:r>
    <w:r w:rsidRPr="00060939">
      <w:rPr>
        <w:rFonts w:ascii="NewsGoth BT" w:hAnsi="NewsGoth BT"/>
        <w:sz w:val="20"/>
        <w:szCs w:val="20"/>
      </w:rPr>
      <w:fldChar w:fldCharType="separate"/>
    </w:r>
    <w:r w:rsidR="00B76BAF">
      <w:rPr>
        <w:rFonts w:ascii="NewsGoth BT" w:hAnsi="NewsGoth BT"/>
        <w:noProof/>
        <w:sz w:val="20"/>
        <w:szCs w:val="20"/>
      </w:rPr>
      <w:t>4</w:t>
    </w:r>
    <w:r w:rsidRPr="00060939">
      <w:rPr>
        <w:rFonts w:ascii="NewsGoth BT" w:hAnsi="NewsGoth BT"/>
        <w:sz w:val="20"/>
        <w:szCs w:val="20"/>
      </w:rPr>
      <w:fldChar w:fldCharType="end"/>
    </w:r>
  </w:p>
  <w:p w:rsidR="00534D0F" w:rsidRPr="009118B9" w:rsidRDefault="00534D0F" w:rsidP="009118B9">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F" w:rsidRDefault="00534D0F">
    <w:pPr>
      <w:pStyle w:val="Footer"/>
      <w:jc w:val="center"/>
    </w:pPr>
  </w:p>
  <w:p w:rsidR="00534D0F" w:rsidRPr="00060939" w:rsidRDefault="00534D0F" w:rsidP="00060939">
    <w:pPr>
      <w:pStyle w:val="Footer"/>
      <w:jc w:val="center"/>
      <w:rPr>
        <w:rFonts w:ascii="NewsGoth BT" w:hAnsi="NewsGoth BT"/>
        <w:sz w:val="20"/>
        <w:szCs w:val="20"/>
      </w:rPr>
    </w:pPr>
    <w:r w:rsidRPr="00060939">
      <w:rPr>
        <w:rFonts w:ascii="NewsGoth BT" w:hAnsi="NewsGoth BT"/>
        <w:sz w:val="20"/>
        <w:szCs w:val="20"/>
      </w:rPr>
      <w:fldChar w:fldCharType="begin"/>
    </w:r>
    <w:r w:rsidRPr="00060939">
      <w:rPr>
        <w:rFonts w:ascii="NewsGoth BT" w:hAnsi="NewsGoth BT"/>
        <w:sz w:val="20"/>
        <w:szCs w:val="20"/>
      </w:rPr>
      <w:instrText xml:space="preserve"> PAGE   \* MERGEFORMAT </w:instrText>
    </w:r>
    <w:r w:rsidRPr="00060939">
      <w:rPr>
        <w:rFonts w:ascii="NewsGoth BT" w:hAnsi="NewsGoth BT"/>
        <w:sz w:val="20"/>
        <w:szCs w:val="20"/>
      </w:rPr>
      <w:fldChar w:fldCharType="separate"/>
    </w:r>
    <w:r w:rsidR="00B76BAF">
      <w:rPr>
        <w:rFonts w:ascii="NewsGoth BT" w:hAnsi="NewsGoth BT"/>
        <w:noProof/>
        <w:sz w:val="20"/>
        <w:szCs w:val="20"/>
      </w:rPr>
      <w:t>1</w:t>
    </w:r>
    <w:r w:rsidRPr="00060939">
      <w:rPr>
        <w:rFonts w:ascii="NewsGoth BT" w:hAnsi="NewsGoth BT"/>
        <w:sz w:val="20"/>
        <w:szCs w:val="20"/>
      </w:rPr>
      <w:fldChar w:fldCharType="end"/>
    </w:r>
  </w:p>
  <w:p w:rsidR="00534D0F" w:rsidRDefault="00534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DD" w:rsidRDefault="009330DD">
      <w:r>
        <w:separator/>
      </w:r>
    </w:p>
  </w:footnote>
  <w:footnote w:type="continuationSeparator" w:id="0">
    <w:p w:rsidR="009330DD" w:rsidRDefault="00933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F" w:rsidRDefault="00534D0F" w:rsidP="001B6823">
    <w:pPr>
      <w:pStyle w:val="Header"/>
      <w:tabs>
        <w:tab w:val="clear" w:pos="4153"/>
        <w:tab w:val="clear" w:pos="8306"/>
        <w:tab w:val="left" w:pos="56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F" w:rsidRPr="00955165" w:rsidRDefault="00534D0F" w:rsidP="001B6823">
    <w:pPr>
      <w:pStyle w:val="Header"/>
      <w:rPr>
        <w:rFonts w:ascii="Arial" w:hAnsi="Arial" w:cs="Arial"/>
        <w:noProof/>
        <w:color w:val="000000"/>
        <w:sz w:val="20"/>
        <w:szCs w:val="20"/>
        <w:lang w:eastAsia="en-GB"/>
      </w:rPr>
    </w:pPr>
  </w:p>
  <w:p w:rsidR="00534D0F" w:rsidRDefault="00534D0F" w:rsidP="00060939">
    <w:pPr>
      <w:pStyle w:val="Header"/>
      <w:shd w:val="clear" w:color="auto" w:fill="D9D9D9"/>
      <w:tabs>
        <w:tab w:val="clear" w:pos="8306"/>
        <w:tab w:val="left" w:pos="567"/>
        <w:tab w:val="left" w:pos="1320"/>
        <w:tab w:val="left" w:pos="4153"/>
      </w:tabs>
      <w:ind w:firstLine="567"/>
      <w:rPr>
        <w:rFonts w:ascii="Arial" w:hAnsi="Arial" w:cs="Arial"/>
        <w:noProof/>
        <w:color w:val="000000"/>
        <w:sz w:val="28"/>
        <w:szCs w:val="28"/>
        <w:lang w:eastAsia="en-GB"/>
      </w:rPr>
    </w:pPr>
    <w:r>
      <w:rPr>
        <w:rFonts w:ascii="Arial" w:hAnsi="Arial" w:cs="Arial"/>
        <w:noProof/>
        <w:color w:val="000000"/>
        <w:sz w:val="28"/>
        <w:szCs w:val="28"/>
        <w:lang w:eastAsia="en-GB"/>
      </w:rPr>
      <w:tab/>
    </w:r>
    <w:r>
      <w:rPr>
        <w:rFonts w:ascii="Arial" w:hAnsi="Arial" w:cs="Arial"/>
        <w:noProof/>
        <w:color w:val="000000"/>
        <w:sz w:val="28"/>
        <w:szCs w:val="28"/>
        <w:lang w:eastAsia="en-GB"/>
      </w:rPr>
      <w:tab/>
    </w:r>
  </w:p>
  <w:p w:rsidR="00534D0F" w:rsidRPr="001A3DC3" w:rsidRDefault="00534D0F" w:rsidP="008A7D29">
    <w:pPr>
      <w:pStyle w:val="Header"/>
      <w:shd w:val="clear" w:color="auto" w:fill="D9D9D9"/>
      <w:tabs>
        <w:tab w:val="clear" w:pos="4153"/>
        <w:tab w:val="clear" w:pos="8306"/>
        <w:tab w:val="left" w:pos="284"/>
      </w:tabs>
      <w:rPr>
        <w:rFonts w:ascii="Arial" w:hAnsi="Arial" w:cs="Arial"/>
        <w:b/>
        <w:bCs/>
        <w:sz w:val="28"/>
        <w:szCs w:val="28"/>
      </w:rPr>
    </w:pPr>
    <w:r>
      <w:rPr>
        <w:rFonts w:ascii="Arial" w:hAnsi="Arial" w:cs="Arial"/>
        <w:noProof/>
        <w:color w:val="000000"/>
        <w:sz w:val="28"/>
        <w:szCs w:val="28"/>
        <w:lang w:eastAsia="en-GB"/>
      </w:rPr>
      <w:tab/>
      <w:t>Guide from</w:t>
    </w:r>
  </w:p>
  <w:p w:rsidR="00534D0F" w:rsidRPr="001A3DC3" w:rsidRDefault="00534D0F" w:rsidP="008A7D29">
    <w:pPr>
      <w:pStyle w:val="Header"/>
      <w:shd w:val="clear" w:color="auto" w:fill="D9D9D9"/>
      <w:tabs>
        <w:tab w:val="clear" w:pos="4153"/>
        <w:tab w:val="clear" w:pos="8306"/>
        <w:tab w:val="left" w:pos="284"/>
      </w:tabs>
      <w:rPr>
        <w:rFonts w:ascii="Arial" w:hAnsi="Arial" w:cs="Arial"/>
        <w:b/>
        <w:bCs/>
        <w:sz w:val="44"/>
        <w:szCs w:val="44"/>
      </w:rPr>
    </w:pPr>
    <w:r>
      <w:rPr>
        <w:rFonts w:ascii="Arial" w:hAnsi="Arial" w:cs="Arial"/>
        <w:bCs/>
        <w:sz w:val="44"/>
        <w:szCs w:val="44"/>
      </w:rPr>
      <w:tab/>
    </w:r>
    <w:r w:rsidR="00B76BAF">
      <w:rPr>
        <w:rFonts w:ascii="Arial" w:hAnsi="Arial" w:cs="Arial"/>
        <w:bCs/>
        <w:sz w:val="44"/>
        <w:szCs w:val="44"/>
      </w:rPr>
      <w:t>PGD Accountants</w:t>
    </w:r>
  </w:p>
  <w:p w:rsidR="00534D0F" w:rsidRPr="001A3DC3" w:rsidRDefault="00534D0F" w:rsidP="008A7D29">
    <w:pPr>
      <w:pStyle w:val="Header"/>
      <w:shd w:val="clear" w:color="auto" w:fill="D9D9D9"/>
      <w:tabs>
        <w:tab w:val="clear" w:pos="4153"/>
        <w:tab w:val="clear" w:pos="8306"/>
        <w:tab w:val="left" w:pos="915"/>
      </w:tabs>
      <w:rPr>
        <w:rFonts w:ascii="Arial" w:hAnsi="Arial" w:cs="Arial"/>
        <w:b/>
        <w:bCs/>
      </w:rPr>
    </w:pPr>
    <w:r>
      <w:rPr>
        <w:rFonts w:ascii="Arial" w:hAnsi="Arial" w:cs="Arial"/>
        <w:b/>
        <w:bCs/>
      </w:rPr>
      <w:tab/>
    </w:r>
  </w:p>
  <w:p w:rsidR="00534D0F" w:rsidRDefault="00534D0F" w:rsidP="008A7D29">
    <w:pPr>
      <w:pStyle w:val="Header"/>
      <w:shd w:val="clear" w:color="auto" w:fill="D9D9D9"/>
      <w:tabs>
        <w:tab w:val="clear" w:pos="4153"/>
        <w:tab w:val="clear" w:pos="8306"/>
        <w:tab w:val="left" w:pos="284"/>
      </w:tabs>
      <w:rPr>
        <w:rFonts w:ascii="Arial" w:hAnsi="Arial" w:cs="Arial"/>
        <w:bCs/>
        <w:sz w:val="20"/>
        <w:szCs w:val="20"/>
      </w:rPr>
    </w:pPr>
    <w:r>
      <w:rPr>
        <w:rFonts w:ascii="Arial" w:hAnsi="Arial" w:cs="Arial"/>
        <w:bCs/>
        <w:sz w:val="20"/>
        <w:szCs w:val="20"/>
      </w:rPr>
      <w:tab/>
    </w:r>
    <w:r w:rsidRPr="00892B85">
      <w:rPr>
        <w:rFonts w:ascii="Arial" w:hAnsi="Arial" w:cs="Arial"/>
        <w:bCs/>
        <w:sz w:val="20"/>
        <w:szCs w:val="20"/>
      </w:rPr>
      <w:t xml:space="preserve">Tel: </w:t>
    </w:r>
    <w:r w:rsidR="00B76BAF">
      <w:rPr>
        <w:rFonts w:ascii="Arial" w:hAnsi="Arial" w:cs="Arial"/>
        <w:bCs/>
        <w:sz w:val="20"/>
        <w:szCs w:val="20"/>
      </w:rPr>
      <w:t xml:space="preserve">01271 </w:t>
    </w:r>
    <w:proofErr w:type="gramStart"/>
    <w:r w:rsidR="00B76BAF">
      <w:rPr>
        <w:rFonts w:ascii="Arial" w:hAnsi="Arial" w:cs="Arial"/>
        <w:bCs/>
        <w:sz w:val="20"/>
        <w:szCs w:val="20"/>
      </w:rPr>
      <w:t>268082</w:t>
    </w:r>
    <w:r>
      <w:rPr>
        <w:rFonts w:ascii="Arial" w:hAnsi="Arial" w:cs="Arial"/>
        <w:bCs/>
        <w:sz w:val="20"/>
        <w:szCs w:val="20"/>
      </w:rPr>
      <w:t xml:space="preserve">  E</w:t>
    </w:r>
    <w:r w:rsidRPr="00892B85">
      <w:rPr>
        <w:rFonts w:ascii="Arial" w:hAnsi="Arial" w:cs="Arial"/>
        <w:bCs/>
        <w:sz w:val="20"/>
        <w:szCs w:val="20"/>
      </w:rPr>
      <w:t>mail</w:t>
    </w:r>
    <w:r w:rsidR="00B76BAF">
      <w:rPr>
        <w:rFonts w:ascii="Arial" w:hAnsi="Arial" w:cs="Arial"/>
        <w:bCs/>
        <w:sz w:val="20"/>
        <w:szCs w:val="20"/>
      </w:rPr>
      <w:t>:pgdaccountants@talktalkbusiness.net</w:t>
    </w:r>
    <w:proofErr w:type="gramEnd"/>
    <w:r w:rsidR="00B76BAF">
      <w:rPr>
        <w:rFonts w:ascii="Arial" w:hAnsi="Arial" w:cs="Arial"/>
        <w:bCs/>
        <w:sz w:val="20"/>
        <w:szCs w:val="20"/>
      </w:rPr>
      <w:t xml:space="preserve">  www.pgdaccountants.com</w:t>
    </w:r>
  </w:p>
  <w:p w:rsidR="00534D0F" w:rsidRDefault="00534D0F" w:rsidP="008A7D29">
    <w:pPr>
      <w:pStyle w:val="Header"/>
      <w:shd w:val="clear" w:color="auto" w:fill="D9D9D9"/>
      <w:tabs>
        <w:tab w:val="clear" w:pos="4153"/>
        <w:tab w:val="clear" w:pos="8306"/>
        <w:tab w:val="left" w:pos="284"/>
      </w:tabs>
      <w:jc w:val="both"/>
      <w:rPr>
        <w:rFonts w:ascii="Arial" w:hAnsi="Arial" w:cs="Arial"/>
        <w:sz w:val="20"/>
        <w:szCs w:val="20"/>
      </w:rPr>
    </w:pPr>
  </w:p>
  <w:p w:rsidR="00534D0F" w:rsidRDefault="00B76BAF" w:rsidP="008A7D29">
    <w:pPr>
      <w:pStyle w:val="Header"/>
      <w:shd w:val="clear" w:color="auto" w:fill="D9D9D9"/>
      <w:tabs>
        <w:tab w:val="clear" w:pos="4153"/>
        <w:tab w:val="clear" w:pos="8306"/>
        <w:tab w:val="left" w:pos="284"/>
      </w:tabs>
      <w:spacing w:line="360" w:lineRule="auto"/>
      <w:jc w:val="both"/>
      <w:rPr>
        <w:rFonts w:ascii="Arial" w:hAnsi="Arial" w:cs="Arial"/>
        <w:sz w:val="20"/>
        <w:szCs w:val="20"/>
      </w:rPr>
    </w:pPr>
    <w:r>
      <w:rPr>
        <w:rFonts w:ascii="Arial" w:hAnsi="Arial" w:cs="Arial"/>
        <w:sz w:val="20"/>
        <w:szCs w:val="20"/>
      </w:rPr>
      <w:tab/>
    </w:r>
  </w:p>
  <w:p w:rsidR="00534D0F" w:rsidRDefault="00534D0F" w:rsidP="001B6823">
    <w:pPr>
      <w:pStyle w:val="Header"/>
      <w:tabs>
        <w:tab w:val="clear" w:pos="4153"/>
        <w:tab w:val="clear" w:pos="8306"/>
        <w:tab w:val="left" w:pos="284"/>
      </w:tabs>
      <w:jc w:val="both"/>
      <w:rPr>
        <w:rFonts w:ascii="Arial" w:hAnsi="Arial" w:cs="Arial"/>
        <w:i/>
        <w:color w:val="808080"/>
        <w:sz w:val="18"/>
        <w:szCs w:val="18"/>
      </w:rPr>
    </w:pPr>
  </w:p>
  <w:p w:rsidR="00534D0F" w:rsidRPr="001A3DC3" w:rsidRDefault="00534D0F" w:rsidP="001B6823">
    <w:pPr>
      <w:pStyle w:val="Header"/>
      <w:jc w:val="both"/>
      <w:rPr>
        <w:rFonts w:ascii="Arial" w:hAnsi="Arial" w:cs="Arial"/>
        <w:b/>
        <w:bCs/>
        <w:color w:val="808080"/>
        <w:sz w:val="18"/>
        <w:szCs w:val="18"/>
      </w:rPr>
    </w:pPr>
  </w:p>
  <w:p w:rsidR="00534D0F" w:rsidRPr="00A810D9" w:rsidRDefault="00534D0F" w:rsidP="001B6823">
    <w:pPr>
      <w:pStyle w:val="Header"/>
      <w:rPr>
        <w:szCs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A7A"/>
    <w:multiLevelType w:val="hybridMultilevel"/>
    <w:tmpl w:val="AC9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470D0"/>
    <w:multiLevelType w:val="hybridMultilevel"/>
    <w:tmpl w:val="52BE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91D9F"/>
    <w:multiLevelType w:val="multilevel"/>
    <w:tmpl w:val="3972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753ECE"/>
    <w:multiLevelType w:val="hybridMultilevel"/>
    <w:tmpl w:val="37D0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D638DA"/>
    <w:multiLevelType w:val="hybridMultilevel"/>
    <w:tmpl w:val="60A07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4F770AA"/>
    <w:multiLevelType w:val="hybridMultilevel"/>
    <w:tmpl w:val="D7D8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3F006E"/>
    <w:multiLevelType w:val="hybridMultilevel"/>
    <w:tmpl w:val="6FD6C408"/>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7">
    <w:nsid w:val="1B5001E7"/>
    <w:multiLevelType w:val="hybridMultilevel"/>
    <w:tmpl w:val="72AE0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B9731CD"/>
    <w:multiLevelType w:val="hybridMultilevel"/>
    <w:tmpl w:val="7BCA8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BC5743"/>
    <w:multiLevelType w:val="hybridMultilevel"/>
    <w:tmpl w:val="C5747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F1068D7"/>
    <w:multiLevelType w:val="hybridMultilevel"/>
    <w:tmpl w:val="7E96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B705A6"/>
    <w:multiLevelType w:val="hybridMultilevel"/>
    <w:tmpl w:val="418C1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4472DB"/>
    <w:multiLevelType w:val="hybridMultilevel"/>
    <w:tmpl w:val="F4482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3B26877"/>
    <w:multiLevelType w:val="hybridMultilevel"/>
    <w:tmpl w:val="B336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18489D"/>
    <w:multiLevelType w:val="hybridMultilevel"/>
    <w:tmpl w:val="13D0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C36CD2"/>
    <w:multiLevelType w:val="hybridMultilevel"/>
    <w:tmpl w:val="0CEE5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4040087"/>
    <w:multiLevelType w:val="hybridMultilevel"/>
    <w:tmpl w:val="054EBF5C"/>
    <w:lvl w:ilvl="0" w:tplc="5310FA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5E7AAB"/>
    <w:multiLevelType w:val="hybridMultilevel"/>
    <w:tmpl w:val="ADD65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6446C6F"/>
    <w:multiLevelType w:val="hybridMultilevel"/>
    <w:tmpl w:val="7DC46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8174E2D"/>
    <w:multiLevelType w:val="multilevel"/>
    <w:tmpl w:val="C35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8D23996"/>
    <w:multiLevelType w:val="hybridMultilevel"/>
    <w:tmpl w:val="E72E7F36"/>
    <w:lvl w:ilvl="0" w:tplc="08090001">
      <w:start w:val="1"/>
      <w:numFmt w:val="bullet"/>
      <w:lvlText w:val=""/>
      <w:lvlJc w:val="left"/>
      <w:pPr>
        <w:ind w:left="1116" w:hanging="360"/>
      </w:pPr>
      <w:rPr>
        <w:rFonts w:ascii="Symbol" w:hAnsi="Symbol" w:hint="default"/>
      </w:rPr>
    </w:lvl>
    <w:lvl w:ilvl="1" w:tplc="08090003">
      <w:start w:val="1"/>
      <w:numFmt w:val="bullet"/>
      <w:lvlText w:val="o"/>
      <w:lvlJc w:val="left"/>
      <w:pPr>
        <w:ind w:left="1836" w:hanging="360"/>
      </w:pPr>
      <w:rPr>
        <w:rFonts w:ascii="Courier New" w:hAnsi="Courier New" w:hint="default"/>
      </w:rPr>
    </w:lvl>
    <w:lvl w:ilvl="2" w:tplc="08090005">
      <w:start w:val="1"/>
      <w:numFmt w:val="bullet"/>
      <w:lvlText w:val=""/>
      <w:lvlJc w:val="left"/>
      <w:pPr>
        <w:ind w:left="2556" w:hanging="360"/>
      </w:pPr>
      <w:rPr>
        <w:rFonts w:ascii="Wingdings" w:hAnsi="Wingdings" w:hint="default"/>
      </w:rPr>
    </w:lvl>
    <w:lvl w:ilvl="3" w:tplc="08090001">
      <w:start w:val="1"/>
      <w:numFmt w:val="bullet"/>
      <w:lvlText w:val=""/>
      <w:lvlJc w:val="left"/>
      <w:pPr>
        <w:ind w:left="3276" w:hanging="360"/>
      </w:pPr>
      <w:rPr>
        <w:rFonts w:ascii="Symbol" w:hAnsi="Symbol" w:hint="default"/>
      </w:rPr>
    </w:lvl>
    <w:lvl w:ilvl="4" w:tplc="08090003">
      <w:start w:val="1"/>
      <w:numFmt w:val="bullet"/>
      <w:lvlText w:val="o"/>
      <w:lvlJc w:val="left"/>
      <w:pPr>
        <w:ind w:left="3996" w:hanging="360"/>
      </w:pPr>
      <w:rPr>
        <w:rFonts w:ascii="Courier New" w:hAnsi="Courier New" w:hint="default"/>
      </w:rPr>
    </w:lvl>
    <w:lvl w:ilvl="5" w:tplc="08090005">
      <w:start w:val="1"/>
      <w:numFmt w:val="bullet"/>
      <w:lvlText w:val=""/>
      <w:lvlJc w:val="left"/>
      <w:pPr>
        <w:ind w:left="4716" w:hanging="360"/>
      </w:pPr>
      <w:rPr>
        <w:rFonts w:ascii="Wingdings" w:hAnsi="Wingdings" w:hint="default"/>
      </w:rPr>
    </w:lvl>
    <w:lvl w:ilvl="6" w:tplc="08090001">
      <w:start w:val="1"/>
      <w:numFmt w:val="bullet"/>
      <w:lvlText w:val=""/>
      <w:lvlJc w:val="left"/>
      <w:pPr>
        <w:ind w:left="5436" w:hanging="360"/>
      </w:pPr>
      <w:rPr>
        <w:rFonts w:ascii="Symbol" w:hAnsi="Symbol" w:hint="default"/>
      </w:rPr>
    </w:lvl>
    <w:lvl w:ilvl="7" w:tplc="08090003">
      <w:start w:val="1"/>
      <w:numFmt w:val="bullet"/>
      <w:lvlText w:val="o"/>
      <w:lvlJc w:val="left"/>
      <w:pPr>
        <w:ind w:left="6156" w:hanging="360"/>
      </w:pPr>
      <w:rPr>
        <w:rFonts w:ascii="Courier New" w:hAnsi="Courier New" w:hint="default"/>
      </w:rPr>
    </w:lvl>
    <w:lvl w:ilvl="8" w:tplc="08090005">
      <w:start w:val="1"/>
      <w:numFmt w:val="bullet"/>
      <w:lvlText w:val=""/>
      <w:lvlJc w:val="left"/>
      <w:pPr>
        <w:ind w:left="6876" w:hanging="360"/>
      </w:pPr>
      <w:rPr>
        <w:rFonts w:ascii="Wingdings" w:hAnsi="Wingdings" w:hint="default"/>
      </w:rPr>
    </w:lvl>
  </w:abstractNum>
  <w:abstractNum w:abstractNumId="21">
    <w:nsid w:val="593D382B"/>
    <w:multiLevelType w:val="hybridMultilevel"/>
    <w:tmpl w:val="F956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C01277"/>
    <w:multiLevelType w:val="multilevel"/>
    <w:tmpl w:val="00B2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F003004"/>
    <w:multiLevelType w:val="hybridMultilevel"/>
    <w:tmpl w:val="863C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E66BD1"/>
    <w:multiLevelType w:val="multilevel"/>
    <w:tmpl w:val="1C4E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1"/>
  </w:num>
  <w:num w:numId="4">
    <w:abstractNumId w:val="20"/>
  </w:num>
  <w:num w:numId="5">
    <w:abstractNumId w:val="24"/>
  </w:num>
  <w:num w:numId="6">
    <w:abstractNumId w:val="21"/>
  </w:num>
  <w:num w:numId="7">
    <w:abstractNumId w:val="15"/>
  </w:num>
  <w:num w:numId="8">
    <w:abstractNumId w:val="7"/>
  </w:num>
  <w:num w:numId="9">
    <w:abstractNumId w:val="12"/>
  </w:num>
  <w:num w:numId="10">
    <w:abstractNumId w:val="17"/>
  </w:num>
  <w:num w:numId="11">
    <w:abstractNumId w:val="14"/>
  </w:num>
  <w:num w:numId="12">
    <w:abstractNumId w:val="16"/>
  </w:num>
  <w:num w:numId="13">
    <w:abstractNumId w:val="13"/>
  </w:num>
  <w:num w:numId="14">
    <w:abstractNumId w:val="9"/>
  </w:num>
  <w:num w:numId="15">
    <w:abstractNumId w:val="6"/>
  </w:num>
  <w:num w:numId="16">
    <w:abstractNumId w:val="4"/>
  </w:num>
  <w:num w:numId="17">
    <w:abstractNumId w:val="4"/>
  </w:num>
  <w:num w:numId="18">
    <w:abstractNumId w:val="10"/>
  </w:num>
  <w:num w:numId="19">
    <w:abstractNumId w:val="5"/>
  </w:num>
  <w:num w:numId="20">
    <w:abstractNumId w:val="23"/>
  </w:num>
  <w:num w:numId="21">
    <w:abstractNumId w:val="0"/>
  </w:num>
  <w:num w:numId="22">
    <w:abstractNumId w:val="1"/>
  </w:num>
  <w:num w:numId="23">
    <w:abstractNumId w:val="2"/>
  </w:num>
  <w:num w:numId="24">
    <w:abstractNumId w:val="3"/>
  </w:num>
  <w:num w:numId="25">
    <w:abstractNumId w:val="8"/>
  </w:num>
  <w:num w:numId="2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92"/>
    <w:rsid w:val="00007AE1"/>
    <w:rsid w:val="00007EA1"/>
    <w:rsid w:val="00024F49"/>
    <w:rsid w:val="00025A47"/>
    <w:rsid w:val="00031A0E"/>
    <w:rsid w:val="00037CC1"/>
    <w:rsid w:val="000459A6"/>
    <w:rsid w:val="0005013F"/>
    <w:rsid w:val="00057961"/>
    <w:rsid w:val="00060939"/>
    <w:rsid w:val="00085CB0"/>
    <w:rsid w:val="000867B6"/>
    <w:rsid w:val="00095B10"/>
    <w:rsid w:val="000A2BEE"/>
    <w:rsid w:val="000A3CD2"/>
    <w:rsid w:val="000B0CAF"/>
    <w:rsid w:val="000B4ED9"/>
    <w:rsid w:val="000C6099"/>
    <w:rsid w:val="000C7686"/>
    <w:rsid w:val="000D47E9"/>
    <w:rsid w:val="0012348F"/>
    <w:rsid w:val="00142648"/>
    <w:rsid w:val="0014437D"/>
    <w:rsid w:val="00154558"/>
    <w:rsid w:val="00162060"/>
    <w:rsid w:val="00162223"/>
    <w:rsid w:val="0016225D"/>
    <w:rsid w:val="00174D61"/>
    <w:rsid w:val="001874FC"/>
    <w:rsid w:val="00195EDC"/>
    <w:rsid w:val="001A0EEB"/>
    <w:rsid w:val="001A1CA6"/>
    <w:rsid w:val="001A3DC3"/>
    <w:rsid w:val="001B61BC"/>
    <w:rsid w:val="001B6823"/>
    <w:rsid w:val="001C2414"/>
    <w:rsid w:val="001C6D3B"/>
    <w:rsid w:val="001D31AA"/>
    <w:rsid w:val="001D7F21"/>
    <w:rsid w:val="001F2E2E"/>
    <w:rsid w:val="002014B1"/>
    <w:rsid w:val="002418B2"/>
    <w:rsid w:val="002555B6"/>
    <w:rsid w:val="00261DE8"/>
    <w:rsid w:val="00265E7F"/>
    <w:rsid w:val="00270F7F"/>
    <w:rsid w:val="00291383"/>
    <w:rsid w:val="002B7CD6"/>
    <w:rsid w:val="002D7E5A"/>
    <w:rsid w:val="002E1B55"/>
    <w:rsid w:val="002E4EAF"/>
    <w:rsid w:val="002F54B8"/>
    <w:rsid w:val="003232C5"/>
    <w:rsid w:val="00323A7B"/>
    <w:rsid w:val="0032427B"/>
    <w:rsid w:val="00326F7D"/>
    <w:rsid w:val="00334F7F"/>
    <w:rsid w:val="00336CF3"/>
    <w:rsid w:val="00346DBE"/>
    <w:rsid w:val="003509D0"/>
    <w:rsid w:val="00377F50"/>
    <w:rsid w:val="00381251"/>
    <w:rsid w:val="003A32DB"/>
    <w:rsid w:val="003B68AA"/>
    <w:rsid w:val="003C5A3A"/>
    <w:rsid w:val="003D0D2E"/>
    <w:rsid w:val="003D4DB0"/>
    <w:rsid w:val="003E12E4"/>
    <w:rsid w:val="004243F1"/>
    <w:rsid w:val="004600FC"/>
    <w:rsid w:val="00476751"/>
    <w:rsid w:val="00476A38"/>
    <w:rsid w:val="004834A7"/>
    <w:rsid w:val="00494C81"/>
    <w:rsid w:val="004A44EC"/>
    <w:rsid w:val="004C708A"/>
    <w:rsid w:val="004F578A"/>
    <w:rsid w:val="00516623"/>
    <w:rsid w:val="00522359"/>
    <w:rsid w:val="00534D0F"/>
    <w:rsid w:val="00547480"/>
    <w:rsid w:val="005537FD"/>
    <w:rsid w:val="00553C37"/>
    <w:rsid w:val="005672C4"/>
    <w:rsid w:val="00580C4F"/>
    <w:rsid w:val="00585FD5"/>
    <w:rsid w:val="005D335B"/>
    <w:rsid w:val="006019BC"/>
    <w:rsid w:val="00602074"/>
    <w:rsid w:val="00610B24"/>
    <w:rsid w:val="0061195A"/>
    <w:rsid w:val="00632128"/>
    <w:rsid w:val="00643FFE"/>
    <w:rsid w:val="0065043F"/>
    <w:rsid w:val="00652287"/>
    <w:rsid w:val="00653D8C"/>
    <w:rsid w:val="00656202"/>
    <w:rsid w:val="0067284A"/>
    <w:rsid w:val="00677712"/>
    <w:rsid w:val="00686BEC"/>
    <w:rsid w:val="00694815"/>
    <w:rsid w:val="00696392"/>
    <w:rsid w:val="006B36E0"/>
    <w:rsid w:val="006B57D6"/>
    <w:rsid w:val="006D4580"/>
    <w:rsid w:val="006E11F4"/>
    <w:rsid w:val="006E16AF"/>
    <w:rsid w:val="006E3CAE"/>
    <w:rsid w:val="006F7583"/>
    <w:rsid w:val="00742988"/>
    <w:rsid w:val="007462B2"/>
    <w:rsid w:val="00770E2D"/>
    <w:rsid w:val="00784CB7"/>
    <w:rsid w:val="007855DE"/>
    <w:rsid w:val="00786044"/>
    <w:rsid w:val="00796B1F"/>
    <w:rsid w:val="007B4D64"/>
    <w:rsid w:val="007B4F3C"/>
    <w:rsid w:val="007B529A"/>
    <w:rsid w:val="007B5D94"/>
    <w:rsid w:val="007C1685"/>
    <w:rsid w:val="007C58A6"/>
    <w:rsid w:val="007C632E"/>
    <w:rsid w:val="007D2ACC"/>
    <w:rsid w:val="007F014E"/>
    <w:rsid w:val="00820E99"/>
    <w:rsid w:val="0083290C"/>
    <w:rsid w:val="00845527"/>
    <w:rsid w:val="00845C59"/>
    <w:rsid w:val="008902BC"/>
    <w:rsid w:val="00892B85"/>
    <w:rsid w:val="008A7D29"/>
    <w:rsid w:val="008B36A4"/>
    <w:rsid w:val="008C1219"/>
    <w:rsid w:val="008E7D6C"/>
    <w:rsid w:val="008F537A"/>
    <w:rsid w:val="00905D49"/>
    <w:rsid w:val="009118B9"/>
    <w:rsid w:val="009201E5"/>
    <w:rsid w:val="00921FDF"/>
    <w:rsid w:val="00927182"/>
    <w:rsid w:val="00927AF9"/>
    <w:rsid w:val="009330DD"/>
    <w:rsid w:val="009408D2"/>
    <w:rsid w:val="00951402"/>
    <w:rsid w:val="00955165"/>
    <w:rsid w:val="0097688B"/>
    <w:rsid w:val="00997068"/>
    <w:rsid w:val="009A7B4C"/>
    <w:rsid w:val="009E2283"/>
    <w:rsid w:val="009F2ABF"/>
    <w:rsid w:val="00A03AD6"/>
    <w:rsid w:val="00A05020"/>
    <w:rsid w:val="00A4433F"/>
    <w:rsid w:val="00A5302B"/>
    <w:rsid w:val="00A62B62"/>
    <w:rsid w:val="00A810D9"/>
    <w:rsid w:val="00A81A37"/>
    <w:rsid w:val="00A83714"/>
    <w:rsid w:val="00A860B3"/>
    <w:rsid w:val="00AD240F"/>
    <w:rsid w:val="00B00C40"/>
    <w:rsid w:val="00B03D0F"/>
    <w:rsid w:val="00B15BEC"/>
    <w:rsid w:val="00B1605D"/>
    <w:rsid w:val="00B16876"/>
    <w:rsid w:val="00B20A06"/>
    <w:rsid w:val="00B210BB"/>
    <w:rsid w:val="00B25EEF"/>
    <w:rsid w:val="00B327D7"/>
    <w:rsid w:val="00B375B7"/>
    <w:rsid w:val="00B4348F"/>
    <w:rsid w:val="00B524BB"/>
    <w:rsid w:val="00B52CFA"/>
    <w:rsid w:val="00B75AF4"/>
    <w:rsid w:val="00B76BAF"/>
    <w:rsid w:val="00B814EC"/>
    <w:rsid w:val="00B81DE1"/>
    <w:rsid w:val="00B9036C"/>
    <w:rsid w:val="00BA21B4"/>
    <w:rsid w:val="00BB30C4"/>
    <w:rsid w:val="00BB3126"/>
    <w:rsid w:val="00BC1501"/>
    <w:rsid w:val="00BF7EAD"/>
    <w:rsid w:val="00C21C3B"/>
    <w:rsid w:val="00C30DCA"/>
    <w:rsid w:val="00C32192"/>
    <w:rsid w:val="00C35B05"/>
    <w:rsid w:val="00C40289"/>
    <w:rsid w:val="00C74B27"/>
    <w:rsid w:val="00C9412D"/>
    <w:rsid w:val="00C95F23"/>
    <w:rsid w:val="00C97DD9"/>
    <w:rsid w:val="00CA37C7"/>
    <w:rsid w:val="00CA4EE5"/>
    <w:rsid w:val="00CC6F6C"/>
    <w:rsid w:val="00CD6444"/>
    <w:rsid w:val="00CE14E4"/>
    <w:rsid w:val="00CE1BCE"/>
    <w:rsid w:val="00CE617F"/>
    <w:rsid w:val="00D72BD4"/>
    <w:rsid w:val="00D84F5B"/>
    <w:rsid w:val="00DA1DD0"/>
    <w:rsid w:val="00DA1EB0"/>
    <w:rsid w:val="00DE0295"/>
    <w:rsid w:val="00DE1FA1"/>
    <w:rsid w:val="00DE6100"/>
    <w:rsid w:val="00DF3215"/>
    <w:rsid w:val="00DF4CF2"/>
    <w:rsid w:val="00E06FAB"/>
    <w:rsid w:val="00E145F5"/>
    <w:rsid w:val="00E14CF5"/>
    <w:rsid w:val="00E14DBF"/>
    <w:rsid w:val="00E227A9"/>
    <w:rsid w:val="00E444F6"/>
    <w:rsid w:val="00E46A45"/>
    <w:rsid w:val="00E62049"/>
    <w:rsid w:val="00E81588"/>
    <w:rsid w:val="00ED3FDC"/>
    <w:rsid w:val="00EE3FFD"/>
    <w:rsid w:val="00F05DB2"/>
    <w:rsid w:val="00F26D59"/>
    <w:rsid w:val="00F31BDE"/>
    <w:rsid w:val="00F4279A"/>
    <w:rsid w:val="00F92823"/>
    <w:rsid w:val="00FA50E0"/>
    <w:rsid w:val="00FA576A"/>
    <w:rsid w:val="00FC077F"/>
    <w:rsid w:val="00FC084B"/>
    <w:rsid w:val="00FC5354"/>
    <w:rsid w:val="00FD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DC"/>
    <w:rPr>
      <w:sz w:val="24"/>
      <w:szCs w:val="24"/>
      <w:lang w:eastAsia="en-US"/>
    </w:rPr>
  </w:style>
  <w:style w:type="paragraph" w:styleId="Heading1">
    <w:name w:val="heading 1"/>
    <w:basedOn w:val="Normal"/>
    <w:next w:val="Normal"/>
    <w:link w:val="Heading1Char"/>
    <w:uiPriority w:val="99"/>
    <w:qFormat/>
    <w:rsid w:val="00ED3FDC"/>
    <w:pPr>
      <w:keepNext/>
      <w:outlineLvl w:val="0"/>
    </w:pPr>
    <w:rPr>
      <w:b/>
      <w:bCs/>
    </w:rPr>
  </w:style>
  <w:style w:type="paragraph" w:styleId="Heading3">
    <w:name w:val="heading 3"/>
    <w:basedOn w:val="Normal"/>
    <w:next w:val="Normal"/>
    <w:link w:val="Heading3Char"/>
    <w:uiPriority w:val="99"/>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07"/>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sid w:val="00EA0B07"/>
    <w:rPr>
      <w:rFonts w:asciiTheme="majorHAnsi" w:eastAsiaTheme="majorEastAsia" w:hAnsiTheme="majorHAnsi" w:cstheme="majorBidi"/>
      <w:b/>
      <w:bCs/>
      <w:sz w:val="26"/>
      <w:szCs w:val="26"/>
      <w:lang w:eastAsia="en-US"/>
    </w:rPr>
  </w:style>
  <w:style w:type="paragraph" w:styleId="BalloonText">
    <w:name w:val="Balloon Text"/>
    <w:basedOn w:val="Normal"/>
    <w:link w:val="BalloonTextChar"/>
    <w:uiPriority w:val="99"/>
    <w:semiHidden/>
    <w:rsid w:val="00B524BB"/>
    <w:rPr>
      <w:rFonts w:ascii="Tahoma" w:hAnsi="Tahoma" w:cs="Tahoma"/>
      <w:sz w:val="16"/>
      <w:szCs w:val="16"/>
    </w:rPr>
  </w:style>
  <w:style w:type="character" w:customStyle="1" w:styleId="BalloonTextChar">
    <w:name w:val="Balloon Text Char"/>
    <w:basedOn w:val="DefaultParagraphFont"/>
    <w:link w:val="BalloonText"/>
    <w:uiPriority w:val="99"/>
    <w:semiHidden/>
    <w:rsid w:val="00EA0B07"/>
    <w:rPr>
      <w:sz w:val="0"/>
      <w:szCs w:val="0"/>
      <w:lang w:eastAsia="en-US"/>
    </w:rPr>
  </w:style>
  <w:style w:type="character" w:styleId="Hyperlink">
    <w:name w:val="Hyperlink"/>
    <w:basedOn w:val="DefaultParagraphFont"/>
    <w:uiPriority w:val="99"/>
    <w:rsid w:val="000A3CD2"/>
    <w:rPr>
      <w:rFonts w:cs="Times New Roman"/>
      <w:color w:val="0000FF"/>
      <w:u w:val="single"/>
    </w:rPr>
  </w:style>
  <w:style w:type="character" w:styleId="FollowedHyperlink">
    <w:name w:val="FollowedHyperlink"/>
    <w:basedOn w:val="DefaultParagraphFont"/>
    <w:uiPriority w:val="99"/>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uiPriority w:val="99"/>
    <w:rsid w:val="00CE1BCE"/>
    <w:pPr>
      <w:tabs>
        <w:tab w:val="center" w:pos="4153"/>
        <w:tab w:val="right" w:pos="8306"/>
      </w:tabs>
    </w:pPr>
  </w:style>
  <w:style w:type="character" w:customStyle="1" w:styleId="HeaderChar">
    <w:name w:val="Header Char"/>
    <w:basedOn w:val="DefaultParagraphFont"/>
    <w:link w:val="Header"/>
    <w:uiPriority w:val="99"/>
    <w:locked/>
    <w:rsid w:val="00A810D9"/>
    <w:rPr>
      <w:sz w:val="24"/>
      <w:lang w:eastAsia="en-US"/>
    </w:rPr>
  </w:style>
  <w:style w:type="paragraph" w:styleId="Footer">
    <w:name w:val="footer"/>
    <w:basedOn w:val="Normal"/>
    <w:link w:val="FooterChar"/>
    <w:uiPriority w:val="99"/>
    <w:rsid w:val="00CE1BCE"/>
    <w:pPr>
      <w:tabs>
        <w:tab w:val="center" w:pos="4153"/>
        <w:tab w:val="right" w:pos="8306"/>
      </w:tabs>
    </w:pPr>
  </w:style>
  <w:style w:type="character" w:customStyle="1" w:styleId="FooterChar">
    <w:name w:val="Footer Char"/>
    <w:basedOn w:val="DefaultParagraphFont"/>
    <w:link w:val="Footer"/>
    <w:uiPriority w:val="99"/>
    <w:locked/>
    <w:rsid w:val="00060939"/>
    <w:rPr>
      <w:sz w:val="24"/>
      <w:lang w:eastAsia="en-US"/>
    </w:rPr>
  </w:style>
  <w:style w:type="character" w:styleId="Emphasis">
    <w:name w:val="Emphasis"/>
    <w:basedOn w:val="DefaultParagraphFont"/>
    <w:uiPriority w:val="99"/>
    <w:qFormat/>
    <w:rsid w:val="00B16876"/>
    <w:rPr>
      <w:rFonts w:cs="Times New Roman"/>
      <w:i/>
    </w:rPr>
  </w:style>
  <w:style w:type="paragraph" w:styleId="ListParagraph">
    <w:name w:val="List Paragraph"/>
    <w:basedOn w:val="Normal"/>
    <w:uiPriority w:val="34"/>
    <w:qFormat/>
    <w:rsid w:val="00FC084B"/>
    <w:pPr>
      <w:spacing w:after="200" w:line="276" w:lineRule="auto"/>
      <w:ind w:left="720"/>
      <w:contextualSpacing/>
    </w:pPr>
    <w:rPr>
      <w:rFonts w:ascii="Calibri" w:hAnsi="Calibri"/>
      <w:sz w:val="22"/>
      <w:szCs w:val="22"/>
    </w:rPr>
  </w:style>
  <w:style w:type="character" w:styleId="Strong">
    <w:name w:val="Strong"/>
    <w:basedOn w:val="DefaultParagraphFont"/>
    <w:uiPriority w:val="99"/>
    <w:qFormat/>
    <w:locked/>
    <w:rsid w:val="00FC084B"/>
    <w:rPr>
      <w:rFonts w:cs="Times New Roman"/>
      <w:b/>
      <w:bCs/>
    </w:rPr>
  </w:style>
  <w:style w:type="table" w:styleId="TableGrid">
    <w:name w:val="Table Grid"/>
    <w:basedOn w:val="TableNormal"/>
    <w:rsid w:val="00677712"/>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834A7"/>
    <w:rPr>
      <w:rFonts w:ascii="Calibri" w:eastAsiaTheme="minorHAnsi" w:hAnsi="Calibri" w:cs="Calibri"/>
      <w:sz w:val="22"/>
      <w:szCs w:val="22"/>
    </w:rPr>
  </w:style>
  <w:style w:type="character" w:customStyle="1" w:styleId="title7">
    <w:name w:val="title7"/>
    <w:basedOn w:val="DefaultParagraphFont"/>
    <w:rsid w:val="002555B6"/>
    <w:rPr>
      <w:b w:val="0"/>
      <w:bCs w:val="0"/>
      <w:i w:val="0"/>
      <w:iCs w:val="0"/>
      <w:strike w:val="0"/>
      <w:dstrike w:val="0"/>
      <w:color w:val="D92E10"/>
      <w:sz w:val="26"/>
      <w:szCs w:val="26"/>
      <w:u w:val="none"/>
      <w:effect w:val="none"/>
    </w:rPr>
  </w:style>
  <w:style w:type="paragraph" w:customStyle="1" w:styleId="default">
    <w:name w:val="default"/>
    <w:basedOn w:val="Normal"/>
    <w:rsid w:val="002555B6"/>
    <w:rPr>
      <w:lang w:eastAsia="en-GB"/>
    </w:rPr>
  </w:style>
  <w:style w:type="paragraph" w:customStyle="1" w:styleId="Default0">
    <w:name w:val="Default"/>
    <w:rsid w:val="007B4D6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DC"/>
    <w:rPr>
      <w:sz w:val="24"/>
      <w:szCs w:val="24"/>
      <w:lang w:eastAsia="en-US"/>
    </w:rPr>
  </w:style>
  <w:style w:type="paragraph" w:styleId="Heading1">
    <w:name w:val="heading 1"/>
    <w:basedOn w:val="Normal"/>
    <w:next w:val="Normal"/>
    <w:link w:val="Heading1Char"/>
    <w:uiPriority w:val="99"/>
    <w:qFormat/>
    <w:rsid w:val="00ED3FDC"/>
    <w:pPr>
      <w:keepNext/>
      <w:outlineLvl w:val="0"/>
    </w:pPr>
    <w:rPr>
      <w:b/>
      <w:bCs/>
    </w:rPr>
  </w:style>
  <w:style w:type="paragraph" w:styleId="Heading3">
    <w:name w:val="heading 3"/>
    <w:basedOn w:val="Normal"/>
    <w:next w:val="Normal"/>
    <w:link w:val="Heading3Char"/>
    <w:uiPriority w:val="99"/>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07"/>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sid w:val="00EA0B07"/>
    <w:rPr>
      <w:rFonts w:asciiTheme="majorHAnsi" w:eastAsiaTheme="majorEastAsia" w:hAnsiTheme="majorHAnsi" w:cstheme="majorBidi"/>
      <w:b/>
      <w:bCs/>
      <w:sz w:val="26"/>
      <w:szCs w:val="26"/>
      <w:lang w:eastAsia="en-US"/>
    </w:rPr>
  </w:style>
  <w:style w:type="paragraph" w:styleId="BalloonText">
    <w:name w:val="Balloon Text"/>
    <w:basedOn w:val="Normal"/>
    <w:link w:val="BalloonTextChar"/>
    <w:uiPriority w:val="99"/>
    <w:semiHidden/>
    <w:rsid w:val="00B524BB"/>
    <w:rPr>
      <w:rFonts w:ascii="Tahoma" w:hAnsi="Tahoma" w:cs="Tahoma"/>
      <w:sz w:val="16"/>
      <w:szCs w:val="16"/>
    </w:rPr>
  </w:style>
  <w:style w:type="character" w:customStyle="1" w:styleId="BalloonTextChar">
    <w:name w:val="Balloon Text Char"/>
    <w:basedOn w:val="DefaultParagraphFont"/>
    <w:link w:val="BalloonText"/>
    <w:uiPriority w:val="99"/>
    <w:semiHidden/>
    <w:rsid w:val="00EA0B07"/>
    <w:rPr>
      <w:sz w:val="0"/>
      <w:szCs w:val="0"/>
      <w:lang w:eastAsia="en-US"/>
    </w:rPr>
  </w:style>
  <w:style w:type="character" w:styleId="Hyperlink">
    <w:name w:val="Hyperlink"/>
    <w:basedOn w:val="DefaultParagraphFont"/>
    <w:uiPriority w:val="99"/>
    <w:rsid w:val="000A3CD2"/>
    <w:rPr>
      <w:rFonts w:cs="Times New Roman"/>
      <w:color w:val="0000FF"/>
      <w:u w:val="single"/>
    </w:rPr>
  </w:style>
  <w:style w:type="character" w:styleId="FollowedHyperlink">
    <w:name w:val="FollowedHyperlink"/>
    <w:basedOn w:val="DefaultParagraphFont"/>
    <w:uiPriority w:val="99"/>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uiPriority w:val="99"/>
    <w:rsid w:val="00CE1BCE"/>
    <w:pPr>
      <w:tabs>
        <w:tab w:val="center" w:pos="4153"/>
        <w:tab w:val="right" w:pos="8306"/>
      </w:tabs>
    </w:pPr>
  </w:style>
  <w:style w:type="character" w:customStyle="1" w:styleId="HeaderChar">
    <w:name w:val="Header Char"/>
    <w:basedOn w:val="DefaultParagraphFont"/>
    <w:link w:val="Header"/>
    <w:uiPriority w:val="99"/>
    <w:locked/>
    <w:rsid w:val="00A810D9"/>
    <w:rPr>
      <w:sz w:val="24"/>
      <w:lang w:eastAsia="en-US"/>
    </w:rPr>
  </w:style>
  <w:style w:type="paragraph" w:styleId="Footer">
    <w:name w:val="footer"/>
    <w:basedOn w:val="Normal"/>
    <w:link w:val="FooterChar"/>
    <w:uiPriority w:val="99"/>
    <w:rsid w:val="00CE1BCE"/>
    <w:pPr>
      <w:tabs>
        <w:tab w:val="center" w:pos="4153"/>
        <w:tab w:val="right" w:pos="8306"/>
      </w:tabs>
    </w:pPr>
  </w:style>
  <w:style w:type="character" w:customStyle="1" w:styleId="FooterChar">
    <w:name w:val="Footer Char"/>
    <w:basedOn w:val="DefaultParagraphFont"/>
    <w:link w:val="Footer"/>
    <w:uiPriority w:val="99"/>
    <w:locked/>
    <w:rsid w:val="00060939"/>
    <w:rPr>
      <w:sz w:val="24"/>
      <w:lang w:eastAsia="en-US"/>
    </w:rPr>
  </w:style>
  <w:style w:type="character" w:styleId="Emphasis">
    <w:name w:val="Emphasis"/>
    <w:basedOn w:val="DefaultParagraphFont"/>
    <w:uiPriority w:val="99"/>
    <w:qFormat/>
    <w:rsid w:val="00B16876"/>
    <w:rPr>
      <w:rFonts w:cs="Times New Roman"/>
      <w:i/>
    </w:rPr>
  </w:style>
  <w:style w:type="paragraph" w:styleId="ListParagraph">
    <w:name w:val="List Paragraph"/>
    <w:basedOn w:val="Normal"/>
    <w:uiPriority w:val="34"/>
    <w:qFormat/>
    <w:rsid w:val="00FC084B"/>
    <w:pPr>
      <w:spacing w:after="200" w:line="276" w:lineRule="auto"/>
      <w:ind w:left="720"/>
      <w:contextualSpacing/>
    </w:pPr>
    <w:rPr>
      <w:rFonts w:ascii="Calibri" w:hAnsi="Calibri"/>
      <w:sz w:val="22"/>
      <w:szCs w:val="22"/>
    </w:rPr>
  </w:style>
  <w:style w:type="character" w:styleId="Strong">
    <w:name w:val="Strong"/>
    <w:basedOn w:val="DefaultParagraphFont"/>
    <w:uiPriority w:val="99"/>
    <w:qFormat/>
    <w:locked/>
    <w:rsid w:val="00FC084B"/>
    <w:rPr>
      <w:rFonts w:cs="Times New Roman"/>
      <w:b/>
      <w:bCs/>
    </w:rPr>
  </w:style>
  <w:style w:type="table" w:styleId="TableGrid">
    <w:name w:val="Table Grid"/>
    <w:basedOn w:val="TableNormal"/>
    <w:rsid w:val="00677712"/>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834A7"/>
    <w:rPr>
      <w:rFonts w:ascii="Calibri" w:eastAsiaTheme="minorHAnsi" w:hAnsi="Calibri" w:cs="Calibri"/>
      <w:sz w:val="22"/>
      <w:szCs w:val="22"/>
    </w:rPr>
  </w:style>
  <w:style w:type="character" w:customStyle="1" w:styleId="title7">
    <w:name w:val="title7"/>
    <w:basedOn w:val="DefaultParagraphFont"/>
    <w:rsid w:val="002555B6"/>
    <w:rPr>
      <w:b w:val="0"/>
      <w:bCs w:val="0"/>
      <w:i w:val="0"/>
      <w:iCs w:val="0"/>
      <w:strike w:val="0"/>
      <w:dstrike w:val="0"/>
      <w:color w:val="D92E10"/>
      <w:sz w:val="26"/>
      <w:szCs w:val="26"/>
      <w:u w:val="none"/>
      <w:effect w:val="none"/>
    </w:rPr>
  </w:style>
  <w:style w:type="paragraph" w:customStyle="1" w:styleId="default">
    <w:name w:val="default"/>
    <w:basedOn w:val="Normal"/>
    <w:rsid w:val="002555B6"/>
    <w:rPr>
      <w:lang w:eastAsia="en-GB"/>
    </w:rPr>
  </w:style>
  <w:style w:type="paragraph" w:customStyle="1" w:styleId="Default0">
    <w:name w:val="Default"/>
    <w:rsid w:val="007B4D6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735">
      <w:bodyDiv w:val="1"/>
      <w:marLeft w:val="0"/>
      <w:marRight w:val="0"/>
      <w:marTop w:val="0"/>
      <w:marBottom w:val="0"/>
      <w:divBdr>
        <w:top w:val="none" w:sz="0" w:space="0" w:color="auto"/>
        <w:left w:val="none" w:sz="0" w:space="0" w:color="auto"/>
        <w:bottom w:val="none" w:sz="0" w:space="0" w:color="auto"/>
        <w:right w:val="none" w:sz="0" w:space="0" w:color="auto"/>
      </w:divBdr>
    </w:div>
    <w:div w:id="50155621">
      <w:bodyDiv w:val="1"/>
      <w:marLeft w:val="0"/>
      <w:marRight w:val="0"/>
      <w:marTop w:val="0"/>
      <w:marBottom w:val="0"/>
      <w:divBdr>
        <w:top w:val="none" w:sz="0" w:space="0" w:color="auto"/>
        <w:left w:val="none" w:sz="0" w:space="0" w:color="auto"/>
        <w:bottom w:val="none" w:sz="0" w:space="0" w:color="auto"/>
        <w:right w:val="none" w:sz="0" w:space="0" w:color="auto"/>
      </w:divBdr>
    </w:div>
    <w:div w:id="526021808">
      <w:bodyDiv w:val="1"/>
      <w:marLeft w:val="0"/>
      <w:marRight w:val="0"/>
      <w:marTop w:val="0"/>
      <w:marBottom w:val="0"/>
      <w:divBdr>
        <w:top w:val="none" w:sz="0" w:space="0" w:color="auto"/>
        <w:left w:val="none" w:sz="0" w:space="0" w:color="auto"/>
        <w:bottom w:val="none" w:sz="0" w:space="0" w:color="auto"/>
        <w:right w:val="none" w:sz="0" w:space="0" w:color="auto"/>
      </w:divBdr>
    </w:div>
    <w:div w:id="798493441">
      <w:bodyDiv w:val="1"/>
      <w:marLeft w:val="0"/>
      <w:marRight w:val="0"/>
      <w:marTop w:val="0"/>
      <w:marBottom w:val="0"/>
      <w:divBdr>
        <w:top w:val="none" w:sz="0" w:space="0" w:color="auto"/>
        <w:left w:val="none" w:sz="0" w:space="0" w:color="auto"/>
        <w:bottom w:val="none" w:sz="0" w:space="0" w:color="auto"/>
        <w:right w:val="none" w:sz="0" w:space="0" w:color="auto"/>
      </w:divBdr>
    </w:div>
    <w:div w:id="899250477">
      <w:bodyDiv w:val="1"/>
      <w:marLeft w:val="0"/>
      <w:marRight w:val="0"/>
      <w:marTop w:val="0"/>
      <w:marBottom w:val="0"/>
      <w:divBdr>
        <w:top w:val="none" w:sz="0" w:space="0" w:color="auto"/>
        <w:left w:val="none" w:sz="0" w:space="0" w:color="auto"/>
        <w:bottom w:val="none" w:sz="0" w:space="0" w:color="auto"/>
        <w:right w:val="none" w:sz="0" w:space="0" w:color="auto"/>
      </w:divBdr>
    </w:div>
    <w:div w:id="1049375478">
      <w:bodyDiv w:val="1"/>
      <w:marLeft w:val="0"/>
      <w:marRight w:val="0"/>
      <w:marTop w:val="0"/>
      <w:marBottom w:val="0"/>
      <w:divBdr>
        <w:top w:val="none" w:sz="0" w:space="0" w:color="auto"/>
        <w:left w:val="none" w:sz="0" w:space="0" w:color="auto"/>
        <w:bottom w:val="none" w:sz="0" w:space="0" w:color="auto"/>
        <w:right w:val="none" w:sz="0" w:space="0" w:color="auto"/>
      </w:divBdr>
    </w:div>
    <w:div w:id="1060322956">
      <w:bodyDiv w:val="1"/>
      <w:marLeft w:val="0"/>
      <w:marRight w:val="0"/>
      <w:marTop w:val="0"/>
      <w:marBottom w:val="0"/>
      <w:divBdr>
        <w:top w:val="none" w:sz="0" w:space="0" w:color="auto"/>
        <w:left w:val="none" w:sz="0" w:space="0" w:color="auto"/>
        <w:bottom w:val="none" w:sz="0" w:space="0" w:color="auto"/>
        <w:right w:val="none" w:sz="0" w:space="0" w:color="auto"/>
      </w:divBdr>
    </w:div>
    <w:div w:id="1146820874">
      <w:marLeft w:val="0"/>
      <w:marRight w:val="0"/>
      <w:marTop w:val="0"/>
      <w:marBottom w:val="0"/>
      <w:divBdr>
        <w:top w:val="none" w:sz="0" w:space="0" w:color="auto"/>
        <w:left w:val="none" w:sz="0" w:space="0" w:color="auto"/>
        <w:bottom w:val="none" w:sz="0" w:space="0" w:color="auto"/>
        <w:right w:val="none" w:sz="0" w:space="0" w:color="auto"/>
      </w:divBdr>
    </w:div>
    <w:div w:id="1146820875">
      <w:marLeft w:val="0"/>
      <w:marRight w:val="0"/>
      <w:marTop w:val="0"/>
      <w:marBottom w:val="0"/>
      <w:divBdr>
        <w:top w:val="none" w:sz="0" w:space="0" w:color="auto"/>
        <w:left w:val="none" w:sz="0" w:space="0" w:color="auto"/>
        <w:bottom w:val="none" w:sz="0" w:space="0" w:color="auto"/>
        <w:right w:val="none" w:sz="0" w:space="0" w:color="auto"/>
      </w:divBdr>
    </w:div>
    <w:div w:id="1146820876">
      <w:marLeft w:val="0"/>
      <w:marRight w:val="0"/>
      <w:marTop w:val="0"/>
      <w:marBottom w:val="0"/>
      <w:divBdr>
        <w:top w:val="none" w:sz="0" w:space="0" w:color="auto"/>
        <w:left w:val="none" w:sz="0" w:space="0" w:color="auto"/>
        <w:bottom w:val="none" w:sz="0" w:space="0" w:color="auto"/>
        <w:right w:val="none" w:sz="0" w:space="0" w:color="auto"/>
      </w:divBdr>
    </w:div>
    <w:div w:id="1146820877">
      <w:marLeft w:val="0"/>
      <w:marRight w:val="0"/>
      <w:marTop w:val="0"/>
      <w:marBottom w:val="0"/>
      <w:divBdr>
        <w:top w:val="none" w:sz="0" w:space="0" w:color="auto"/>
        <w:left w:val="none" w:sz="0" w:space="0" w:color="auto"/>
        <w:bottom w:val="none" w:sz="0" w:space="0" w:color="auto"/>
        <w:right w:val="none" w:sz="0" w:space="0" w:color="auto"/>
      </w:divBdr>
    </w:div>
    <w:div w:id="1146820878">
      <w:marLeft w:val="0"/>
      <w:marRight w:val="0"/>
      <w:marTop w:val="0"/>
      <w:marBottom w:val="0"/>
      <w:divBdr>
        <w:top w:val="none" w:sz="0" w:space="0" w:color="auto"/>
        <w:left w:val="none" w:sz="0" w:space="0" w:color="auto"/>
        <w:bottom w:val="none" w:sz="0" w:space="0" w:color="auto"/>
        <w:right w:val="none" w:sz="0" w:space="0" w:color="auto"/>
      </w:divBdr>
    </w:div>
    <w:div w:id="1146820879">
      <w:marLeft w:val="0"/>
      <w:marRight w:val="0"/>
      <w:marTop w:val="0"/>
      <w:marBottom w:val="0"/>
      <w:divBdr>
        <w:top w:val="none" w:sz="0" w:space="0" w:color="auto"/>
        <w:left w:val="none" w:sz="0" w:space="0" w:color="auto"/>
        <w:bottom w:val="none" w:sz="0" w:space="0" w:color="auto"/>
        <w:right w:val="none" w:sz="0" w:space="0" w:color="auto"/>
      </w:divBdr>
    </w:div>
    <w:div w:id="1146820880">
      <w:marLeft w:val="0"/>
      <w:marRight w:val="0"/>
      <w:marTop w:val="0"/>
      <w:marBottom w:val="0"/>
      <w:divBdr>
        <w:top w:val="none" w:sz="0" w:space="0" w:color="auto"/>
        <w:left w:val="none" w:sz="0" w:space="0" w:color="auto"/>
        <w:bottom w:val="none" w:sz="0" w:space="0" w:color="auto"/>
        <w:right w:val="none" w:sz="0" w:space="0" w:color="auto"/>
      </w:divBdr>
    </w:div>
    <w:div w:id="1146820881">
      <w:marLeft w:val="0"/>
      <w:marRight w:val="0"/>
      <w:marTop w:val="0"/>
      <w:marBottom w:val="0"/>
      <w:divBdr>
        <w:top w:val="none" w:sz="0" w:space="0" w:color="auto"/>
        <w:left w:val="none" w:sz="0" w:space="0" w:color="auto"/>
        <w:bottom w:val="none" w:sz="0" w:space="0" w:color="auto"/>
        <w:right w:val="none" w:sz="0" w:space="0" w:color="auto"/>
      </w:divBdr>
    </w:div>
    <w:div w:id="1146820882">
      <w:marLeft w:val="0"/>
      <w:marRight w:val="0"/>
      <w:marTop w:val="0"/>
      <w:marBottom w:val="0"/>
      <w:divBdr>
        <w:top w:val="none" w:sz="0" w:space="0" w:color="auto"/>
        <w:left w:val="none" w:sz="0" w:space="0" w:color="auto"/>
        <w:bottom w:val="none" w:sz="0" w:space="0" w:color="auto"/>
        <w:right w:val="none" w:sz="0" w:space="0" w:color="auto"/>
      </w:divBdr>
    </w:div>
    <w:div w:id="1146820883">
      <w:marLeft w:val="0"/>
      <w:marRight w:val="0"/>
      <w:marTop w:val="0"/>
      <w:marBottom w:val="0"/>
      <w:divBdr>
        <w:top w:val="none" w:sz="0" w:space="0" w:color="auto"/>
        <w:left w:val="none" w:sz="0" w:space="0" w:color="auto"/>
        <w:bottom w:val="none" w:sz="0" w:space="0" w:color="auto"/>
        <w:right w:val="none" w:sz="0" w:space="0" w:color="auto"/>
      </w:divBdr>
    </w:div>
    <w:div w:id="1146820884">
      <w:marLeft w:val="0"/>
      <w:marRight w:val="0"/>
      <w:marTop w:val="0"/>
      <w:marBottom w:val="0"/>
      <w:divBdr>
        <w:top w:val="none" w:sz="0" w:space="0" w:color="auto"/>
        <w:left w:val="none" w:sz="0" w:space="0" w:color="auto"/>
        <w:bottom w:val="none" w:sz="0" w:space="0" w:color="auto"/>
        <w:right w:val="none" w:sz="0" w:space="0" w:color="auto"/>
      </w:divBdr>
    </w:div>
    <w:div w:id="1146820885">
      <w:marLeft w:val="0"/>
      <w:marRight w:val="0"/>
      <w:marTop w:val="0"/>
      <w:marBottom w:val="0"/>
      <w:divBdr>
        <w:top w:val="none" w:sz="0" w:space="0" w:color="auto"/>
        <w:left w:val="none" w:sz="0" w:space="0" w:color="auto"/>
        <w:bottom w:val="none" w:sz="0" w:space="0" w:color="auto"/>
        <w:right w:val="none" w:sz="0" w:space="0" w:color="auto"/>
      </w:divBdr>
    </w:div>
    <w:div w:id="1146820886">
      <w:marLeft w:val="0"/>
      <w:marRight w:val="0"/>
      <w:marTop w:val="0"/>
      <w:marBottom w:val="0"/>
      <w:divBdr>
        <w:top w:val="none" w:sz="0" w:space="0" w:color="auto"/>
        <w:left w:val="none" w:sz="0" w:space="0" w:color="auto"/>
        <w:bottom w:val="none" w:sz="0" w:space="0" w:color="auto"/>
        <w:right w:val="none" w:sz="0" w:space="0" w:color="auto"/>
      </w:divBdr>
    </w:div>
    <w:div w:id="1146820887">
      <w:marLeft w:val="0"/>
      <w:marRight w:val="0"/>
      <w:marTop w:val="0"/>
      <w:marBottom w:val="0"/>
      <w:divBdr>
        <w:top w:val="none" w:sz="0" w:space="0" w:color="auto"/>
        <w:left w:val="none" w:sz="0" w:space="0" w:color="auto"/>
        <w:bottom w:val="none" w:sz="0" w:space="0" w:color="auto"/>
        <w:right w:val="none" w:sz="0" w:space="0" w:color="auto"/>
      </w:divBdr>
    </w:div>
    <w:div w:id="1146820888">
      <w:marLeft w:val="0"/>
      <w:marRight w:val="0"/>
      <w:marTop w:val="0"/>
      <w:marBottom w:val="0"/>
      <w:divBdr>
        <w:top w:val="none" w:sz="0" w:space="0" w:color="auto"/>
        <w:left w:val="none" w:sz="0" w:space="0" w:color="auto"/>
        <w:bottom w:val="none" w:sz="0" w:space="0" w:color="auto"/>
        <w:right w:val="none" w:sz="0" w:space="0" w:color="auto"/>
      </w:divBdr>
    </w:div>
    <w:div w:id="1146820889">
      <w:marLeft w:val="0"/>
      <w:marRight w:val="0"/>
      <w:marTop w:val="0"/>
      <w:marBottom w:val="0"/>
      <w:divBdr>
        <w:top w:val="none" w:sz="0" w:space="0" w:color="auto"/>
        <w:left w:val="none" w:sz="0" w:space="0" w:color="auto"/>
        <w:bottom w:val="none" w:sz="0" w:space="0" w:color="auto"/>
        <w:right w:val="none" w:sz="0" w:space="0" w:color="auto"/>
      </w:divBdr>
    </w:div>
    <w:div w:id="1146820890">
      <w:marLeft w:val="0"/>
      <w:marRight w:val="0"/>
      <w:marTop w:val="0"/>
      <w:marBottom w:val="0"/>
      <w:divBdr>
        <w:top w:val="none" w:sz="0" w:space="0" w:color="auto"/>
        <w:left w:val="none" w:sz="0" w:space="0" w:color="auto"/>
        <w:bottom w:val="none" w:sz="0" w:space="0" w:color="auto"/>
        <w:right w:val="none" w:sz="0" w:space="0" w:color="auto"/>
      </w:divBdr>
    </w:div>
    <w:div w:id="1146820891">
      <w:marLeft w:val="0"/>
      <w:marRight w:val="0"/>
      <w:marTop w:val="0"/>
      <w:marBottom w:val="0"/>
      <w:divBdr>
        <w:top w:val="none" w:sz="0" w:space="0" w:color="auto"/>
        <w:left w:val="none" w:sz="0" w:space="0" w:color="auto"/>
        <w:bottom w:val="none" w:sz="0" w:space="0" w:color="auto"/>
        <w:right w:val="none" w:sz="0" w:space="0" w:color="auto"/>
      </w:divBdr>
    </w:div>
    <w:div w:id="1146820892">
      <w:marLeft w:val="0"/>
      <w:marRight w:val="0"/>
      <w:marTop w:val="0"/>
      <w:marBottom w:val="0"/>
      <w:divBdr>
        <w:top w:val="none" w:sz="0" w:space="0" w:color="auto"/>
        <w:left w:val="none" w:sz="0" w:space="0" w:color="auto"/>
        <w:bottom w:val="none" w:sz="0" w:space="0" w:color="auto"/>
        <w:right w:val="none" w:sz="0" w:space="0" w:color="auto"/>
      </w:divBdr>
    </w:div>
    <w:div w:id="1146820893">
      <w:marLeft w:val="0"/>
      <w:marRight w:val="0"/>
      <w:marTop w:val="0"/>
      <w:marBottom w:val="0"/>
      <w:divBdr>
        <w:top w:val="none" w:sz="0" w:space="0" w:color="auto"/>
        <w:left w:val="none" w:sz="0" w:space="0" w:color="auto"/>
        <w:bottom w:val="none" w:sz="0" w:space="0" w:color="auto"/>
        <w:right w:val="none" w:sz="0" w:space="0" w:color="auto"/>
      </w:divBdr>
    </w:div>
    <w:div w:id="1146820894">
      <w:marLeft w:val="0"/>
      <w:marRight w:val="0"/>
      <w:marTop w:val="0"/>
      <w:marBottom w:val="0"/>
      <w:divBdr>
        <w:top w:val="none" w:sz="0" w:space="0" w:color="auto"/>
        <w:left w:val="none" w:sz="0" w:space="0" w:color="auto"/>
        <w:bottom w:val="none" w:sz="0" w:space="0" w:color="auto"/>
        <w:right w:val="none" w:sz="0" w:space="0" w:color="auto"/>
      </w:divBdr>
    </w:div>
    <w:div w:id="1146820895">
      <w:marLeft w:val="0"/>
      <w:marRight w:val="0"/>
      <w:marTop w:val="0"/>
      <w:marBottom w:val="0"/>
      <w:divBdr>
        <w:top w:val="none" w:sz="0" w:space="0" w:color="auto"/>
        <w:left w:val="none" w:sz="0" w:space="0" w:color="auto"/>
        <w:bottom w:val="none" w:sz="0" w:space="0" w:color="auto"/>
        <w:right w:val="none" w:sz="0" w:space="0" w:color="auto"/>
      </w:divBdr>
    </w:div>
    <w:div w:id="1146820896">
      <w:marLeft w:val="0"/>
      <w:marRight w:val="0"/>
      <w:marTop w:val="0"/>
      <w:marBottom w:val="0"/>
      <w:divBdr>
        <w:top w:val="none" w:sz="0" w:space="0" w:color="auto"/>
        <w:left w:val="none" w:sz="0" w:space="0" w:color="auto"/>
        <w:bottom w:val="none" w:sz="0" w:space="0" w:color="auto"/>
        <w:right w:val="none" w:sz="0" w:space="0" w:color="auto"/>
      </w:divBdr>
    </w:div>
    <w:div w:id="1146820897">
      <w:marLeft w:val="0"/>
      <w:marRight w:val="0"/>
      <w:marTop w:val="0"/>
      <w:marBottom w:val="0"/>
      <w:divBdr>
        <w:top w:val="none" w:sz="0" w:space="0" w:color="auto"/>
        <w:left w:val="none" w:sz="0" w:space="0" w:color="auto"/>
        <w:bottom w:val="none" w:sz="0" w:space="0" w:color="auto"/>
        <w:right w:val="none" w:sz="0" w:space="0" w:color="auto"/>
      </w:divBdr>
    </w:div>
    <w:div w:id="1146820898">
      <w:marLeft w:val="0"/>
      <w:marRight w:val="0"/>
      <w:marTop w:val="0"/>
      <w:marBottom w:val="0"/>
      <w:divBdr>
        <w:top w:val="none" w:sz="0" w:space="0" w:color="auto"/>
        <w:left w:val="none" w:sz="0" w:space="0" w:color="auto"/>
        <w:bottom w:val="none" w:sz="0" w:space="0" w:color="auto"/>
        <w:right w:val="none" w:sz="0" w:space="0" w:color="auto"/>
      </w:divBdr>
    </w:div>
    <w:div w:id="1217005730">
      <w:bodyDiv w:val="1"/>
      <w:marLeft w:val="0"/>
      <w:marRight w:val="0"/>
      <w:marTop w:val="0"/>
      <w:marBottom w:val="0"/>
      <w:divBdr>
        <w:top w:val="none" w:sz="0" w:space="0" w:color="auto"/>
        <w:left w:val="none" w:sz="0" w:space="0" w:color="auto"/>
        <w:bottom w:val="none" w:sz="0" w:space="0" w:color="auto"/>
        <w:right w:val="none" w:sz="0" w:space="0" w:color="auto"/>
      </w:divBdr>
    </w:div>
    <w:div w:id="1299650200">
      <w:bodyDiv w:val="1"/>
      <w:marLeft w:val="0"/>
      <w:marRight w:val="0"/>
      <w:marTop w:val="0"/>
      <w:marBottom w:val="0"/>
      <w:divBdr>
        <w:top w:val="none" w:sz="0" w:space="0" w:color="auto"/>
        <w:left w:val="none" w:sz="0" w:space="0" w:color="auto"/>
        <w:bottom w:val="none" w:sz="0" w:space="0" w:color="auto"/>
        <w:right w:val="none" w:sz="0" w:space="0" w:color="auto"/>
      </w:divBdr>
    </w:div>
    <w:div w:id="1445536750">
      <w:bodyDiv w:val="1"/>
      <w:marLeft w:val="0"/>
      <w:marRight w:val="0"/>
      <w:marTop w:val="0"/>
      <w:marBottom w:val="0"/>
      <w:divBdr>
        <w:top w:val="none" w:sz="0" w:space="0" w:color="auto"/>
        <w:left w:val="none" w:sz="0" w:space="0" w:color="auto"/>
        <w:bottom w:val="none" w:sz="0" w:space="0" w:color="auto"/>
        <w:right w:val="none" w:sz="0" w:space="0" w:color="auto"/>
      </w:divBdr>
    </w:div>
    <w:div w:id="1982877821">
      <w:bodyDiv w:val="1"/>
      <w:marLeft w:val="0"/>
      <w:marRight w:val="0"/>
      <w:marTop w:val="0"/>
      <w:marBottom w:val="0"/>
      <w:divBdr>
        <w:top w:val="none" w:sz="0" w:space="0" w:color="auto"/>
        <w:left w:val="none" w:sz="0" w:space="0" w:color="auto"/>
        <w:bottom w:val="none" w:sz="0" w:space="0" w:color="auto"/>
        <w:right w:val="none" w:sz="0" w:space="0" w:color="auto"/>
      </w:divBdr>
    </w:div>
    <w:div w:id="1996101726">
      <w:bodyDiv w:val="1"/>
      <w:marLeft w:val="0"/>
      <w:marRight w:val="0"/>
      <w:marTop w:val="0"/>
      <w:marBottom w:val="0"/>
      <w:divBdr>
        <w:top w:val="none" w:sz="0" w:space="0" w:color="auto"/>
        <w:left w:val="none" w:sz="0" w:space="0" w:color="auto"/>
        <w:bottom w:val="none" w:sz="0" w:space="0" w:color="auto"/>
        <w:right w:val="none" w:sz="0" w:space="0" w:color="auto"/>
      </w:divBdr>
    </w:div>
    <w:div w:id="20655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Fraser</dc:creator>
  <cp:lastModifiedBy>Paul work</cp:lastModifiedBy>
  <cp:revision>4</cp:revision>
  <cp:lastPrinted>2015-03-18T16:33:00Z</cp:lastPrinted>
  <dcterms:created xsi:type="dcterms:W3CDTF">2016-03-16T20:27:00Z</dcterms:created>
  <dcterms:modified xsi:type="dcterms:W3CDTF">2016-08-10T10:50:00Z</dcterms:modified>
</cp:coreProperties>
</file>