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17" w:rsidRPr="00BE07A5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32"/>
          <w:szCs w:val="24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9372" wp14:editId="63225A5F">
                <wp:simplePos x="0" y="0"/>
                <wp:positionH relativeFrom="column">
                  <wp:posOffset>-1449614</wp:posOffset>
                </wp:positionH>
                <wp:positionV relativeFrom="paragraph">
                  <wp:posOffset>-981710</wp:posOffset>
                </wp:positionV>
                <wp:extent cx="8925560" cy="962025"/>
                <wp:effectExtent l="0" t="0" r="279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556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6217" w:rsidRPr="00A85BEA" w:rsidRDefault="00C86217" w:rsidP="00C86217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C86217" w:rsidRPr="00A85BEA" w:rsidRDefault="00C86217" w:rsidP="00C86217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4.15pt;margin-top:-77.3pt;width:702.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" fillcolor="window" strokeweight=".5pt">
                <v:path arrowok="t"/>
                <v:textbox>
                  <w:txbxContent>
                    <w:p w:rsidR="00C86217" w:rsidRPr="00A85BEA" w:rsidRDefault="00C86217" w:rsidP="00C86217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C86217" w:rsidRPr="00A85BEA" w:rsidRDefault="00C86217" w:rsidP="00C86217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F81BD" w:themeColor="accent1"/>
          <w:sz w:val="32"/>
          <w:szCs w:val="24"/>
        </w:rPr>
      </w:pPr>
      <w:r w:rsidRPr="00C86217">
        <w:rPr>
          <w:rFonts w:ascii="Arial" w:hAnsi="Arial" w:cs="Arial"/>
          <w:b/>
          <w:color w:val="4F81BD" w:themeColor="accent1"/>
          <w:sz w:val="32"/>
          <w:szCs w:val="24"/>
        </w:rPr>
        <w:t xml:space="preserve">Cost value matrix, the de CIDES </w:t>
      </w:r>
      <w:r w:rsidRPr="00C86217">
        <w:rPr>
          <w:rFonts w:ascii="Arial" w:hAnsi="Arial" w:cs="Arial"/>
          <w:b/>
          <w:color w:val="4F81BD" w:themeColor="accent1"/>
          <w:sz w:val="32"/>
          <w:szCs w:val="24"/>
        </w:rPr>
        <w:t xml:space="preserve">Framework </w:t>
      </w:r>
    </w:p>
    <w:p w:rsidR="00C86217" w:rsidRP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proofErr w:type="gramStart"/>
      <w:r>
        <w:rPr>
          <w:rFonts w:ascii="Arial" w:hAnsi="Arial" w:cs="Arial"/>
          <w:b/>
          <w:color w:val="4F81BD" w:themeColor="accent1"/>
          <w:sz w:val="24"/>
          <w:szCs w:val="24"/>
        </w:rPr>
        <w:t>and</w:t>
      </w:r>
      <w:proofErr w:type="gramEnd"/>
      <w:r w:rsidRPr="00C86217">
        <w:rPr>
          <w:rFonts w:ascii="Arial" w:hAnsi="Arial" w:cs="Arial"/>
          <w:b/>
          <w:color w:val="4F81BD" w:themeColor="accent1"/>
          <w:sz w:val="24"/>
          <w:szCs w:val="24"/>
        </w:rPr>
        <w:t xml:space="preserve"> </w:t>
      </w:r>
    </w:p>
    <w:p w:rsidR="00C86217" w:rsidRP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F81BD" w:themeColor="accent1"/>
          <w:sz w:val="32"/>
          <w:szCs w:val="24"/>
        </w:rPr>
      </w:pPr>
      <w:proofErr w:type="gramStart"/>
      <w:r>
        <w:rPr>
          <w:rFonts w:ascii="Arial" w:hAnsi="Arial" w:cs="Arial"/>
          <w:b/>
          <w:color w:val="4F81BD" w:themeColor="accent1"/>
          <w:sz w:val="32"/>
          <w:szCs w:val="24"/>
        </w:rPr>
        <w:t>Intervention Matrix tool</w:t>
      </w:r>
      <w:r w:rsidRPr="00C86217">
        <w:rPr>
          <w:rFonts w:ascii="Arial" w:hAnsi="Arial" w:cs="Arial"/>
          <w:b/>
          <w:color w:val="4F81BD" w:themeColor="accent1"/>
          <w:sz w:val="32"/>
          <w:szCs w:val="24"/>
        </w:rPr>
        <w:t>.</w:t>
      </w:r>
      <w:proofErr w:type="gramEnd"/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C86217" w:rsidRP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 w:rsidRPr="00C86217">
        <w:rPr>
          <w:rFonts w:ascii="Arial" w:hAnsi="Arial" w:cs="Arial"/>
          <w:b/>
          <w:bCs/>
          <w:color w:val="4F81BD" w:themeColor="accent1"/>
          <w:sz w:val="28"/>
        </w:rPr>
        <w:t xml:space="preserve">The Exchange Matrix Tool </w: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 xml:space="preserve">The Exchange Matrix </w:t>
      </w:r>
      <w:r>
        <w:rPr>
          <w:rFonts w:ascii="Arial" w:hAnsi="Arial" w:cs="Arial"/>
        </w:rPr>
        <w:t>is a conceptual device or ‘Proto T</w:t>
      </w:r>
      <w:r w:rsidRPr="001657D9">
        <w:rPr>
          <w:rFonts w:ascii="Arial" w:hAnsi="Arial" w:cs="Arial"/>
        </w:rPr>
        <w:t>ool</w:t>
      </w:r>
      <w:r>
        <w:rPr>
          <w:rFonts w:ascii="Arial" w:hAnsi="Arial" w:cs="Arial"/>
        </w:rPr>
        <w:t>’</w:t>
      </w:r>
      <w:r w:rsidRPr="001657D9">
        <w:rPr>
          <w:rFonts w:ascii="Arial" w:hAnsi="Arial" w:cs="Arial"/>
        </w:rPr>
        <w:t xml:space="preserve"> that can be used to represent four different ‘Forms’ of social exchange that can be designed to promote change in individuals and groups. 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 xml:space="preserve">The assumption is that whilst ‘Nudges’ can be effective in promoting some behaviours in some situations they do not represent a full toolbox. As well as </w:t>
      </w:r>
      <w:r>
        <w:rPr>
          <w:rFonts w:ascii="Arial" w:hAnsi="Arial" w:cs="Arial"/>
        </w:rPr>
        <w:t>‘</w:t>
      </w:r>
      <w:r w:rsidRPr="001657D9">
        <w:rPr>
          <w:rFonts w:ascii="Arial" w:hAnsi="Arial" w:cs="Arial"/>
        </w:rPr>
        <w:t>Nudges</w:t>
      </w:r>
      <w:r>
        <w:rPr>
          <w:rFonts w:ascii="Arial" w:hAnsi="Arial" w:cs="Arial"/>
        </w:rPr>
        <w:t>’</w:t>
      </w:r>
      <w:r w:rsidRPr="001657D9">
        <w:rPr>
          <w:rFonts w:ascii="Arial" w:hAnsi="Arial" w:cs="Arial"/>
        </w:rPr>
        <w:t>, governments and other orga</w:t>
      </w:r>
      <w:r>
        <w:rPr>
          <w:rFonts w:ascii="Arial" w:hAnsi="Arial" w:cs="Arial"/>
        </w:rPr>
        <w:t xml:space="preserve">nisations can also use, Shoves, </w:t>
      </w:r>
      <w:r w:rsidRPr="001657D9">
        <w:rPr>
          <w:rFonts w:ascii="Arial" w:hAnsi="Arial" w:cs="Arial"/>
        </w:rPr>
        <w:t>Hugs and Smacks.</w:t>
      </w:r>
      <w:r>
        <w:rPr>
          <w:rFonts w:ascii="Arial" w:hAnsi="Arial" w:cs="Arial"/>
        </w:rPr>
        <w:t xml:space="preserve"> </w:t>
      </w:r>
      <w:r w:rsidRPr="001657D9">
        <w:rPr>
          <w:rFonts w:ascii="Arial" w:hAnsi="Arial" w:cs="Arial"/>
        </w:rPr>
        <w:t>Social interventions may well use a combination of all four.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E07A5">
        <w:rPr>
          <w:rFonts w:ascii="Arial" w:hAnsi="Arial" w:cs="Arial"/>
          <w:noProof/>
          <w:lang w:eastAsia="en-GB"/>
        </w:rPr>
        <w:drawing>
          <wp:inline distT="0" distB="0" distL="0" distR="0" wp14:anchorId="22039741" wp14:editId="7ECE68B5">
            <wp:extent cx="3577590" cy="3268980"/>
            <wp:effectExtent l="19050" t="0" r="3810" b="0"/>
            <wp:docPr id="13" name="Picture 83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6" r="37580"/>
                    <a:stretch/>
                  </pic:blipFill>
                  <pic:spPr bwMode="auto">
                    <a:xfrm>
                      <a:off x="0" y="0"/>
                      <a:ext cx="357759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>It should also be noted that the</w:t>
      </w:r>
      <w:r>
        <w:rPr>
          <w:rFonts w:ascii="Arial" w:hAnsi="Arial" w:cs="Arial"/>
        </w:rPr>
        <w:t xml:space="preserve"> four ‘Forms’ are not absolutely</w:t>
      </w:r>
      <w:r w:rsidRPr="001657D9">
        <w:rPr>
          <w:rFonts w:ascii="Arial" w:hAnsi="Arial" w:cs="Arial"/>
        </w:rPr>
        <w:t xml:space="preserve"> distinct categories rather they represent more of a continuum of options. The matrix is constructed using two axes, the first: active and passive choosing, and the second: positive and negative rewarding or penalising.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>The selection of which ‘Form’ of exchange or combination of them should always be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657D9">
        <w:rPr>
          <w:rFonts w:ascii="Arial" w:hAnsi="Arial" w:cs="Arial"/>
        </w:rPr>
        <w:t>driven</w:t>
      </w:r>
      <w:proofErr w:type="gramEnd"/>
      <w:r w:rsidRPr="001657D9">
        <w:rPr>
          <w:rFonts w:ascii="Arial" w:hAnsi="Arial" w:cs="Arial"/>
        </w:rPr>
        <w:t xml:space="preserve"> by evidence of effectiveness and target audience insight. Whichever combination is selected there will be an on-going need to evaluate the impact they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657D9">
        <w:rPr>
          <w:rFonts w:ascii="Arial" w:hAnsi="Arial" w:cs="Arial"/>
        </w:rPr>
        <w:t>are</w:t>
      </w:r>
      <w:proofErr w:type="gramEnd"/>
      <w:r w:rsidRPr="001657D9">
        <w:rPr>
          <w:rFonts w:ascii="Arial" w:hAnsi="Arial" w:cs="Arial"/>
        </w:rPr>
        <w:t xml:space="preserve"> having in terms of behaviour change and how they are perceived by the intended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657D9">
        <w:rPr>
          <w:rFonts w:ascii="Arial" w:hAnsi="Arial" w:cs="Arial"/>
        </w:rPr>
        <w:t>target</w:t>
      </w:r>
      <w:proofErr w:type="gramEnd"/>
      <w:r w:rsidRPr="001657D9">
        <w:rPr>
          <w:rFonts w:ascii="Arial" w:hAnsi="Arial" w:cs="Arial"/>
        </w:rPr>
        <w:t xml:space="preserve"> audiences if the impact is to be sustained.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 xml:space="preserve">The Exchange Matrix is ideologically </w:t>
      </w:r>
      <w:proofErr w:type="gramStart"/>
      <w:r w:rsidRPr="001657D9">
        <w:rPr>
          <w:rFonts w:ascii="Arial" w:hAnsi="Arial" w:cs="Arial"/>
        </w:rPr>
        <w:t>neutral,</w:t>
      </w:r>
      <w:proofErr w:type="gramEnd"/>
      <w:r w:rsidRPr="001657D9">
        <w:rPr>
          <w:rFonts w:ascii="Arial" w:hAnsi="Arial" w:cs="Arial"/>
        </w:rPr>
        <w:t xml:space="preserve"> it depend</w:t>
      </w:r>
      <w:r>
        <w:rPr>
          <w:rFonts w:ascii="Arial" w:hAnsi="Arial" w:cs="Arial"/>
        </w:rPr>
        <w:t xml:space="preserve">s on input from experts and </w:t>
      </w:r>
      <w:r w:rsidRPr="001657D9">
        <w:rPr>
          <w:rFonts w:ascii="Arial" w:hAnsi="Arial" w:cs="Arial"/>
        </w:rPr>
        <w:t>target audiences to define the nature of rewa</w:t>
      </w:r>
      <w:r>
        <w:rPr>
          <w:rFonts w:ascii="Arial" w:hAnsi="Arial" w:cs="Arial"/>
        </w:rPr>
        <w:t xml:space="preserve">rds or penalties. These in most </w:t>
      </w:r>
      <w:r w:rsidRPr="001657D9">
        <w:rPr>
          <w:rFonts w:ascii="Arial" w:hAnsi="Arial" w:cs="Arial"/>
        </w:rPr>
        <w:t>countries will be developed through existing lega</w:t>
      </w:r>
      <w:r>
        <w:rPr>
          <w:rFonts w:ascii="Arial" w:hAnsi="Arial" w:cs="Arial"/>
        </w:rPr>
        <w:t xml:space="preserve">l and representative systems of </w:t>
      </w:r>
      <w:r w:rsidRPr="001657D9">
        <w:rPr>
          <w:rFonts w:ascii="Arial" w:hAnsi="Arial" w:cs="Arial"/>
        </w:rPr>
        <w:t xml:space="preserve">public engagement, for example the level of fines that might be applied </w:t>
      </w:r>
      <w:r>
        <w:rPr>
          <w:rFonts w:ascii="Arial" w:hAnsi="Arial" w:cs="Arial"/>
        </w:rPr>
        <w:t xml:space="preserve">to penalise </w:t>
      </w:r>
      <w:r w:rsidRPr="001657D9">
        <w:rPr>
          <w:rFonts w:ascii="Arial" w:hAnsi="Arial" w:cs="Arial"/>
        </w:rPr>
        <w:t xml:space="preserve">driving too fast will be informed by due legal and economic considerations. </w: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>The Matrix indicates the importance of ‘Mindful Choosing’ as well as ‘Mindless Choosing’ as being an important option for tackling some behavioural chal</w:t>
      </w:r>
      <w:r>
        <w:rPr>
          <w:rFonts w:ascii="Arial" w:hAnsi="Arial" w:cs="Arial"/>
        </w:rPr>
        <w:t xml:space="preserve">lenges and as a mechanism for </w:t>
      </w:r>
      <w:r w:rsidRPr="001657D9">
        <w:rPr>
          <w:rFonts w:ascii="Arial" w:hAnsi="Arial" w:cs="Arial"/>
        </w:rPr>
        <w:t>many long-term social att</w:t>
      </w:r>
      <w:r>
        <w:rPr>
          <w:rFonts w:ascii="Arial" w:hAnsi="Arial" w:cs="Arial"/>
        </w:rPr>
        <w:t xml:space="preserve">itudinal and behavioural change </w:t>
      </w:r>
      <w:r w:rsidRPr="001657D9">
        <w:rPr>
          <w:rFonts w:ascii="Arial" w:hAnsi="Arial" w:cs="Arial"/>
        </w:rPr>
        <w:t>programmes.</w:t>
      </w: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>The Exchange Matrix can be used to map a variety of</w:t>
      </w:r>
      <w:r>
        <w:rPr>
          <w:rFonts w:ascii="Arial" w:hAnsi="Arial" w:cs="Arial"/>
        </w:rPr>
        <w:t xml:space="preserve"> ‘Forms’ of intervention, it can </w:t>
      </w:r>
      <w:r w:rsidRPr="001657D9">
        <w:rPr>
          <w:rFonts w:ascii="Arial" w:hAnsi="Arial" w:cs="Arial"/>
        </w:rPr>
        <w:t>also be used as a device to communicate the range</w:t>
      </w:r>
      <w:r>
        <w:rPr>
          <w:rFonts w:ascii="Arial" w:hAnsi="Arial" w:cs="Arial"/>
        </w:rPr>
        <w:t xml:space="preserve"> of interventions deployed in a </w:t>
      </w:r>
      <w:r w:rsidRPr="001657D9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or </w:t>
      </w:r>
      <w:r w:rsidRPr="001657D9">
        <w:rPr>
          <w:rFonts w:ascii="Arial" w:hAnsi="Arial" w:cs="Arial"/>
        </w:rPr>
        <w:t xml:space="preserve">programme as a model to help review </w:t>
      </w:r>
      <w:r>
        <w:rPr>
          <w:rFonts w:ascii="Arial" w:hAnsi="Arial" w:cs="Arial"/>
        </w:rPr>
        <w:t xml:space="preserve">the comprehensiveness of social </w:t>
      </w:r>
      <w:r w:rsidRPr="001657D9">
        <w:rPr>
          <w:rFonts w:ascii="Arial" w:hAnsi="Arial" w:cs="Arial"/>
        </w:rPr>
        <w:t>programmes.</w:t>
      </w:r>
      <w:r>
        <w:rPr>
          <w:rFonts w:ascii="Arial" w:hAnsi="Arial" w:cs="Arial"/>
        </w:rPr>
        <w:t xml:space="preserve"> </w:t>
      </w:r>
      <w:r w:rsidRPr="001657D9">
        <w:rPr>
          <w:rFonts w:ascii="Arial" w:hAnsi="Arial" w:cs="Arial"/>
        </w:rPr>
        <w:t>Whilst the Exchange Matrix can help to describe the</w:t>
      </w:r>
      <w:r>
        <w:rPr>
          <w:rFonts w:ascii="Arial" w:hAnsi="Arial" w:cs="Arial"/>
        </w:rPr>
        <w:t xml:space="preserve"> variety of ‘Forms’ of exchange </w:t>
      </w:r>
      <w:r w:rsidRPr="001657D9">
        <w:rPr>
          <w:rFonts w:ascii="Arial" w:hAnsi="Arial" w:cs="Arial"/>
        </w:rPr>
        <w:t>that can be used as part of public health behavio</w:t>
      </w:r>
      <w:r>
        <w:rPr>
          <w:rFonts w:ascii="Arial" w:hAnsi="Arial" w:cs="Arial"/>
        </w:rPr>
        <w:t>u</w:t>
      </w:r>
      <w:r w:rsidRPr="001657D9">
        <w:rPr>
          <w:rFonts w:ascii="Arial" w:hAnsi="Arial" w:cs="Arial"/>
        </w:rPr>
        <w:t xml:space="preserve">ral and communication programmes or other kinds of social intervention it is not intended to represent the full range of ‘Types’ </w:t>
      </w:r>
      <w:r w:rsidRPr="001657D9">
        <w:rPr>
          <w:rStyle w:val="FootnoteReference"/>
          <w:rFonts w:ascii="Arial" w:hAnsi="Arial" w:cs="Arial"/>
        </w:rPr>
        <w:footnoteReference w:id="1"/>
      </w:r>
      <w:r w:rsidRPr="001657D9">
        <w:rPr>
          <w:rFonts w:ascii="Arial" w:hAnsi="Arial" w:cs="Arial"/>
        </w:rPr>
        <w:t xml:space="preserve"> of intervention that can be employed by organisations wishing to bring about social good. </w:t>
      </w:r>
    </w:p>
    <w:p w:rsidR="00C86217" w:rsidRPr="00BE07A5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8"/>
        </w:rPr>
      </w:pP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8"/>
        </w:rPr>
      </w:pPr>
    </w:p>
    <w:p w:rsidR="00C86217" w:rsidRP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8"/>
        </w:rPr>
      </w:pPr>
      <w:r w:rsidRPr="00C86217">
        <w:rPr>
          <w:rFonts w:ascii="Arial" w:hAnsi="Arial" w:cs="Arial"/>
          <w:b/>
          <w:color w:val="4F81BD" w:themeColor="accent1"/>
          <w:sz w:val="28"/>
        </w:rPr>
        <w:t xml:space="preserve">The de-CIDEDS Framework Tool </w: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57D9">
        <w:rPr>
          <w:rFonts w:ascii="Arial" w:hAnsi="Arial" w:cs="Arial"/>
        </w:rPr>
        <w:t>A key principle of effective health promotion is to apply tailored evidence and insight informed mix of intervention to bring about the desired behavioural goal. In most cases a single intervention is less likely to be effective than multi-component interventions. For example just ‘informing’ someone of something may have some limited effect, but if this is combined with practical support and a chance to critically consider it with guidance (Education) it may well be  more effective. A key task</w:t>
      </w:r>
      <w:r>
        <w:rPr>
          <w:rFonts w:ascii="Arial" w:hAnsi="Arial" w:cs="Arial"/>
        </w:rPr>
        <w:t xml:space="preserve"> </w:t>
      </w:r>
      <w:r w:rsidRPr="001657D9">
        <w:rPr>
          <w:rFonts w:ascii="Arial" w:hAnsi="Arial" w:cs="Arial"/>
        </w:rPr>
        <w:t>then, is to establish the right mix of interventions gi</w:t>
      </w:r>
      <w:r>
        <w:rPr>
          <w:rFonts w:ascii="Arial" w:hAnsi="Arial" w:cs="Arial"/>
        </w:rPr>
        <w:t xml:space="preserve">ven the available resources and </w:t>
      </w:r>
      <w:r w:rsidRPr="001657D9">
        <w:rPr>
          <w:rFonts w:ascii="Arial" w:hAnsi="Arial" w:cs="Arial"/>
        </w:rPr>
        <w:t>time.</w: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1657D9">
        <w:rPr>
          <w:rFonts w:ascii="Arial" w:hAnsi="Arial" w:cs="Arial"/>
          <w:szCs w:val="24"/>
        </w:rPr>
        <w:t>The de-CIDEDS framework</w:t>
      </w:r>
      <w:r>
        <w:rPr>
          <w:rFonts w:ascii="Arial" w:hAnsi="Arial" w:cs="Arial"/>
          <w:szCs w:val="24"/>
        </w:rPr>
        <w:t xml:space="preserve"> tool, </w:t>
      </w:r>
      <w:r w:rsidRPr="001657D9">
        <w:rPr>
          <w:rFonts w:ascii="Arial" w:hAnsi="Arial" w:cs="Arial"/>
          <w:szCs w:val="24"/>
        </w:rPr>
        <w:t xml:space="preserve">French and Blair-Stevens </w:t>
      </w:r>
      <w:r>
        <w:rPr>
          <w:rFonts w:ascii="Arial" w:hAnsi="Arial" w:cs="Arial"/>
          <w:szCs w:val="24"/>
        </w:rPr>
        <w:t xml:space="preserve">(2010) sets out five ‘Types’ of </w:t>
      </w:r>
      <w:r w:rsidRPr="001657D9">
        <w:rPr>
          <w:rFonts w:ascii="Arial" w:hAnsi="Arial" w:cs="Arial"/>
          <w:szCs w:val="24"/>
        </w:rPr>
        <w:t>intervention that can be used to encourage and foster social good.</w:t>
      </w:r>
    </w:p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86217" w:rsidRPr="001657D9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86217" w:rsidRP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bookmarkStart w:id="0" w:name="_GoBack"/>
      <w:r w:rsidRPr="00C86217">
        <w:rPr>
          <w:rFonts w:ascii="Arial" w:hAnsi="Arial" w:cs="Arial"/>
          <w:b/>
          <w:color w:val="4F81BD" w:themeColor="accent1"/>
          <w:sz w:val="24"/>
          <w:szCs w:val="24"/>
        </w:rPr>
        <w:t xml:space="preserve">The de-CIDEDS Framework Tool </w:t>
      </w:r>
    </w:p>
    <w:bookmarkEnd w:id="0"/>
    <w:p w:rsidR="00C86217" w:rsidRDefault="00C86217" w:rsidP="00C862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476D1" w:rsidRPr="00C86217" w:rsidRDefault="00C86217" w:rsidP="00C8621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CF6918" wp14:editId="58B20C87">
            <wp:extent cx="3951515" cy="2953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095" t="29186" r="21702" b="3012"/>
                    <a:stretch/>
                  </pic:blipFill>
                  <pic:spPr bwMode="auto">
                    <a:xfrm>
                      <a:off x="0" y="0"/>
                      <a:ext cx="3953924" cy="295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76D1" w:rsidRPr="00C862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E0" w:rsidRDefault="00940DE0" w:rsidP="00C86217">
      <w:pPr>
        <w:spacing w:after="0" w:line="240" w:lineRule="auto"/>
      </w:pPr>
      <w:r>
        <w:separator/>
      </w:r>
    </w:p>
  </w:endnote>
  <w:endnote w:type="continuationSeparator" w:id="0">
    <w:p w:rsidR="00940DE0" w:rsidRDefault="00940DE0" w:rsidP="00C8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17" w:rsidRPr="00C86217" w:rsidRDefault="00C86217" w:rsidP="00C86217">
    <w:pPr>
      <w:pStyle w:val="Footer"/>
      <w:jc w:val="center"/>
      <w:rPr>
        <w:b/>
        <w:color w:val="4F81BD" w:themeColor="accent1"/>
      </w:rPr>
    </w:pPr>
    <w:r w:rsidRPr="00C86217">
      <w:rPr>
        <w:b/>
        <w:color w:val="4F81BD" w:themeColor="accent1"/>
      </w:rPr>
      <w:t>Strategic Social Marketing</w:t>
    </w:r>
  </w:p>
  <w:p w:rsidR="00C86217" w:rsidRDefault="00C86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E0" w:rsidRDefault="00940DE0" w:rsidP="00C86217">
      <w:pPr>
        <w:spacing w:after="0" w:line="240" w:lineRule="auto"/>
      </w:pPr>
      <w:r>
        <w:separator/>
      </w:r>
    </w:p>
  </w:footnote>
  <w:footnote w:type="continuationSeparator" w:id="0">
    <w:p w:rsidR="00940DE0" w:rsidRDefault="00940DE0" w:rsidP="00C86217">
      <w:pPr>
        <w:spacing w:after="0" w:line="240" w:lineRule="auto"/>
      </w:pPr>
      <w:r>
        <w:continuationSeparator/>
      </w:r>
    </w:p>
  </w:footnote>
  <w:footnote w:id="1">
    <w:p w:rsidR="00C86217" w:rsidRPr="00607F58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7F58">
        <w:rPr>
          <w:rStyle w:val="FootnoteReference"/>
          <w:rFonts w:ascii="Arial" w:hAnsi="Arial" w:cs="Arial"/>
          <w:sz w:val="16"/>
          <w:szCs w:val="16"/>
        </w:rPr>
        <w:footnoteRef/>
      </w:r>
      <w:r w:rsidRPr="00607F58">
        <w:rPr>
          <w:rFonts w:ascii="Arial" w:hAnsi="Arial" w:cs="Arial"/>
          <w:sz w:val="16"/>
          <w:szCs w:val="16"/>
        </w:rPr>
        <w:t xml:space="preserve"> The word ‘Type’ of intervention is used in this context to mean different approaches that governments and</w:t>
      </w:r>
    </w:p>
    <w:p w:rsidR="00C86217" w:rsidRPr="00607F58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607F58">
        <w:rPr>
          <w:rFonts w:ascii="Arial" w:hAnsi="Arial" w:cs="Arial"/>
          <w:sz w:val="16"/>
          <w:szCs w:val="16"/>
        </w:rPr>
        <w:t>public</w:t>
      </w:r>
      <w:proofErr w:type="gramEnd"/>
      <w:r w:rsidRPr="00607F58">
        <w:rPr>
          <w:rFonts w:ascii="Arial" w:hAnsi="Arial" w:cs="Arial"/>
          <w:sz w:val="16"/>
          <w:szCs w:val="16"/>
        </w:rPr>
        <w:t xml:space="preserve"> sector institutions can use to bringing about social change or maintaining social benefits. The five Types</w:t>
      </w:r>
    </w:p>
    <w:p w:rsidR="00C86217" w:rsidRPr="00607F58" w:rsidRDefault="00C86217" w:rsidP="00C8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7F58">
        <w:rPr>
          <w:rFonts w:ascii="Arial" w:hAnsi="Arial" w:cs="Arial"/>
          <w:sz w:val="16"/>
          <w:szCs w:val="16"/>
        </w:rPr>
        <w:t>of intervention open to these organisations are considered to be: Education, Support services provision,</w:t>
      </w:r>
    </w:p>
    <w:p w:rsidR="00C86217" w:rsidRDefault="00C86217" w:rsidP="00C86217">
      <w:pPr>
        <w:pStyle w:val="FootnoteText"/>
      </w:pPr>
      <w:r w:rsidRPr="00607F58">
        <w:rPr>
          <w:rFonts w:ascii="Arial" w:hAnsi="Arial" w:cs="Arial"/>
          <w:sz w:val="16"/>
          <w:szCs w:val="16"/>
        </w:rPr>
        <w:t>Design interventions, Information provision, and Control systems including the law.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7"/>
    <w:rsid w:val="008476D1"/>
    <w:rsid w:val="00940DE0"/>
    <w:rsid w:val="00C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~FootnoteText"/>
    <w:basedOn w:val="Normal"/>
    <w:link w:val="FootnoteTextChar"/>
    <w:uiPriority w:val="99"/>
    <w:unhideWhenUsed/>
    <w:rsid w:val="00C86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99"/>
    <w:rsid w:val="00C86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862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7"/>
  </w:style>
  <w:style w:type="paragraph" w:styleId="Footer">
    <w:name w:val="footer"/>
    <w:basedOn w:val="Normal"/>
    <w:link w:val="FooterChar"/>
    <w:uiPriority w:val="99"/>
    <w:unhideWhenUsed/>
    <w:rsid w:val="00C8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~FootnoteText"/>
    <w:basedOn w:val="Normal"/>
    <w:link w:val="FootnoteTextChar"/>
    <w:uiPriority w:val="99"/>
    <w:unhideWhenUsed/>
    <w:rsid w:val="00C86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99"/>
    <w:rsid w:val="00C86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862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7"/>
  </w:style>
  <w:style w:type="paragraph" w:styleId="Footer">
    <w:name w:val="footer"/>
    <w:basedOn w:val="Normal"/>
    <w:link w:val="FooterChar"/>
    <w:uiPriority w:val="99"/>
    <w:unhideWhenUsed/>
    <w:rsid w:val="00C8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FRENCH</dc:creator>
  <cp:lastModifiedBy>JEFF FRENCH</cp:lastModifiedBy>
  <cp:revision>1</cp:revision>
  <dcterms:created xsi:type="dcterms:W3CDTF">2012-11-23T09:08:00Z</dcterms:created>
  <dcterms:modified xsi:type="dcterms:W3CDTF">2012-11-23T09:15:00Z</dcterms:modified>
</cp:coreProperties>
</file>